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Default Extension="emf" ContentType="image/x-emf"/>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4B5" w:rsidRDefault="00C51BAA" w:rsidP="00285EA9">
      <w:r>
        <w:rPr>
          <w:noProof/>
          <w:lang w:eastAsia="en-AU"/>
        </w:rPr>
        <w:drawing>
          <wp:anchor distT="0" distB="0" distL="114300" distR="114300" simplePos="0" relativeHeight="251653120" behindDoc="0" locked="0" layoutInCell="1" allowOverlap="1">
            <wp:simplePos x="0" y="0"/>
            <wp:positionH relativeFrom="margin">
              <wp:posOffset>1586865</wp:posOffset>
            </wp:positionH>
            <wp:positionV relativeFrom="margin">
              <wp:posOffset>182880</wp:posOffset>
            </wp:positionV>
            <wp:extent cx="4219575" cy="1304925"/>
            <wp:effectExtent l="19050" t="0" r="9525" b="0"/>
            <wp:wrapNone/>
            <wp:docPr id="16" name="Picture 1" descr="cover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_image"/>
                    <pic:cNvPicPr>
                      <a:picLocks noChangeAspect="1" noChangeArrowheads="1"/>
                    </pic:cNvPicPr>
                  </pic:nvPicPr>
                  <pic:blipFill>
                    <a:blip r:embed="rId7"/>
                    <a:srcRect/>
                    <a:stretch>
                      <a:fillRect/>
                    </a:stretch>
                  </pic:blipFill>
                  <pic:spPr bwMode="auto">
                    <a:xfrm>
                      <a:off x="0" y="0"/>
                      <a:ext cx="4219575" cy="1304925"/>
                    </a:xfrm>
                    <a:prstGeom prst="rect">
                      <a:avLst/>
                    </a:prstGeom>
                    <a:noFill/>
                  </pic:spPr>
                </pic:pic>
              </a:graphicData>
            </a:graphic>
          </wp:anchor>
        </w:drawing>
      </w:r>
    </w:p>
    <w:p w:rsidR="003E24B5" w:rsidRDefault="003E24B5" w:rsidP="004C3D6D">
      <w:pPr>
        <w:spacing w:before="4080"/>
      </w:pPr>
    </w:p>
    <w:p w:rsidR="003E24B5" w:rsidRPr="00DB3BF7" w:rsidRDefault="003E24B5" w:rsidP="000F088B">
      <w:pPr>
        <w:pStyle w:val="KMHTitleAppendix"/>
        <w:spacing w:after="240"/>
      </w:pPr>
      <w:r>
        <w:t>Review of the</w:t>
      </w:r>
      <w:r w:rsidRPr="00D53005">
        <w:t xml:space="preserve"> </w:t>
      </w:r>
      <w:r>
        <w:t xml:space="preserve">Draft </w:t>
      </w:r>
      <w:r w:rsidRPr="00D53005">
        <w:t>Industry Interim Standard for Televisions and Computers</w:t>
      </w:r>
      <w:r>
        <w:t xml:space="preserve"> (DIIS)</w:t>
      </w:r>
    </w:p>
    <w:p w:rsidR="003E24B5" w:rsidRPr="000F088B" w:rsidRDefault="003E24B5" w:rsidP="000F088B">
      <w:pPr>
        <w:pStyle w:val="KMHsubtitleappendix"/>
        <w:rPr>
          <w:b/>
        </w:rPr>
      </w:pPr>
      <w:r>
        <w:rPr>
          <w:b/>
        </w:rPr>
        <w:t xml:space="preserve">Risk and </w:t>
      </w:r>
      <w:r w:rsidRPr="00D53005">
        <w:rPr>
          <w:b/>
        </w:rPr>
        <w:t>Cost Implications</w:t>
      </w:r>
    </w:p>
    <w:p w:rsidR="003E24B5" w:rsidRPr="00B630B0" w:rsidRDefault="003E24B5" w:rsidP="004C3D6D">
      <w:pPr>
        <w:jc w:val="right"/>
        <w:rPr>
          <w:rFonts w:cs="Arial"/>
          <w:b/>
          <w:sz w:val="28"/>
          <w:szCs w:val="28"/>
        </w:rPr>
      </w:pPr>
    </w:p>
    <w:p w:rsidR="003E24B5" w:rsidRPr="00B630B0" w:rsidRDefault="003E24B5" w:rsidP="004C3D6D">
      <w:pPr>
        <w:jc w:val="right"/>
        <w:rPr>
          <w:rFonts w:cs="Arial"/>
          <w:b/>
          <w:sz w:val="28"/>
          <w:szCs w:val="28"/>
        </w:rPr>
      </w:pPr>
    </w:p>
    <w:p w:rsidR="003E24B5" w:rsidRDefault="00C51BAA" w:rsidP="004C3D6D">
      <w:pPr>
        <w:jc w:val="right"/>
        <w:rPr>
          <w:b/>
          <w:sz w:val="28"/>
          <w:szCs w:val="28"/>
        </w:rPr>
      </w:pPr>
      <w:r>
        <w:rPr>
          <w:noProof/>
          <w:lang w:eastAsia="en-AU"/>
        </w:rPr>
        <w:drawing>
          <wp:anchor distT="0" distB="0" distL="114300" distR="114300" simplePos="0" relativeHeight="251654144" behindDoc="0" locked="0" layoutInCell="1" allowOverlap="1">
            <wp:simplePos x="0" y="0"/>
            <wp:positionH relativeFrom="column">
              <wp:posOffset>4585335</wp:posOffset>
            </wp:positionH>
            <wp:positionV relativeFrom="paragraph">
              <wp:posOffset>9730740</wp:posOffset>
            </wp:positionV>
            <wp:extent cx="2283460" cy="560705"/>
            <wp:effectExtent l="19050" t="0" r="2540" b="0"/>
            <wp:wrapNone/>
            <wp:docPr id="9" name="Picture 2" descr="KMH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MHRGB"/>
                    <pic:cNvPicPr>
                      <a:picLocks noChangeAspect="1" noChangeArrowheads="1"/>
                    </pic:cNvPicPr>
                  </pic:nvPicPr>
                  <pic:blipFill>
                    <a:blip r:embed="rId8"/>
                    <a:srcRect/>
                    <a:stretch>
                      <a:fillRect/>
                    </a:stretch>
                  </pic:blipFill>
                  <pic:spPr bwMode="auto">
                    <a:xfrm>
                      <a:off x="0" y="0"/>
                      <a:ext cx="2283460" cy="560705"/>
                    </a:xfrm>
                    <a:prstGeom prst="rect">
                      <a:avLst/>
                    </a:prstGeom>
                    <a:noFill/>
                  </pic:spPr>
                </pic:pic>
              </a:graphicData>
            </a:graphic>
          </wp:anchor>
        </w:drawing>
      </w:r>
      <w:r w:rsidR="003E24B5">
        <w:rPr>
          <w:b/>
          <w:sz w:val="28"/>
          <w:szCs w:val="28"/>
        </w:rPr>
        <w:t>Department of Sustainability, Environment, Water, Population and Communities</w:t>
      </w:r>
    </w:p>
    <w:p w:rsidR="003E24B5" w:rsidRDefault="003E24B5" w:rsidP="004C3D6D">
      <w:pPr>
        <w:jc w:val="right"/>
        <w:rPr>
          <w:b/>
          <w:sz w:val="28"/>
          <w:szCs w:val="28"/>
        </w:rPr>
      </w:pPr>
    </w:p>
    <w:p w:rsidR="003E24B5" w:rsidRDefault="003E24B5" w:rsidP="004C3D6D">
      <w:pPr>
        <w:jc w:val="right"/>
        <w:rPr>
          <w:b/>
          <w:sz w:val="28"/>
          <w:szCs w:val="28"/>
        </w:rPr>
      </w:pPr>
    </w:p>
    <w:p w:rsidR="003E24B5" w:rsidRDefault="003E24B5" w:rsidP="004C3D6D">
      <w:pPr>
        <w:jc w:val="right"/>
        <w:rPr>
          <w:b/>
          <w:sz w:val="28"/>
          <w:szCs w:val="28"/>
        </w:rPr>
      </w:pPr>
    </w:p>
    <w:p w:rsidR="003E24B5" w:rsidRDefault="00235045" w:rsidP="004C3D6D">
      <w:pPr>
        <w:jc w:val="right"/>
        <w:rPr>
          <w:b/>
          <w:sz w:val="28"/>
          <w:szCs w:val="28"/>
        </w:rPr>
      </w:pPr>
      <w:r>
        <w:rPr>
          <w:b/>
          <w:sz w:val="28"/>
          <w:szCs w:val="28"/>
        </w:rPr>
        <w:t>March</w:t>
      </w:r>
      <w:r w:rsidR="003E24B5">
        <w:rPr>
          <w:b/>
          <w:sz w:val="28"/>
          <w:szCs w:val="28"/>
        </w:rPr>
        <w:t xml:space="preserve"> 2011</w:t>
      </w:r>
    </w:p>
    <w:p w:rsidR="003E24B5" w:rsidRDefault="00C51BAA" w:rsidP="004C3D6D">
      <w:r>
        <w:rPr>
          <w:noProof/>
          <w:lang w:eastAsia="en-AU"/>
        </w:rPr>
        <w:drawing>
          <wp:anchor distT="0" distB="0" distL="114300" distR="114300" simplePos="0" relativeHeight="251655168" behindDoc="0" locked="1" layoutInCell="1" allowOverlap="0">
            <wp:simplePos x="0" y="0"/>
            <wp:positionH relativeFrom="column">
              <wp:posOffset>3806190</wp:posOffset>
            </wp:positionH>
            <wp:positionV relativeFrom="page">
              <wp:posOffset>9562465</wp:posOffset>
            </wp:positionV>
            <wp:extent cx="1962150" cy="504825"/>
            <wp:effectExtent l="1905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962150" cy="504825"/>
                    </a:xfrm>
                    <a:prstGeom prst="rect">
                      <a:avLst/>
                    </a:prstGeom>
                    <a:noFill/>
                  </pic:spPr>
                </pic:pic>
              </a:graphicData>
            </a:graphic>
          </wp:anchor>
        </w:drawing>
      </w:r>
    </w:p>
    <w:p w:rsidR="003E24B5" w:rsidRDefault="003E24B5" w:rsidP="00560E8D"/>
    <w:p w:rsidR="003E24B5" w:rsidRDefault="003E24B5" w:rsidP="00560E8D"/>
    <w:p w:rsidR="003E24B5" w:rsidRDefault="003E24B5" w:rsidP="00560E8D">
      <w:pPr>
        <w:sectPr w:rsidR="003E24B5" w:rsidSect="00180D64">
          <w:headerReference w:type="even" r:id="rId10"/>
          <w:headerReference w:type="default" r:id="rId11"/>
          <w:footerReference w:type="even" r:id="rId12"/>
          <w:footerReference w:type="default" r:id="rId13"/>
          <w:headerReference w:type="first" r:id="rId14"/>
          <w:footerReference w:type="first" r:id="rId15"/>
          <w:pgSz w:w="11907" w:h="16839" w:code="9"/>
          <w:pgMar w:top="851" w:right="1134" w:bottom="851" w:left="1701" w:header="425" w:footer="425" w:gutter="0"/>
          <w:pgNumType w:fmt="lowerRoman" w:start="1"/>
          <w:cols w:space="708"/>
          <w:docGrid w:linePitch="360"/>
        </w:sectPr>
      </w:pPr>
    </w:p>
    <w:p w:rsidR="003E24B5" w:rsidRPr="000057EA" w:rsidRDefault="003E24B5" w:rsidP="000057EA"/>
    <w:p w:rsidR="003E24B5" w:rsidRDefault="003E24B5" w:rsidP="000057EA"/>
    <w:p w:rsidR="003E24B5" w:rsidRPr="000057EA" w:rsidRDefault="003E24B5" w:rsidP="000057EA"/>
    <w:p w:rsidR="003E24B5" w:rsidRPr="000057EA" w:rsidRDefault="003E24B5" w:rsidP="000057EA">
      <w:pPr>
        <w:jc w:val="left"/>
        <w:rPr>
          <w:rFonts w:cs="Arial"/>
          <w:b/>
          <w:color w:val="235F2A"/>
          <w:sz w:val="40"/>
          <w:szCs w:val="40"/>
        </w:rPr>
      </w:pPr>
      <w:r w:rsidRPr="00D53005">
        <w:rPr>
          <w:rFonts w:cs="Arial"/>
          <w:b/>
          <w:color w:val="235F2A"/>
          <w:sz w:val="40"/>
          <w:szCs w:val="40"/>
        </w:rPr>
        <w:t xml:space="preserve">Review of the </w:t>
      </w:r>
      <w:r>
        <w:rPr>
          <w:rFonts w:cs="Arial"/>
          <w:b/>
          <w:color w:val="235F2A"/>
          <w:sz w:val="40"/>
          <w:szCs w:val="40"/>
        </w:rPr>
        <w:t xml:space="preserve">Draft </w:t>
      </w:r>
      <w:r w:rsidRPr="00D53005">
        <w:rPr>
          <w:rFonts w:cs="Arial"/>
          <w:b/>
          <w:color w:val="235F2A"/>
          <w:sz w:val="40"/>
          <w:szCs w:val="40"/>
        </w:rPr>
        <w:t>Industry Interim Standard for Televisions and Computers</w:t>
      </w:r>
      <w:r>
        <w:rPr>
          <w:rFonts w:cs="Arial"/>
          <w:b/>
          <w:color w:val="235F2A"/>
          <w:sz w:val="40"/>
          <w:szCs w:val="40"/>
        </w:rPr>
        <w:t xml:space="preserve"> (DIIS)</w:t>
      </w:r>
    </w:p>
    <w:p w:rsidR="003E24B5" w:rsidRDefault="003E24B5" w:rsidP="00285EA9">
      <w:pPr>
        <w:pStyle w:val="KMHSubheader"/>
      </w:pPr>
      <w:r>
        <w:rPr>
          <w:b/>
        </w:rPr>
        <w:t xml:space="preserve">Risk and </w:t>
      </w:r>
      <w:r w:rsidRPr="00D53005">
        <w:rPr>
          <w:b/>
        </w:rPr>
        <w:t>Cost Implication</w:t>
      </w:r>
      <w:r>
        <w:rPr>
          <w:b/>
        </w:rPr>
        <w:t>s</w:t>
      </w:r>
    </w:p>
    <w:p w:rsidR="003E24B5" w:rsidRPr="000057EA" w:rsidRDefault="003E24B5" w:rsidP="000057EA"/>
    <w:p w:rsidR="003E24B5" w:rsidRPr="00BA0C07" w:rsidRDefault="003E24B5" w:rsidP="00DB3BF7">
      <w:pPr>
        <w:spacing w:before="480"/>
        <w:rPr>
          <w:b/>
        </w:rPr>
      </w:pPr>
      <w:r w:rsidRPr="00BA0C07">
        <w:t>Prepared for</w:t>
      </w:r>
      <w:r w:rsidRPr="00BA0C07">
        <w:rPr>
          <w:b/>
        </w:rPr>
        <w:t>:</w:t>
      </w:r>
    </w:p>
    <w:p w:rsidR="003E24B5" w:rsidRPr="00206479" w:rsidRDefault="003E24B5" w:rsidP="00285EA9">
      <w:pPr>
        <w:rPr>
          <w:rFonts w:cs="Arial"/>
          <w:b/>
          <w:color w:val="000000"/>
          <w:szCs w:val="20"/>
        </w:rPr>
      </w:pPr>
      <w:r w:rsidRPr="00D53005">
        <w:rPr>
          <w:rFonts w:cs="Arial"/>
          <w:b/>
          <w:color w:val="000000"/>
          <w:szCs w:val="20"/>
        </w:rPr>
        <w:t>Department of Sustainability, Environment, Water, Population and Communities</w:t>
      </w:r>
    </w:p>
    <w:p w:rsidR="003E24B5" w:rsidRPr="00BA0C07" w:rsidRDefault="003E24B5" w:rsidP="00DB3BF7">
      <w:pPr>
        <w:spacing w:before="480" w:after="0"/>
      </w:pPr>
      <w:r w:rsidRPr="00BA0C07">
        <w:t>Prepared By:</w:t>
      </w:r>
    </w:p>
    <w:p w:rsidR="003E24B5" w:rsidRPr="0070044D" w:rsidRDefault="003E24B5" w:rsidP="0070044D">
      <w:pPr>
        <w:spacing w:before="240" w:after="0"/>
        <w:rPr>
          <w:b/>
        </w:rPr>
      </w:pPr>
      <w:r w:rsidRPr="0070044D">
        <w:rPr>
          <w:b/>
        </w:rPr>
        <w:t>KMH Environmental</w:t>
      </w:r>
    </w:p>
    <w:p w:rsidR="003E24B5" w:rsidRPr="005527CF" w:rsidRDefault="003E24B5" w:rsidP="0070044D">
      <w:pPr>
        <w:spacing w:after="0"/>
      </w:pPr>
      <w:r w:rsidRPr="005527CF">
        <w:t xml:space="preserve">Level </w:t>
      </w:r>
      <w:r>
        <w:t xml:space="preserve">12, </w:t>
      </w:r>
      <w:smartTag w:uri="urn:schemas-microsoft-com:office:smarttags" w:element="place">
        <w:smartTag w:uri="urn:schemas-microsoft-com:office:smarttags" w:element="PlaceName">
          <w:r>
            <w:t>South</w:t>
          </w:r>
        </w:smartTag>
        <w:r>
          <w:t xml:space="preserve"> </w:t>
        </w:r>
        <w:smartTag w:uri="urn:schemas-microsoft-com:office:smarttags" w:element="PlaceType">
          <w:r w:rsidRPr="005527CF">
            <w:t>Tower</w:t>
          </w:r>
        </w:smartTag>
      </w:smartTag>
      <w:r w:rsidRPr="005527CF">
        <w:t>, Chatswood Central</w:t>
      </w:r>
    </w:p>
    <w:p w:rsidR="003E24B5" w:rsidRPr="005527CF" w:rsidRDefault="003E24B5" w:rsidP="0070044D">
      <w:pPr>
        <w:spacing w:after="0"/>
      </w:pPr>
      <w:smartTag w:uri="urn:schemas-microsoft-com:office:smarttags" w:element="address">
        <w:smartTag w:uri="urn:schemas-microsoft-com:office:smarttags" w:element="Street">
          <w:r w:rsidRPr="005527CF">
            <w:t>1-5 Railway Street</w:t>
          </w:r>
        </w:smartTag>
      </w:smartTag>
      <w:r w:rsidRPr="005527CF">
        <w:t>,</w:t>
      </w:r>
    </w:p>
    <w:p w:rsidR="003E24B5" w:rsidRPr="005527CF" w:rsidRDefault="003E24B5" w:rsidP="0070044D">
      <w:pPr>
        <w:spacing w:after="0"/>
      </w:pPr>
      <w:smartTag w:uri="urn:schemas-microsoft-com:office:smarttags" w:element="address">
        <w:smartTag w:uri="urn:schemas-microsoft-com:office:smarttags" w:element="Street">
          <w:r w:rsidRPr="005527CF">
            <w:t>PO Box</w:t>
          </w:r>
        </w:smartTag>
        <w:r w:rsidRPr="005527CF">
          <w:t xml:space="preserve"> 5487</w:t>
        </w:r>
      </w:smartTag>
      <w:r>
        <w:t xml:space="preserve">, </w:t>
      </w:r>
    </w:p>
    <w:p w:rsidR="003E24B5" w:rsidRPr="005527CF" w:rsidRDefault="003E24B5" w:rsidP="0070044D">
      <w:pPr>
        <w:spacing w:after="0"/>
      </w:pPr>
      <w:smartTag w:uri="urn:schemas-microsoft-com:office:smarttags" w:element="place">
        <w:r>
          <w:t>West Chatswood</w:t>
        </w:r>
      </w:smartTag>
      <w:r>
        <w:t xml:space="preserve">, </w:t>
      </w:r>
      <w:r w:rsidRPr="005527CF">
        <w:t>NSW  1515</w:t>
      </w:r>
    </w:p>
    <w:p w:rsidR="003E24B5" w:rsidRPr="005527CF" w:rsidRDefault="003E24B5" w:rsidP="0070044D">
      <w:pPr>
        <w:spacing w:after="0"/>
      </w:pPr>
      <w:r w:rsidRPr="005527CF">
        <w:t xml:space="preserve">Phone: </w:t>
      </w:r>
      <w:r>
        <w:tab/>
      </w:r>
      <w:r w:rsidRPr="005527CF">
        <w:t>(02) 9468 9300</w:t>
      </w:r>
    </w:p>
    <w:p w:rsidR="003E24B5" w:rsidRDefault="003E24B5" w:rsidP="0070044D">
      <w:pPr>
        <w:spacing w:after="0"/>
      </w:pPr>
      <w:r w:rsidRPr="005527CF">
        <w:t xml:space="preserve">Fax: </w:t>
      </w:r>
      <w:r w:rsidRPr="005527CF">
        <w:tab/>
        <w:t xml:space="preserve">(02) </w:t>
      </w:r>
      <w:r>
        <w:t>8008 1600</w:t>
      </w:r>
    </w:p>
    <w:p w:rsidR="003E24B5" w:rsidRDefault="003E24B5" w:rsidP="0070044D">
      <w:pPr>
        <w:spacing w:after="0"/>
      </w:pPr>
    </w:p>
    <w:p w:rsidR="003E24B5" w:rsidRDefault="003E24B5" w:rsidP="0070044D">
      <w:pPr>
        <w:spacing w:after="0"/>
      </w:pPr>
    </w:p>
    <w:p w:rsidR="003E24B5" w:rsidRPr="005527CF" w:rsidRDefault="003E24B5" w:rsidP="0070044D">
      <w:pPr>
        <w:spacing w:after="0"/>
        <w:rPr>
          <w:sz w:val="24"/>
          <w:szCs w:val="24"/>
        </w:rPr>
      </w:pPr>
    </w:p>
    <w:p w:rsidR="003E24B5" w:rsidRPr="00D1697C" w:rsidRDefault="003E24B5" w:rsidP="00D1697C">
      <w:pPr>
        <w:pStyle w:val="TableHeading"/>
        <w:tabs>
          <w:tab w:val="left" w:pos="5175"/>
        </w:tabs>
        <w:spacing w:before="840"/>
        <w:rPr>
          <w:color w:val="auto"/>
        </w:rPr>
      </w:pPr>
      <w:r w:rsidRPr="00D1697C">
        <w:rPr>
          <w:color w:val="auto"/>
        </w:rPr>
        <w:t>Document Control Log</w:t>
      </w:r>
    </w:p>
    <w:tbl>
      <w:tblPr>
        <w:tblW w:w="0" w:type="auto"/>
        <w:jc w:val="center"/>
        <w:tblBorders>
          <w:top w:val="single" w:sz="4" w:space="0" w:color="BFBFBF"/>
          <w:left w:val="single" w:sz="4" w:space="0" w:color="BFBFBF"/>
          <w:bottom w:val="single" w:sz="4" w:space="0" w:color="BFBFBF"/>
          <w:right w:val="single" w:sz="4" w:space="0" w:color="BFBFBF"/>
          <w:insideH w:val="single" w:sz="6" w:space="0" w:color="BFBFBF"/>
          <w:insideV w:val="single" w:sz="6" w:space="0" w:color="BFBFBF"/>
        </w:tblBorders>
        <w:tblLayout w:type="fixed"/>
        <w:tblLook w:val="00A0"/>
      </w:tblPr>
      <w:tblGrid>
        <w:gridCol w:w="1355"/>
        <w:gridCol w:w="2722"/>
        <w:gridCol w:w="1134"/>
        <w:gridCol w:w="1418"/>
        <w:gridCol w:w="1276"/>
        <w:gridCol w:w="1383"/>
      </w:tblGrid>
      <w:tr w:rsidR="003E24B5" w:rsidRPr="00E45E78" w:rsidTr="00363455">
        <w:trPr>
          <w:trHeight w:val="340"/>
          <w:jc w:val="center"/>
        </w:trPr>
        <w:tc>
          <w:tcPr>
            <w:tcW w:w="1355" w:type="dxa"/>
            <w:tcBorders>
              <w:top w:val="single" w:sz="4" w:space="0" w:color="BFBFBF"/>
            </w:tcBorders>
            <w:shd w:val="clear" w:color="auto" w:fill="CCECD0"/>
            <w:vAlign w:val="center"/>
          </w:tcPr>
          <w:p w:rsidR="003E24B5" w:rsidRPr="00B20989" w:rsidRDefault="003E24B5" w:rsidP="00F60043">
            <w:pPr>
              <w:pStyle w:val="TableColumnHeading"/>
            </w:pPr>
            <w:r w:rsidRPr="00B20989">
              <w:t>Revision No.</w:t>
            </w:r>
          </w:p>
        </w:tc>
        <w:tc>
          <w:tcPr>
            <w:tcW w:w="2722" w:type="dxa"/>
            <w:tcBorders>
              <w:top w:val="single" w:sz="4" w:space="0" w:color="BFBFBF"/>
            </w:tcBorders>
            <w:shd w:val="clear" w:color="auto" w:fill="CCECD0"/>
            <w:vAlign w:val="center"/>
          </w:tcPr>
          <w:p w:rsidR="003E24B5" w:rsidRPr="00F60043" w:rsidRDefault="003E24B5" w:rsidP="00F60043">
            <w:pPr>
              <w:pStyle w:val="TableColumnHeading"/>
            </w:pPr>
            <w:r w:rsidRPr="00B20989">
              <w:t>Amendment</w:t>
            </w:r>
          </w:p>
        </w:tc>
        <w:tc>
          <w:tcPr>
            <w:tcW w:w="1134" w:type="dxa"/>
            <w:tcBorders>
              <w:top w:val="single" w:sz="4" w:space="0" w:color="BFBFBF"/>
            </w:tcBorders>
            <w:shd w:val="clear" w:color="auto" w:fill="CCECD0"/>
            <w:vAlign w:val="center"/>
          </w:tcPr>
          <w:p w:rsidR="003E24B5" w:rsidRPr="00B20989" w:rsidRDefault="003E24B5" w:rsidP="00F60043">
            <w:pPr>
              <w:pStyle w:val="TableColumnHeading"/>
            </w:pPr>
            <w:r w:rsidRPr="00B20989">
              <w:t>Date</w:t>
            </w:r>
          </w:p>
        </w:tc>
        <w:tc>
          <w:tcPr>
            <w:tcW w:w="1418" w:type="dxa"/>
            <w:tcBorders>
              <w:top w:val="single" w:sz="4" w:space="0" w:color="BFBFBF"/>
            </w:tcBorders>
            <w:shd w:val="clear" w:color="auto" w:fill="CCECD0"/>
            <w:vAlign w:val="center"/>
          </w:tcPr>
          <w:p w:rsidR="003E24B5" w:rsidRPr="00B20989" w:rsidRDefault="003E24B5" w:rsidP="00F60043">
            <w:pPr>
              <w:pStyle w:val="TableColumnHeading"/>
            </w:pPr>
            <w:r w:rsidRPr="00B20989">
              <w:t>Prepared By</w:t>
            </w:r>
          </w:p>
        </w:tc>
        <w:tc>
          <w:tcPr>
            <w:tcW w:w="1276" w:type="dxa"/>
            <w:tcBorders>
              <w:top w:val="single" w:sz="4" w:space="0" w:color="BFBFBF"/>
            </w:tcBorders>
            <w:shd w:val="clear" w:color="auto" w:fill="CCECD0"/>
            <w:vAlign w:val="center"/>
          </w:tcPr>
          <w:p w:rsidR="003E24B5" w:rsidRPr="00B20989" w:rsidRDefault="003E24B5" w:rsidP="00F60043">
            <w:pPr>
              <w:pStyle w:val="TableColumnHeading"/>
            </w:pPr>
            <w:r w:rsidRPr="00B20989">
              <w:t>Checked By</w:t>
            </w:r>
          </w:p>
        </w:tc>
        <w:tc>
          <w:tcPr>
            <w:tcW w:w="1383" w:type="dxa"/>
            <w:tcBorders>
              <w:top w:val="single" w:sz="4" w:space="0" w:color="BFBFBF"/>
            </w:tcBorders>
            <w:shd w:val="clear" w:color="auto" w:fill="CCECD0"/>
            <w:vAlign w:val="center"/>
          </w:tcPr>
          <w:p w:rsidR="003E24B5" w:rsidRPr="00B20989" w:rsidRDefault="003E24B5" w:rsidP="00363455">
            <w:pPr>
              <w:pStyle w:val="TableColumnHeading"/>
            </w:pPr>
            <w:r>
              <w:t>Approved By</w:t>
            </w:r>
          </w:p>
        </w:tc>
      </w:tr>
      <w:tr w:rsidR="003E24B5" w:rsidRPr="00E45E78" w:rsidTr="00363455">
        <w:trPr>
          <w:cantSplit/>
          <w:trHeight w:val="340"/>
          <w:jc w:val="center"/>
        </w:trPr>
        <w:tc>
          <w:tcPr>
            <w:tcW w:w="1355" w:type="dxa"/>
            <w:vAlign w:val="center"/>
          </w:tcPr>
          <w:p w:rsidR="003E24B5" w:rsidRPr="00E45E78" w:rsidRDefault="003E24B5" w:rsidP="00A527F1">
            <w:pPr>
              <w:spacing w:after="0"/>
              <w:jc w:val="center"/>
            </w:pPr>
            <w:r>
              <w:t>A</w:t>
            </w:r>
          </w:p>
        </w:tc>
        <w:tc>
          <w:tcPr>
            <w:tcW w:w="2722" w:type="dxa"/>
            <w:vAlign w:val="center"/>
          </w:tcPr>
          <w:p w:rsidR="003E24B5" w:rsidRPr="00E45E78" w:rsidRDefault="003E24B5" w:rsidP="004518A2">
            <w:pPr>
              <w:spacing w:after="0"/>
              <w:jc w:val="left"/>
            </w:pPr>
            <w:r>
              <w:t>Informal Draft</w:t>
            </w:r>
          </w:p>
        </w:tc>
        <w:tc>
          <w:tcPr>
            <w:tcW w:w="1134" w:type="dxa"/>
            <w:vAlign w:val="center"/>
          </w:tcPr>
          <w:p w:rsidR="003E24B5" w:rsidRPr="00E45E78" w:rsidRDefault="003E24B5" w:rsidP="00A527F1">
            <w:pPr>
              <w:spacing w:after="0"/>
              <w:jc w:val="center"/>
            </w:pPr>
            <w:r>
              <w:t>10/12/10</w:t>
            </w:r>
          </w:p>
        </w:tc>
        <w:tc>
          <w:tcPr>
            <w:tcW w:w="1418" w:type="dxa"/>
            <w:vAlign w:val="center"/>
          </w:tcPr>
          <w:p w:rsidR="003E24B5" w:rsidRPr="00E45E78" w:rsidRDefault="003E24B5" w:rsidP="00A527F1">
            <w:pPr>
              <w:spacing w:after="0"/>
              <w:jc w:val="center"/>
            </w:pPr>
            <w:r>
              <w:t>G Latimer</w:t>
            </w:r>
          </w:p>
        </w:tc>
        <w:tc>
          <w:tcPr>
            <w:tcW w:w="1276" w:type="dxa"/>
            <w:vAlign w:val="center"/>
          </w:tcPr>
          <w:p w:rsidR="003E24B5" w:rsidRPr="00E45E78" w:rsidRDefault="003E24B5" w:rsidP="00A527F1">
            <w:pPr>
              <w:spacing w:after="0"/>
              <w:jc w:val="center"/>
            </w:pPr>
          </w:p>
        </w:tc>
        <w:tc>
          <w:tcPr>
            <w:tcW w:w="1383" w:type="dxa"/>
            <w:vAlign w:val="center"/>
          </w:tcPr>
          <w:p w:rsidR="003E24B5" w:rsidRPr="00E45E78" w:rsidRDefault="003E24B5" w:rsidP="00363455">
            <w:pPr>
              <w:spacing w:after="0"/>
              <w:jc w:val="center"/>
            </w:pPr>
          </w:p>
        </w:tc>
      </w:tr>
      <w:tr w:rsidR="003E24B5" w:rsidRPr="00E45E78" w:rsidTr="00363455">
        <w:trPr>
          <w:cantSplit/>
          <w:trHeight w:val="340"/>
          <w:jc w:val="center"/>
        </w:trPr>
        <w:tc>
          <w:tcPr>
            <w:tcW w:w="1355" w:type="dxa"/>
            <w:vAlign w:val="center"/>
          </w:tcPr>
          <w:p w:rsidR="003E24B5" w:rsidRPr="00E45E78" w:rsidRDefault="003E24B5" w:rsidP="00A527F1">
            <w:pPr>
              <w:spacing w:after="0"/>
              <w:jc w:val="center"/>
            </w:pPr>
            <w:r>
              <w:t>B</w:t>
            </w:r>
          </w:p>
        </w:tc>
        <w:tc>
          <w:tcPr>
            <w:tcW w:w="2722" w:type="dxa"/>
            <w:vAlign w:val="center"/>
          </w:tcPr>
          <w:p w:rsidR="003E24B5" w:rsidRPr="00E45E78" w:rsidRDefault="003E24B5" w:rsidP="004518A2">
            <w:pPr>
              <w:spacing w:after="0"/>
              <w:jc w:val="left"/>
            </w:pPr>
            <w:r>
              <w:t>Draft Report for internal review</w:t>
            </w:r>
          </w:p>
        </w:tc>
        <w:tc>
          <w:tcPr>
            <w:tcW w:w="1134" w:type="dxa"/>
            <w:vAlign w:val="center"/>
          </w:tcPr>
          <w:p w:rsidR="003E24B5" w:rsidRPr="00E45E78" w:rsidRDefault="003E24B5" w:rsidP="00A527F1">
            <w:pPr>
              <w:spacing w:after="0"/>
              <w:jc w:val="center"/>
            </w:pPr>
            <w:r>
              <w:t>6/01/11</w:t>
            </w:r>
          </w:p>
        </w:tc>
        <w:tc>
          <w:tcPr>
            <w:tcW w:w="1418" w:type="dxa"/>
            <w:vAlign w:val="center"/>
          </w:tcPr>
          <w:p w:rsidR="003E24B5" w:rsidRPr="00E45E78" w:rsidRDefault="003E24B5" w:rsidP="004518A2">
            <w:pPr>
              <w:spacing w:after="0"/>
              <w:jc w:val="center"/>
            </w:pPr>
            <w:r>
              <w:t>G Latimer</w:t>
            </w:r>
          </w:p>
        </w:tc>
        <w:tc>
          <w:tcPr>
            <w:tcW w:w="1276" w:type="dxa"/>
            <w:vAlign w:val="center"/>
          </w:tcPr>
          <w:p w:rsidR="003E24B5" w:rsidRPr="00E45E78" w:rsidRDefault="003E24B5" w:rsidP="00A527F1">
            <w:pPr>
              <w:spacing w:after="0"/>
              <w:jc w:val="center"/>
            </w:pPr>
            <w:r>
              <w:t xml:space="preserve">T </w:t>
            </w:r>
            <w:smartTag w:uri="urn:schemas-microsoft-com:office:smarttags" w:element="place">
              <w:smartTag w:uri="urn:schemas-microsoft-com:office:smarttags" w:element="City">
                <w:r>
                  <w:t>Jackson</w:t>
                </w:r>
              </w:smartTag>
            </w:smartTag>
          </w:p>
        </w:tc>
        <w:tc>
          <w:tcPr>
            <w:tcW w:w="1383" w:type="dxa"/>
            <w:vAlign w:val="center"/>
          </w:tcPr>
          <w:p w:rsidR="003E24B5" w:rsidRPr="00E45E78" w:rsidRDefault="003E24B5" w:rsidP="00363455">
            <w:pPr>
              <w:spacing w:after="0"/>
              <w:jc w:val="center"/>
            </w:pPr>
          </w:p>
        </w:tc>
      </w:tr>
      <w:tr w:rsidR="003E24B5" w:rsidRPr="00E45E78" w:rsidTr="00363455">
        <w:trPr>
          <w:cantSplit/>
          <w:trHeight w:val="340"/>
          <w:jc w:val="center"/>
        </w:trPr>
        <w:tc>
          <w:tcPr>
            <w:tcW w:w="1355" w:type="dxa"/>
            <w:vAlign w:val="center"/>
          </w:tcPr>
          <w:p w:rsidR="003E24B5" w:rsidRPr="00E45E78" w:rsidRDefault="003E24B5" w:rsidP="00A527F1">
            <w:pPr>
              <w:spacing w:after="0"/>
              <w:jc w:val="center"/>
            </w:pPr>
            <w:r>
              <w:t>0</w:t>
            </w:r>
          </w:p>
        </w:tc>
        <w:tc>
          <w:tcPr>
            <w:tcW w:w="2722" w:type="dxa"/>
            <w:vAlign w:val="center"/>
          </w:tcPr>
          <w:p w:rsidR="003E24B5" w:rsidRPr="00E45E78" w:rsidRDefault="003E24B5" w:rsidP="005B4729">
            <w:pPr>
              <w:spacing w:after="0"/>
              <w:jc w:val="left"/>
            </w:pPr>
            <w:r>
              <w:t>Draft Report for submission to DSEWPaC</w:t>
            </w:r>
          </w:p>
        </w:tc>
        <w:tc>
          <w:tcPr>
            <w:tcW w:w="1134" w:type="dxa"/>
            <w:vAlign w:val="center"/>
          </w:tcPr>
          <w:p w:rsidR="003E24B5" w:rsidRPr="00E45E78" w:rsidRDefault="003E24B5" w:rsidP="00A527F1">
            <w:pPr>
              <w:spacing w:after="0"/>
              <w:jc w:val="center"/>
            </w:pPr>
            <w:r>
              <w:t>7/01/11</w:t>
            </w:r>
          </w:p>
        </w:tc>
        <w:tc>
          <w:tcPr>
            <w:tcW w:w="1418" w:type="dxa"/>
            <w:vAlign w:val="center"/>
          </w:tcPr>
          <w:p w:rsidR="003E24B5" w:rsidRPr="00E45E78" w:rsidRDefault="003E24B5" w:rsidP="00A527F1">
            <w:pPr>
              <w:spacing w:after="0"/>
              <w:jc w:val="center"/>
            </w:pPr>
            <w:r>
              <w:t xml:space="preserve">T </w:t>
            </w:r>
            <w:smartTag w:uri="urn:schemas-microsoft-com:office:smarttags" w:element="place">
              <w:smartTag w:uri="urn:schemas-microsoft-com:office:smarttags" w:element="City">
                <w:r>
                  <w:t>Jackson</w:t>
                </w:r>
              </w:smartTag>
            </w:smartTag>
          </w:p>
        </w:tc>
        <w:tc>
          <w:tcPr>
            <w:tcW w:w="1276" w:type="dxa"/>
            <w:vAlign w:val="center"/>
          </w:tcPr>
          <w:p w:rsidR="003E24B5" w:rsidRPr="00E45E78" w:rsidRDefault="003E24B5" w:rsidP="00A527F1">
            <w:pPr>
              <w:spacing w:after="0"/>
              <w:jc w:val="center"/>
            </w:pPr>
            <w:r>
              <w:t>G Latimer</w:t>
            </w:r>
          </w:p>
        </w:tc>
        <w:tc>
          <w:tcPr>
            <w:tcW w:w="1383" w:type="dxa"/>
            <w:vAlign w:val="center"/>
          </w:tcPr>
          <w:p w:rsidR="003E24B5" w:rsidRPr="00E45E78" w:rsidRDefault="003E24B5" w:rsidP="00363455">
            <w:pPr>
              <w:spacing w:after="0"/>
              <w:jc w:val="center"/>
            </w:pPr>
            <w:r>
              <w:t>G Latimer</w:t>
            </w:r>
          </w:p>
        </w:tc>
      </w:tr>
      <w:tr w:rsidR="003E24B5" w:rsidRPr="00E45E78" w:rsidTr="00363455">
        <w:trPr>
          <w:cantSplit/>
          <w:trHeight w:val="340"/>
          <w:jc w:val="center"/>
        </w:trPr>
        <w:tc>
          <w:tcPr>
            <w:tcW w:w="1355" w:type="dxa"/>
            <w:vAlign w:val="center"/>
          </w:tcPr>
          <w:p w:rsidR="003E24B5" w:rsidRPr="00E45E78" w:rsidRDefault="003E24B5" w:rsidP="00A527F1">
            <w:pPr>
              <w:spacing w:after="0"/>
              <w:jc w:val="center"/>
            </w:pPr>
            <w:r>
              <w:t>A</w:t>
            </w:r>
          </w:p>
        </w:tc>
        <w:tc>
          <w:tcPr>
            <w:tcW w:w="2722" w:type="dxa"/>
            <w:vAlign w:val="center"/>
          </w:tcPr>
          <w:p w:rsidR="003E24B5" w:rsidRPr="00E45E78" w:rsidRDefault="003E24B5" w:rsidP="00043F95">
            <w:pPr>
              <w:spacing w:after="0"/>
              <w:jc w:val="left"/>
            </w:pPr>
            <w:r>
              <w:t>Final Report for submission to DSEWPaC</w:t>
            </w:r>
          </w:p>
        </w:tc>
        <w:tc>
          <w:tcPr>
            <w:tcW w:w="1134" w:type="dxa"/>
            <w:vAlign w:val="center"/>
          </w:tcPr>
          <w:p w:rsidR="003E24B5" w:rsidRPr="00E45E78" w:rsidRDefault="003E24B5" w:rsidP="00A527F1">
            <w:pPr>
              <w:spacing w:after="0"/>
              <w:jc w:val="center"/>
            </w:pPr>
            <w:r>
              <w:t>19/</w:t>
            </w:r>
            <w:r w:rsidR="00C51BAA">
              <w:t>0</w:t>
            </w:r>
            <w:r>
              <w:t>1/11</w:t>
            </w:r>
          </w:p>
        </w:tc>
        <w:tc>
          <w:tcPr>
            <w:tcW w:w="1418" w:type="dxa"/>
            <w:vAlign w:val="center"/>
          </w:tcPr>
          <w:p w:rsidR="003E24B5" w:rsidRPr="00E45E78" w:rsidRDefault="003E24B5" w:rsidP="00A527F1">
            <w:pPr>
              <w:spacing w:after="0"/>
              <w:jc w:val="center"/>
            </w:pPr>
            <w:r>
              <w:t xml:space="preserve">T </w:t>
            </w:r>
            <w:smartTag w:uri="urn:schemas-microsoft-com:office:smarttags" w:element="place">
              <w:smartTag w:uri="urn:schemas-microsoft-com:office:smarttags" w:element="City">
                <w:r>
                  <w:t>Jackson</w:t>
                </w:r>
              </w:smartTag>
            </w:smartTag>
          </w:p>
        </w:tc>
        <w:tc>
          <w:tcPr>
            <w:tcW w:w="1276" w:type="dxa"/>
            <w:vAlign w:val="center"/>
          </w:tcPr>
          <w:p w:rsidR="003E24B5" w:rsidRPr="00E45E78" w:rsidRDefault="003E24B5" w:rsidP="00A527F1">
            <w:pPr>
              <w:spacing w:after="0"/>
              <w:jc w:val="center"/>
            </w:pPr>
            <w:r>
              <w:t>G Latimer</w:t>
            </w:r>
          </w:p>
        </w:tc>
        <w:tc>
          <w:tcPr>
            <w:tcW w:w="1383" w:type="dxa"/>
            <w:vAlign w:val="center"/>
          </w:tcPr>
          <w:p w:rsidR="003E24B5" w:rsidRPr="00E45E78" w:rsidRDefault="003E24B5" w:rsidP="00363455">
            <w:pPr>
              <w:spacing w:after="0"/>
              <w:jc w:val="center"/>
            </w:pPr>
          </w:p>
        </w:tc>
      </w:tr>
      <w:tr w:rsidR="003E24B5" w:rsidRPr="00E45E78" w:rsidTr="00C51BAA">
        <w:trPr>
          <w:cantSplit/>
          <w:trHeight w:val="340"/>
          <w:jc w:val="center"/>
        </w:trPr>
        <w:tc>
          <w:tcPr>
            <w:tcW w:w="1355" w:type="dxa"/>
            <w:vAlign w:val="center"/>
          </w:tcPr>
          <w:p w:rsidR="003E24B5" w:rsidRPr="00E45E78" w:rsidRDefault="003E24B5" w:rsidP="00A527F1">
            <w:pPr>
              <w:spacing w:after="0"/>
              <w:jc w:val="center"/>
            </w:pPr>
            <w:r>
              <w:t>0</w:t>
            </w:r>
          </w:p>
        </w:tc>
        <w:tc>
          <w:tcPr>
            <w:tcW w:w="2722" w:type="dxa"/>
            <w:vAlign w:val="center"/>
          </w:tcPr>
          <w:p w:rsidR="003E24B5" w:rsidRPr="00E45E78" w:rsidRDefault="003E24B5" w:rsidP="00043F95">
            <w:pPr>
              <w:spacing w:after="0"/>
              <w:jc w:val="left"/>
            </w:pPr>
            <w:r>
              <w:t>Final Report for submission to DSEWPaC</w:t>
            </w:r>
          </w:p>
        </w:tc>
        <w:tc>
          <w:tcPr>
            <w:tcW w:w="1134" w:type="dxa"/>
            <w:vAlign w:val="center"/>
          </w:tcPr>
          <w:p w:rsidR="003E24B5" w:rsidRPr="00E45E78" w:rsidRDefault="003E24B5" w:rsidP="00A527F1">
            <w:pPr>
              <w:spacing w:after="0"/>
              <w:jc w:val="center"/>
            </w:pPr>
            <w:r>
              <w:t>31/</w:t>
            </w:r>
            <w:r w:rsidR="00C51BAA">
              <w:t>0</w:t>
            </w:r>
            <w:r>
              <w:t>1/1</w:t>
            </w:r>
            <w:r w:rsidR="00C51BAA">
              <w:t>1</w:t>
            </w:r>
          </w:p>
        </w:tc>
        <w:tc>
          <w:tcPr>
            <w:tcW w:w="1418" w:type="dxa"/>
            <w:vAlign w:val="center"/>
          </w:tcPr>
          <w:p w:rsidR="003E24B5" w:rsidRPr="00E45E78" w:rsidRDefault="003E24B5" w:rsidP="00043F95">
            <w:pPr>
              <w:spacing w:after="0"/>
              <w:jc w:val="center"/>
            </w:pPr>
            <w:r>
              <w:t xml:space="preserve">T </w:t>
            </w:r>
            <w:smartTag w:uri="urn:schemas-microsoft-com:office:smarttags" w:element="place">
              <w:smartTag w:uri="urn:schemas-microsoft-com:office:smarttags" w:element="City">
                <w:r>
                  <w:t>Jackson</w:t>
                </w:r>
              </w:smartTag>
            </w:smartTag>
          </w:p>
        </w:tc>
        <w:tc>
          <w:tcPr>
            <w:tcW w:w="1276" w:type="dxa"/>
            <w:vAlign w:val="center"/>
          </w:tcPr>
          <w:p w:rsidR="003E24B5" w:rsidRPr="00E45E78" w:rsidRDefault="003E24B5" w:rsidP="00043F95">
            <w:pPr>
              <w:spacing w:after="0"/>
              <w:jc w:val="center"/>
            </w:pPr>
            <w:r>
              <w:t>G Latimer</w:t>
            </w:r>
          </w:p>
        </w:tc>
        <w:tc>
          <w:tcPr>
            <w:tcW w:w="1383" w:type="dxa"/>
            <w:vAlign w:val="center"/>
          </w:tcPr>
          <w:p w:rsidR="003E24B5" w:rsidRPr="00E45E78" w:rsidRDefault="003E24B5" w:rsidP="00043F95">
            <w:pPr>
              <w:spacing w:after="0"/>
              <w:jc w:val="center"/>
            </w:pPr>
            <w:r>
              <w:t>G Latimer</w:t>
            </w:r>
          </w:p>
        </w:tc>
      </w:tr>
      <w:tr w:rsidR="00C51BAA" w:rsidRPr="00E45E78" w:rsidTr="00BC0452">
        <w:trPr>
          <w:cantSplit/>
          <w:trHeight w:val="340"/>
          <w:jc w:val="center"/>
        </w:trPr>
        <w:tc>
          <w:tcPr>
            <w:tcW w:w="1355" w:type="dxa"/>
            <w:vAlign w:val="center"/>
          </w:tcPr>
          <w:p w:rsidR="00C51BAA" w:rsidRDefault="00C51BAA" w:rsidP="00A527F1">
            <w:pPr>
              <w:spacing w:after="0"/>
              <w:jc w:val="center"/>
            </w:pPr>
            <w:r>
              <w:t>1</w:t>
            </w:r>
          </w:p>
        </w:tc>
        <w:tc>
          <w:tcPr>
            <w:tcW w:w="2722" w:type="dxa"/>
            <w:vAlign w:val="center"/>
          </w:tcPr>
          <w:p w:rsidR="00C51BAA" w:rsidRDefault="00C51BAA" w:rsidP="00C51BAA">
            <w:pPr>
              <w:spacing w:after="0"/>
              <w:jc w:val="left"/>
            </w:pPr>
            <w:r>
              <w:t>Final Report (minor amendments)</w:t>
            </w:r>
          </w:p>
        </w:tc>
        <w:tc>
          <w:tcPr>
            <w:tcW w:w="1134" w:type="dxa"/>
            <w:vAlign w:val="center"/>
          </w:tcPr>
          <w:p w:rsidR="00C51BAA" w:rsidRDefault="00C51BAA" w:rsidP="00C51BAA">
            <w:pPr>
              <w:spacing w:after="0"/>
              <w:jc w:val="center"/>
            </w:pPr>
            <w:r>
              <w:t>2/02/11</w:t>
            </w:r>
          </w:p>
        </w:tc>
        <w:tc>
          <w:tcPr>
            <w:tcW w:w="1418" w:type="dxa"/>
            <w:vAlign w:val="center"/>
          </w:tcPr>
          <w:p w:rsidR="00C51BAA" w:rsidRDefault="00C51BAA" w:rsidP="00043F95">
            <w:pPr>
              <w:spacing w:after="0"/>
              <w:jc w:val="center"/>
            </w:pPr>
            <w:r>
              <w:t>G Latimer</w:t>
            </w:r>
          </w:p>
        </w:tc>
        <w:tc>
          <w:tcPr>
            <w:tcW w:w="1276" w:type="dxa"/>
            <w:vAlign w:val="center"/>
          </w:tcPr>
          <w:p w:rsidR="00C51BAA" w:rsidRDefault="00C51BAA" w:rsidP="00043F95">
            <w:pPr>
              <w:spacing w:after="0"/>
              <w:jc w:val="center"/>
            </w:pPr>
            <w:r>
              <w:t>G Latimer</w:t>
            </w:r>
          </w:p>
        </w:tc>
        <w:tc>
          <w:tcPr>
            <w:tcW w:w="1383" w:type="dxa"/>
            <w:vAlign w:val="center"/>
          </w:tcPr>
          <w:p w:rsidR="00C51BAA" w:rsidRDefault="00C51BAA" w:rsidP="00043F95">
            <w:pPr>
              <w:spacing w:after="0"/>
              <w:jc w:val="center"/>
            </w:pPr>
            <w:r>
              <w:t>G Latimer</w:t>
            </w:r>
          </w:p>
        </w:tc>
      </w:tr>
      <w:tr w:rsidR="00BC0452" w:rsidRPr="00E45E78" w:rsidTr="00363455">
        <w:trPr>
          <w:cantSplit/>
          <w:trHeight w:val="340"/>
          <w:jc w:val="center"/>
        </w:trPr>
        <w:tc>
          <w:tcPr>
            <w:tcW w:w="1355" w:type="dxa"/>
            <w:tcBorders>
              <w:bottom w:val="single" w:sz="4" w:space="0" w:color="BFBFBF"/>
            </w:tcBorders>
            <w:vAlign w:val="center"/>
          </w:tcPr>
          <w:p w:rsidR="00BC0452" w:rsidRDefault="00BC0452" w:rsidP="00A527F1">
            <w:pPr>
              <w:spacing w:after="0"/>
              <w:jc w:val="center"/>
            </w:pPr>
            <w:r>
              <w:t>2</w:t>
            </w:r>
          </w:p>
        </w:tc>
        <w:tc>
          <w:tcPr>
            <w:tcW w:w="2722" w:type="dxa"/>
            <w:tcBorders>
              <w:bottom w:val="single" w:sz="4" w:space="0" w:color="BFBFBF"/>
            </w:tcBorders>
            <w:vAlign w:val="center"/>
          </w:tcPr>
          <w:p w:rsidR="00BC0452" w:rsidRDefault="00BC0452" w:rsidP="00BC0452">
            <w:pPr>
              <w:spacing w:after="0"/>
              <w:jc w:val="left"/>
            </w:pPr>
            <w:r>
              <w:t>Final Report (post IWG feedback)</w:t>
            </w:r>
          </w:p>
        </w:tc>
        <w:tc>
          <w:tcPr>
            <w:tcW w:w="1134" w:type="dxa"/>
            <w:tcBorders>
              <w:bottom w:val="single" w:sz="4" w:space="0" w:color="BFBFBF"/>
            </w:tcBorders>
            <w:vAlign w:val="center"/>
          </w:tcPr>
          <w:p w:rsidR="00BC0452" w:rsidRDefault="00705050" w:rsidP="00C51BAA">
            <w:pPr>
              <w:spacing w:after="0"/>
              <w:jc w:val="center"/>
            </w:pPr>
            <w:r>
              <w:t>7</w:t>
            </w:r>
            <w:r w:rsidR="00BC0452">
              <w:t>/</w:t>
            </w:r>
            <w:r>
              <w:t>3/11</w:t>
            </w:r>
          </w:p>
        </w:tc>
        <w:tc>
          <w:tcPr>
            <w:tcW w:w="1418" w:type="dxa"/>
            <w:tcBorders>
              <w:bottom w:val="single" w:sz="4" w:space="0" w:color="BFBFBF"/>
            </w:tcBorders>
            <w:vAlign w:val="center"/>
          </w:tcPr>
          <w:p w:rsidR="00BC0452" w:rsidRDefault="00705050" w:rsidP="00705050">
            <w:pPr>
              <w:spacing w:after="0"/>
              <w:jc w:val="center"/>
            </w:pPr>
            <w:r>
              <w:t>G Latimer</w:t>
            </w:r>
          </w:p>
        </w:tc>
        <w:tc>
          <w:tcPr>
            <w:tcW w:w="1276" w:type="dxa"/>
            <w:tcBorders>
              <w:bottom w:val="single" w:sz="4" w:space="0" w:color="BFBFBF"/>
            </w:tcBorders>
            <w:vAlign w:val="center"/>
          </w:tcPr>
          <w:p w:rsidR="00BC0452" w:rsidRDefault="00705050" w:rsidP="00043F95">
            <w:pPr>
              <w:spacing w:after="0"/>
              <w:jc w:val="center"/>
            </w:pPr>
            <w:r>
              <w:t>T Jackson</w:t>
            </w:r>
          </w:p>
        </w:tc>
        <w:tc>
          <w:tcPr>
            <w:tcW w:w="1383" w:type="dxa"/>
            <w:tcBorders>
              <w:bottom w:val="single" w:sz="4" w:space="0" w:color="BFBFBF"/>
            </w:tcBorders>
            <w:vAlign w:val="center"/>
          </w:tcPr>
          <w:p w:rsidR="00BC0452" w:rsidRDefault="00705050" w:rsidP="00043F95">
            <w:pPr>
              <w:spacing w:after="0"/>
              <w:jc w:val="center"/>
            </w:pPr>
            <w:r>
              <w:t>G Latimer</w:t>
            </w:r>
          </w:p>
        </w:tc>
      </w:tr>
    </w:tbl>
    <w:p w:rsidR="003E24B5" w:rsidRDefault="003E24B5" w:rsidP="00A527F1">
      <w:pPr>
        <w:spacing w:after="0"/>
      </w:pPr>
    </w:p>
    <w:p w:rsidR="003E24B5" w:rsidRDefault="003E24B5" w:rsidP="00DA0C4E"/>
    <w:p w:rsidR="003E24B5" w:rsidRPr="00D17737" w:rsidRDefault="003E24B5" w:rsidP="00560E8D">
      <w:pPr>
        <w:spacing w:after="0"/>
        <w:rPr>
          <w:sz w:val="16"/>
          <w:szCs w:val="16"/>
        </w:rPr>
      </w:pPr>
      <w:r>
        <w:rPr>
          <w:sz w:val="16"/>
          <w:szCs w:val="16"/>
        </w:rPr>
        <w:t xml:space="preserve">© KMH Environmental </w:t>
      </w:r>
      <w:r w:rsidRPr="00D17737">
        <w:rPr>
          <w:sz w:val="16"/>
          <w:szCs w:val="16"/>
        </w:rPr>
        <w:t>20</w:t>
      </w:r>
      <w:r>
        <w:rPr>
          <w:sz w:val="16"/>
          <w:szCs w:val="16"/>
        </w:rPr>
        <w:t>10</w:t>
      </w:r>
    </w:p>
    <w:p w:rsidR="003E24B5" w:rsidRPr="00D17737" w:rsidRDefault="003E24B5" w:rsidP="00285EA9">
      <w:pPr>
        <w:rPr>
          <w:sz w:val="16"/>
          <w:szCs w:val="16"/>
        </w:rPr>
      </w:pPr>
      <w:r w:rsidRPr="00D17737">
        <w:rPr>
          <w:sz w:val="16"/>
          <w:szCs w:val="16"/>
        </w:rPr>
        <w:t>The information contained in this document produced by KMH Environmental is solely for the use of the Client identified on the cover sheet for the purpose for which it has been prepared and KMH Environmental undertakes no duty to or accepts any responsibility to any third party who may rely upon this document.</w:t>
      </w:r>
    </w:p>
    <w:p w:rsidR="003E24B5" w:rsidRDefault="003E24B5" w:rsidP="00285EA9">
      <w:pPr>
        <w:rPr>
          <w:sz w:val="16"/>
          <w:szCs w:val="16"/>
        </w:rPr>
      </w:pPr>
      <w:r w:rsidRPr="00D17737">
        <w:rPr>
          <w:sz w:val="16"/>
          <w:szCs w:val="16"/>
        </w:rPr>
        <w:t>All rights reserved. No section or element of this document may be removed from this document, reproduced, electronically stored or transmitted in any form without the written permission of KMH Environmental.</w:t>
      </w:r>
    </w:p>
    <w:p w:rsidR="003E24B5" w:rsidRDefault="003E24B5" w:rsidP="00285EA9">
      <w:pPr>
        <w:rPr>
          <w:sz w:val="16"/>
          <w:szCs w:val="16"/>
        </w:rPr>
        <w:sectPr w:rsidR="003E24B5" w:rsidSect="00180D64">
          <w:headerReference w:type="default" r:id="rId16"/>
          <w:footerReference w:type="default" r:id="rId17"/>
          <w:pgSz w:w="11907" w:h="16839" w:code="9"/>
          <w:pgMar w:top="851" w:right="1134" w:bottom="851" w:left="1701" w:header="425" w:footer="425" w:gutter="0"/>
          <w:pgNumType w:fmt="lowerRoman" w:start="1"/>
          <w:cols w:space="708"/>
          <w:docGrid w:linePitch="360"/>
        </w:sectPr>
      </w:pPr>
    </w:p>
    <w:p w:rsidR="003E24B5" w:rsidRDefault="003E24B5" w:rsidP="00285EA9">
      <w:pPr>
        <w:rPr>
          <w:sz w:val="16"/>
          <w:szCs w:val="16"/>
        </w:rPr>
      </w:pPr>
    </w:p>
    <w:p w:rsidR="003E24B5" w:rsidRDefault="003E24B5" w:rsidP="00285EA9">
      <w:pPr>
        <w:rPr>
          <w:sz w:val="16"/>
          <w:szCs w:val="16"/>
        </w:rPr>
      </w:pPr>
    </w:p>
    <w:p w:rsidR="003E24B5" w:rsidRDefault="003E24B5" w:rsidP="00285EA9">
      <w:pPr>
        <w:rPr>
          <w:sz w:val="16"/>
          <w:szCs w:val="16"/>
        </w:rPr>
      </w:pPr>
    </w:p>
    <w:p w:rsidR="003E24B5" w:rsidRDefault="003E24B5" w:rsidP="00285EA9">
      <w:pPr>
        <w:rPr>
          <w:sz w:val="16"/>
          <w:szCs w:val="16"/>
        </w:rPr>
      </w:pPr>
    </w:p>
    <w:p w:rsidR="003E24B5" w:rsidRPr="000057EA" w:rsidRDefault="003E24B5" w:rsidP="00913B57">
      <w:pPr>
        <w:jc w:val="center"/>
        <w:rPr>
          <w:b/>
          <w:color w:val="235F2A"/>
          <w:sz w:val="40"/>
          <w:szCs w:val="40"/>
        </w:rPr>
      </w:pPr>
      <w:r w:rsidRPr="000057EA">
        <w:rPr>
          <w:b/>
          <w:color w:val="235F2A"/>
          <w:sz w:val="40"/>
          <w:szCs w:val="40"/>
        </w:rPr>
        <w:t>TABLE OF CONTENTS</w:t>
      </w:r>
    </w:p>
    <w:p w:rsidR="00235045" w:rsidRDefault="00BC5396">
      <w:pPr>
        <w:pStyle w:val="TOC1"/>
        <w:tabs>
          <w:tab w:val="right" w:leader="dot" w:pos="9062"/>
        </w:tabs>
        <w:rPr>
          <w:rFonts w:asciiTheme="minorHAnsi" w:eastAsiaTheme="minorEastAsia" w:hAnsiTheme="minorHAnsi" w:cstheme="minorBidi"/>
          <w:b w:val="0"/>
          <w:bCs w:val="0"/>
          <w:noProof/>
          <w:sz w:val="22"/>
          <w:szCs w:val="22"/>
          <w:lang w:eastAsia="en-AU"/>
        </w:rPr>
      </w:pPr>
      <w:r w:rsidRPr="00BC5396">
        <w:rPr>
          <w:b w:val="0"/>
          <w:bCs w:val="0"/>
        </w:rPr>
        <w:fldChar w:fldCharType="begin"/>
      </w:r>
      <w:r w:rsidR="003E24B5">
        <w:rPr>
          <w:b w:val="0"/>
          <w:bCs w:val="0"/>
        </w:rPr>
        <w:instrText xml:space="preserve"> TOC \h \z \t "KMH Number Heading 1,1,KMH Number heading 2,2" </w:instrText>
      </w:r>
      <w:r w:rsidRPr="00BC5396">
        <w:rPr>
          <w:b w:val="0"/>
          <w:bCs w:val="0"/>
        </w:rPr>
        <w:fldChar w:fldCharType="separate"/>
      </w:r>
      <w:hyperlink w:anchor="_Toc287018222" w:history="1">
        <w:r w:rsidR="00235045" w:rsidRPr="00DE441B">
          <w:rPr>
            <w:rStyle w:val="Hyperlink"/>
            <w:noProof/>
          </w:rPr>
          <w:t>Executive Summary</w:t>
        </w:r>
        <w:r w:rsidR="00235045">
          <w:rPr>
            <w:noProof/>
            <w:webHidden/>
          </w:rPr>
          <w:tab/>
        </w:r>
        <w:r>
          <w:rPr>
            <w:noProof/>
            <w:webHidden/>
          </w:rPr>
          <w:fldChar w:fldCharType="begin"/>
        </w:r>
        <w:r w:rsidR="00235045">
          <w:rPr>
            <w:noProof/>
            <w:webHidden/>
          </w:rPr>
          <w:instrText xml:space="preserve"> PAGEREF _Toc287018222 \h </w:instrText>
        </w:r>
        <w:r>
          <w:rPr>
            <w:noProof/>
            <w:webHidden/>
          </w:rPr>
        </w:r>
        <w:r>
          <w:rPr>
            <w:noProof/>
            <w:webHidden/>
          </w:rPr>
          <w:fldChar w:fldCharType="separate"/>
        </w:r>
        <w:r w:rsidR="00F852EF">
          <w:rPr>
            <w:noProof/>
            <w:webHidden/>
          </w:rPr>
          <w:t>3</w:t>
        </w:r>
        <w:r>
          <w:rPr>
            <w:noProof/>
            <w:webHidden/>
          </w:rPr>
          <w:fldChar w:fldCharType="end"/>
        </w:r>
      </w:hyperlink>
    </w:p>
    <w:p w:rsidR="00235045" w:rsidRDefault="00BC5396">
      <w:pPr>
        <w:pStyle w:val="TOC1"/>
        <w:tabs>
          <w:tab w:val="left" w:pos="720"/>
          <w:tab w:val="right" w:leader="dot" w:pos="9062"/>
        </w:tabs>
        <w:rPr>
          <w:rFonts w:asciiTheme="minorHAnsi" w:eastAsiaTheme="minorEastAsia" w:hAnsiTheme="minorHAnsi" w:cstheme="minorBidi"/>
          <w:b w:val="0"/>
          <w:bCs w:val="0"/>
          <w:noProof/>
          <w:sz w:val="22"/>
          <w:szCs w:val="22"/>
          <w:lang w:eastAsia="en-AU"/>
        </w:rPr>
      </w:pPr>
      <w:hyperlink w:anchor="_Toc287018228" w:history="1">
        <w:r w:rsidR="00235045" w:rsidRPr="00DE441B">
          <w:rPr>
            <w:rStyle w:val="Hyperlink"/>
            <w:rFonts w:eastAsia="Times New Roman"/>
            <w:noProof/>
          </w:rPr>
          <w:t>1.</w:t>
        </w:r>
        <w:r w:rsidR="00235045">
          <w:rPr>
            <w:rFonts w:asciiTheme="minorHAnsi" w:eastAsiaTheme="minorEastAsia" w:hAnsiTheme="minorHAnsi" w:cstheme="minorBidi"/>
            <w:b w:val="0"/>
            <w:bCs w:val="0"/>
            <w:noProof/>
            <w:sz w:val="22"/>
            <w:szCs w:val="22"/>
            <w:lang w:eastAsia="en-AU"/>
          </w:rPr>
          <w:tab/>
        </w:r>
        <w:r w:rsidR="00235045" w:rsidRPr="00DE441B">
          <w:rPr>
            <w:rStyle w:val="Hyperlink"/>
            <w:noProof/>
          </w:rPr>
          <w:t>Introduction</w:t>
        </w:r>
        <w:r w:rsidR="00235045">
          <w:rPr>
            <w:noProof/>
            <w:webHidden/>
          </w:rPr>
          <w:tab/>
        </w:r>
        <w:r>
          <w:rPr>
            <w:noProof/>
            <w:webHidden/>
          </w:rPr>
          <w:fldChar w:fldCharType="begin"/>
        </w:r>
        <w:r w:rsidR="00235045">
          <w:rPr>
            <w:noProof/>
            <w:webHidden/>
          </w:rPr>
          <w:instrText xml:space="preserve"> PAGEREF _Toc287018228 \h </w:instrText>
        </w:r>
        <w:r>
          <w:rPr>
            <w:noProof/>
            <w:webHidden/>
          </w:rPr>
        </w:r>
        <w:r>
          <w:rPr>
            <w:noProof/>
            <w:webHidden/>
          </w:rPr>
          <w:fldChar w:fldCharType="separate"/>
        </w:r>
        <w:r w:rsidR="00F852EF">
          <w:rPr>
            <w:noProof/>
            <w:webHidden/>
          </w:rPr>
          <w:t>8</w:t>
        </w:r>
        <w:r>
          <w:rPr>
            <w:noProof/>
            <w:webHidden/>
          </w:rPr>
          <w:fldChar w:fldCharType="end"/>
        </w:r>
      </w:hyperlink>
    </w:p>
    <w:p w:rsidR="00235045" w:rsidRDefault="00BC5396">
      <w:pPr>
        <w:pStyle w:val="TOC2"/>
        <w:rPr>
          <w:rFonts w:asciiTheme="minorHAnsi" w:eastAsiaTheme="minorEastAsia" w:hAnsiTheme="minorHAnsi" w:cstheme="minorBidi"/>
          <w:iCs w:val="0"/>
          <w:noProof/>
          <w:sz w:val="22"/>
          <w:szCs w:val="22"/>
          <w:lang w:eastAsia="en-AU"/>
        </w:rPr>
      </w:pPr>
      <w:hyperlink w:anchor="_Toc287018229" w:history="1">
        <w:r w:rsidR="00235045" w:rsidRPr="00DE441B">
          <w:rPr>
            <w:rStyle w:val="Hyperlink"/>
            <w:noProof/>
            <w:snapToGrid w:val="0"/>
            <w:w w:val="0"/>
          </w:rPr>
          <w:t>1.1.</w:t>
        </w:r>
        <w:r w:rsidR="00235045">
          <w:rPr>
            <w:rFonts w:asciiTheme="minorHAnsi" w:eastAsiaTheme="minorEastAsia" w:hAnsiTheme="minorHAnsi" w:cstheme="minorBidi"/>
            <w:iCs w:val="0"/>
            <w:noProof/>
            <w:sz w:val="22"/>
            <w:szCs w:val="22"/>
            <w:lang w:eastAsia="en-AU"/>
          </w:rPr>
          <w:tab/>
        </w:r>
        <w:r w:rsidR="00235045" w:rsidRPr="00DE441B">
          <w:rPr>
            <w:rStyle w:val="Hyperlink"/>
            <w:noProof/>
          </w:rPr>
          <w:t>Scope of work</w:t>
        </w:r>
        <w:r w:rsidR="00235045">
          <w:rPr>
            <w:noProof/>
            <w:webHidden/>
          </w:rPr>
          <w:tab/>
        </w:r>
        <w:r>
          <w:rPr>
            <w:noProof/>
            <w:webHidden/>
          </w:rPr>
          <w:fldChar w:fldCharType="begin"/>
        </w:r>
        <w:r w:rsidR="00235045">
          <w:rPr>
            <w:noProof/>
            <w:webHidden/>
          </w:rPr>
          <w:instrText xml:space="preserve"> PAGEREF _Toc287018229 \h </w:instrText>
        </w:r>
        <w:r>
          <w:rPr>
            <w:noProof/>
            <w:webHidden/>
          </w:rPr>
        </w:r>
        <w:r>
          <w:rPr>
            <w:noProof/>
            <w:webHidden/>
          </w:rPr>
          <w:fldChar w:fldCharType="separate"/>
        </w:r>
        <w:r w:rsidR="00F852EF">
          <w:rPr>
            <w:noProof/>
            <w:webHidden/>
          </w:rPr>
          <w:t>8</w:t>
        </w:r>
        <w:r>
          <w:rPr>
            <w:noProof/>
            <w:webHidden/>
          </w:rPr>
          <w:fldChar w:fldCharType="end"/>
        </w:r>
      </w:hyperlink>
    </w:p>
    <w:p w:rsidR="00235045" w:rsidRDefault="00BC5396">
      <w:pPr>
        <w:pStyle w:val="TOC2"/>
        <w:rPr>
          <w:rFonts w:asciiTheme="minorHAnsi" w:eastAsiaTheme="minorEastAsia" w:hAnsiTheme="minorHAnsi" w:cstheme="minorBidi"/>
          <w:iCs w:val="0"/>
          <w:noProof/>
          <w:sz w:val="22"/>
          <w:szCs w:val="22"/>
          <w:lang w:eastAsia="en-AU"/>
        </w:rPr>
      </w:pPr>
      <w:hyperlink w:anchor="_Toc287018230" w:history="1">
        <w:r w:rsidR="00235045" w:rsidRPr="00DE441B">
          <w:rPr>
            <w:rStyle w:val="Hyperlink"/>
            <w:noProof/>
            <w:snapToGrid w:val="0"/>
            <w:w w:val="0"/>
          </w:rPr>
          <w:t>1.2.</w:t>
        </w:r>
        <w:r w:rsidR="00235045">
          <w:rPr>
            <w:rFonts w:asciiTheme="minorHAnsi" w:eastAsiaTheme="minorEastAsia" w:hAnsiTheme="minorHAnsi" w:cstheme="minorBidi"/>
            <w:iCs w:val="0"/>
            <w:noProof/>
            <w:sz w:val="22"/>
            <w:szCs w:val="22"/>
            <w:lang w:eastAsia="en-AU"/>
          </w:rPr>
          <w:tab/>
        </w:r>
        <w:r w:rsidR="00235045" w:rsidRPr="00DE441B">
          <w:rPr>
            <w:rStyle w:val="Hyperlink"/>
            <w:noProof/>
          </w:rPr>
          <w:t>Scheme participants</w:t>
        </w:r>
        <w:r w:rsidR="00235045">
          <w:rPr>
            <w:noProof/>
            <w:webHidden/>
          </w:rPr>
          <w:tab/>
        </w:r>
        <w:r>
          <w:rPr>
            <w:noProof/>
            <w:webHidden/>
          </w:rPr>
          <w:fldChar w:fldCharType="begin"/>
        </w:r>
        <w:r w:rsidR="00235045">
          <w:rPr>
            <w:noProof/>
            <w:webHidden/>
          </w:rPr>
          <w:instrText xml:space="preserve"> PAGEREF _Toc287018230 \h </w:instrText>
        </w:r>
        <w:r>
          <w:rPr>
            <w:noProof/>
            <w:webHidden/>
          </w:rPr>
        </w:r>
        <w:r>
          <w:rPr>
            <w:noProof/>
            <w:webHidden/>
          </w:rPr>
          <w:fldChar w:fldCharType="separate"/>
        </w:r>
        <w:r w:rsidR="00F852EF">
          <w:rPr>
            <w:noProof/>
            <w:webHidden/>
          </w:rPr>
          <w:t>10</w:t>
        </w:r>
        <w:r>
          <w:rPr>
            <w:noProof/>
            <w:webHidden/>
          </w:rPr>
          <w:fldChar w:fldCharType="end"/>
        </w:r>
      </w:hyperlink>
    </w:p>
    <w:p w:rsidR="00235045" w:rsidRDefault="00BC5396">
      <w:pPr>
        <w:pStyle w:val="TOC2"/>
        <w:rPr>
          <w:rFonts w:asciiTheme="minorHAnsi" w:eastAsiaTheme="minorEastAsia" w:hAnsiTheme="minorHAnsi" w:cstheme="minorBidi"/>
          <w:iCs w:val="0"/>
          <w:noProof/>
          <w:sz w:val="22"/>
          <w:szCs w:val="22"/>
          <w:lang w:eastAsia="en-AU"/>
        </w:rPr>
      </w:pPr>
      <w:hyperlink w:anchor="_Toc287018231" w:history="1">
        <w:r w:rsidR="00235045" w:rsidRPr="00DE441B">
          <w:rPr>
            <w:rStyle w:val="Hyperlink"/>
            <w:noProof/>
            <w:snapToGrid w:val="0"/>
            <w:w w:val="0"/>
          </w:rPr>
          <w:t>1.3.</w:t>
        </w:r>
        <w:r w:rsidR="00235045">
          <w:rPr>
            <w:rFonts w:asciiTheme="minorHAnsi" w:eastAsiaTheme="minorEastAsia" w:hAnsiTheme="minorHAnsi" w:cstheme="minorBidi"/>
            <w:iCs w:val="0"/>
            <w:noProof/>
            <w:sz w:val="22"/>
            <w:szCs w:val="22"/>
            <w:lang w:eastAsia="en-AU"/>
          </w:rPr>
          <w:tab/>
        </w:r>
        <w:r w:rsidR="00235045" w:rsidRPr="00DE441B">
          <w:rPr>
            <w:rStyle w:val="Hyperlink"/>
            <w:noProof/>
          </w:rPr>
          <w:t>Stakeholder consultation</w:t>
        </w:r>
        <w:r w:rsidR="00235045">
          <w:rPr>
            <w:noProof/>
            <w:webHidden/>
          </w:rPr>
          <w:tab/>
        </w:r>
        <w:r>
          <w:rPr>
            <w:noProof/>
            <w:webHidden/>
          </w:rPr>
          <w:fldChar w:fldCharType="begin"/>
        </w:r>
        <w:r w:rsidR="00235045">
          <w:rPr>
            <w:noProof/>
            <w:webHidden/>
          </w:rPr>
          <w:instrText xml:space="preserve"> PAGEREF _Toc287018231 \h </w:instrText>
        </w:r>
        <w:r>
          <w:rPr>
            <w:noProof/>
            <w:webHidden/>
          </w:rPr>
        </w:r>
        <w:r>
          <w:rPr>
            <w:noProof/>
            <w:webHidden/>
          </w:rPr>
          <w:fldChar w:fldCharType="separate"/>
        </w:r>
        <w:r w:rsidR="00F852EF">
          <w:rPr>
            <w:noProof/>
            <w:webHidden/>
          </w:rPr>
          <w:t>11</w:t>
        </w:r>
        <w:r>
          <w:rPr>
            <w:noProof/>
            <w:webHidden/>
          </w:rPr>
          <w:fldChar w:fldCharType="end"/>
        </w:r>
      </w:hyperlink>
    </w:p>
    <w:p w:rsidR="00235045" w:rsidRDefault="00BC5396">
      <w:pPr>
        <w:pStyle w:val="TOC1"/>
        <w:tabs>
          <w:tab w:val="left" w:pos="720"/>
          <w:tab w:val="right" w:leader="dot" w:pos="9062"/>
        </w:tabs>
        <w:rPr>
          <w:rFonts w:asciiTheme="minorHAnsi" w:eastAsiaTheme="minorEastAsia" w:hAnsiTheme="minorHAnsi" w:cstheme="minorBidi"/>
          <w:b w:val="0"/>
          <w:bCs w:val="0"/>
          <w:noProof/>
          <w:sz w:val="22"/>
          <w:szCs w:val="22"/>
          <w:lang w:eastAsia="en-AU"/>
        </w:rPr>
      </w:pPr>
      <w:hyperlink w:anchor="_Toc287018232" w:history="1">
        <w:r w:rsidR="00235045" w:rsidRPr="00DE441B">
          <w:rPr>
            <w:rStyle w:val="Hyperlink"/>
            <w:rFonts w:eastAsia="Times New Roman"/>
            <w:noProof/>
          </w:rPr>
          <w:t>2.</w:t>
        </w:r>
        <w:r w:rsidR="00235045">
          <w:rPr>
            <w:rFonts w:asciiTheme="minorHAnsi" w:eastAsiaTheme="minorEastAsia" w:hAnsiTheme="minorHAnsi" w:cstheme="minorBidi"/>
            <w:b w:val="0"/>
            <w:bCs w:val="0"/>
            <w:noProof/>
            <w:sz w:val="22"/>
            <w:szCs w:val="22"/>
            <w:lang w:eastAsia="en-AU"/>
          </w:rPr>
          <w:tab/>
        </w:r>
        <w:r w:rsidR="00235045" w:rsidRPr="00DE441B">
          <w:rPr>
            <w:rStyle w:val="Hyperlink"/>
            <w:noProof/>
          </w:rPr>
          <w:t>Methodology</w:t>
        </w:r>
        <w:r w:rsidR="00235045">
          <w:rPr>
            <w:noProof/>
            <w:webHidden/>
          </w:rPr>
          <w:tab/>
        </w:r>
        <w:r>
          <w:rPr>
            <w:noProof/>
            <w:webHidden/>
          </w:rPr>
          <w:fldChar w:fldCharType="begin"/>
        </w:r>
        <w:r w:rsidR="00235045">
          <w:rPr>
            <w:noProof/>
            <w:webHidden/>
          </w:rPr>
          <w:instrText xml:space="preserve"> PAGEREF _Toc287018232 \h </w:instrText>
        </w:r>
        <w:r>
          <w:rPr>
            <w:noProof/>
            <w:webHidden/>
          </w:rPr>
        </w:r>
        <w:r>
          <w:rPr>
            <w:noProof/>
            <w:webHidden/>
          </w:rPr>
          <w:fldChar w:fldCharType="separate"/>
        </w:r>
        <w:r w:rsidR="00F852EF">
          <w:rPr>
            <w:noProof/>
            <w:webHidden/>
          </w:rPr>
          <w:t>12</w:t>
        </w:r>
        <w:r>
          <w:rPr>
            <w:noProof/>
            <w:webHidden/>
          </w:rPr>
          <w:fldChar w:fldCharType="end"/>
        </w:r>
      </w:hyperlink>
    </w:p>
    <w:p w:rsidR="00235045" w:rsidRDefault="00BC5396">
      <w:pPr>
        <w:pStyle w:val="TOC2"/>
        <w:rPr>
          <w:rFonts w:asciiTheme="minorHAnsi" w:eastAsiaTheme="minorEastAsia" w:hAnsiTheme="minorHAnsi" w:cstheme="minorBidi"/>
          <w:iCs w:val="0"/>
          <w:noProof/>
          <w:sz w:val="22"/>
          <w:szCs w:val="22"/>
          <w:lang w:eastAsia="en-AU"/>
        </w:rPr>
      </w:pPr>
      <w:hyperlink w:anchor="_Toc287018233" w:history="1">
        <w:r w:rsidR="00235045" w:rsidRPr="00DE441B">
          <w:rPr>
            <w:rStyle w:val="Hyperlink"/>
            <w:noProof/>
            <w:snapToGrid w:val="0"/>
            <w:w w:val="0"/>
          </w:rPr>
          <w:t>2.1.</w:t>
        </w:r>
        <w:r w:rsidR="00235045">
          <w:rPr>
            <w:rFonts w:asciiTheme="minorHAnsi" w:eastAsiaTheme="minorEastAsia" w:hAnsiTheme="minorHAnsi" w:cstheme="minorBidi"/>
            <w:iCs w:val="0"/>
            <w:noProof/>
            <w:sz w:val="22"/>
            <w:szCs w:val="22"/>
            <w:lang w:eastAsia="en-AU"/>
          </w:rPr>
          <w:tab/>
        </w:r>
        <w:r w:rsidR="00235045" w:rsidRPr="00DE441B">
          <w:rPr>
            <w:rStyle w:val="Hyperlink"/>
            <w:noProof/>
          </w:rPr>
          <w:t>Risk assessment of the DIIS, from an OH&amp;S and environmental perspective</w:t>
        </w:r>
        <w:r w:rsidR="00235045">
          <w:rPr>
            <w:noProof/>
            <w:webHidden/>
          </w:rPr>
          <w:tab/>
        </w:r>
        <w:r>
          <w:rPr>
            <w:noProof/>
            <w:webHidden/>
          </w:rPr>
          <w:fldChar w:fldCharType="begin"/>
        </w:r>
        <w:r w:rsidR="00235045">
          <w:rPr>
            <w:noProof/>
            <w:webHidden/>
          </w:rPr>
          <w:instrText xml:space="preserve"> PAGEREF _Toc287018233 \h </w:instrText>
        </w:r>
        <w:r>
          <w:rPr>
            <w:noProof/>
            <w:webHidden/>
          </w:rPr>
        </w:r>
        <w:r>
          <w:rPr>
            <w:noProof/>
            <w:webHidden/>
          </w:rPr>
          <w:fldChar w:fldCharType="separate"/>
        </w:r>
        <w:r w:rsidR="00F852EF">
          <w:rPr>
            <w:noProof/>
            <w:webHidden/>
          </w:rPr>
          <w:t>12</w:t>
        </w:r>
        <w:r>
          <w:rPr>
            <w:noProof/>
            <w:webHidden/>
          </w:rPr>
          <w:fldChar w:fldCharType="end"/>
        </w:r>
      </w:hyperlink>
    </w:p>
    <w:p w:rsidR="00235045" w:rsidRDefault="00BC5396">
      <w:pPr>
        <w:pStyle w:val="TOC2"/>
        <w:rPr>
          <w:rFonts w:asciiTheme="minorHAnsi" w:eastAsiaTheme="minorEastAsia" w:hAnsiTheme="minorHAnsi" w:cstheme="minorBidi"/>
          <w:iCs w:val="0"/>
          <w:noProof/>
          <w:sz w:val="22"/>
          <w:szCs w:val="22"/>
          <w:lang w:eastAsia="en-AU"/>
        </w:rPr>
      </w:pPr>
      <w:hyperlink w:anchor="_Toc287018234" w:history="1">
        <w:r w:rsidR="00235045" w:rsidRPr="00DE441B">
          <w:rPr>
            <w:rStyle w:val="Hyperlink"/>
            <w:noProof/>
            <w:snapToGrid w:val="0"/>
            <w:w w:val="0"/>
          </w:rPr>
          <w:t>2.2.</w:t>
        </w:r>
        <w:r w:rsidR="00235045">
          <w:rPr>
            <w:rFonts w:asciiTheme="minorHAnsi" w:eastAsiaTheme="minorEastAsia" w:hAnsiTheme="minorHAnsi" w:cstheme="minorBidi"/>
            <w:iCs w:val="0"/>
            <w:noProof/>
            <w:sz w:val="22"/>
            <w:szCs w:val="22"/>
            <w:lang w:eastAsia="en-AU"/>
          </w:rPr>
          <w:tab/>
        </w:r>
        <w:r w:rsidR="00235045" w:rsidRPr="00DE441B">
          <w:rPr>
            <w:rStyle w:val="Hyperlink"/>
            <w:noProof/>
          </w:rPr>
          <w:t>Assessment of the DIIS against international best practice</w:t>
        </w:r>
        <w:r w:rsidR="00235045">
          <w:rPr>
            <w:noProof/>
            <w:webHidden/>
          </w:rPr>
          <w:tab/>
        </w:r>
        <w:r>
          <w:rPr>
            <w:noProof/>
            <w:webHidden/>
          </w:rPr>
          <w:fldChar w:fldCharType="begin"/>
        </w:r>
        <w:r w:rsidR="00235045">
          <w:rPr>
            <w:noProof/>
            <w:webHidden/>
          </w:rPr>
          <w:instrText xml:space="preserve"> PAGEREF _Toc287018234 \h </w:instrText>
        </w:r>
        <w:r>
          <w:rPr>
            <w:noProof/>
            <w:webHidden/>
          </w:rPr>
        </w:r>
        <w:r>
          <w:rPr>
            <w:noProof/>
            <w:webHidden/>
          </w:rPr>
          <w:fldChar w:fldCharType="separate"/>
        </w:r>
        <w:r w:rsidR="00F852EF">
          <w:rPr>
            <w:noProof/>
            <w:webHidden/>
          </w:rPr>
          <w:t>14</w:t>
        </w:r>
        <w:r>
          <w:rPr>
            <w:noProof/>
            <w:webHidden/>
          </w:rPr>
          <w:fldChar w:fldCharType="end"/>
        </w:r>
      </w:hyperlink>
    </w:p>
    <w:p w:rsidR="00235045" w:rsidRDefault="00BC5396">
      <w:pPr>
        <w:pStyle w:val="TOC2"/>
        <w:rPr>
          <w:rFonts w:asciiTheme="minorHAnsi" w:eastAsiaTheme="minorEastAsia" w:hAnsiTheme="minorHAnsi" w:cstheme="minorBidi"/>
          <w:iCs w:val="0"/>
          <w:noProof/>
          <w:sz w:val="22"/>
          <w:szCs w:val="22"/>
          <w:lang w:eastAsia="en-AU"/>
        </w:rPr>
      </w:pPr>
      <w:hyperlink w:anchor="_Toc287018235" w:history="1">
        <w:r w:rsidR="00235045" w:rsidRPr="00DE441B">
          <w:rPr>
            <w:rStyle w:val="Hyperlink"/>
            <w:noProof/>
            <w:snapToGrid w:val="0"/>
            <w:w w:val="0"/>
          </w:rPr>
          <w:t>2.3.</w:t>
        </w:r>
        <w:r w:rsidR="00235045">
          <w:rPr>
            <w:rFonts w:asciiTheme="minorHAnsi" w:eastAsiaTheme="minorEastAsia" w:hAnsiTheme="minorHAnsi" w:cstheme="minorBidi"/>
            <w:iCs w:val="0"/>
            <w:noProof/>
            <w:sz w:val="22"/>
            <w:szCs w:val="22"/>
            <w:lang w:eastAsia="en-AU"/>
          </w:rPr>
          <w:tab/>
        </w:r>
        <w:r w:rsidR="00235045" w:rsidRPr="00DE441B">
          <w:rPr>
            <w:rStyle w:val="Hyperlink"/>
            <w:noProof/>
          </w:rPr>
          <w:t>Cost implications of the DIIS</w:t>
        </w:r>
        <w:r w:rsidR="00235045">
          <w:rPr>
            <w:noProof/>
            <w:webHidden/>
          </w:rPr>
          <w:tab/>
        </w:r>
        <w:r>
          <w:rPr>
            <w:noProof/>
            <w:webHidden/>
          </w:rPr>
          <w:fldChar w:fldCharType="begin"/>
        </w:r>
        <w:r w:rsidR="00235045">
          <w:rPr>
            <w:noProof/>
            <w:webHidden/>
          </w:rPr>
          <w:instrText xml:space="preserve"> PAGEREF _Toc287018235 \h </w:instrText>
        </w:r>
        <w:r>
          <w:rPr>
            <w:noProof/>
            <w:webHidden/>
          </w:rPr>
        </w:r>
        <w:r>
          <w:rPr>
            <w:noProof/>
            <w:webHidden/>
          </w:rPr>
          <w:fldChar w:fldCharType="separate"/>
        </w:r>
        <w:r w:rsidR="00F852EF">
          <w:rPr>
            <w:noProof/>
            <w:webHidden/>
          </w:rPr>
          <w:t>14</w:t>
        </w:r>
        <w:r>
          <w:rPr>
            <w:noProof/>
            <w:webHidden/>
          </w:rPr>
          <w:fldChar w:fldCharType="end"/>
        </w:r>
      </w:hyperlink>
    </w:p>
    <w:p w:rsidR="00235045" w:rsidRDefault="00BC5396">
      <w:pPr>
        <w:pStyle w:val="TOC1"/>
        <w:tabs>
          <w:tab w:val="left" w:pos="720"/>
          <w:tab w:val="right" w:leader="dot" w:pos="9062"/>
        </w:tabs>
        <w:rPr>
          <w:rFonts w:asciiTheme="minorHAnsi" w:eastAsiaTheme="minorEastAsia" w:hAnsiTheme="minorHAnsi" w:cstheme="minorBidi"/>
          <w:b w:val="0"/>
          <w:bCs w:val="0"/>
          <w:noProof/>
          <w:sz w:val="22"/>
          <w:szCs w:val="22"/>
          <w:lang w:eastAsia="en-AU"/>
        </w:rPr>
      </w:pPr>
      <w:hyperlink w:anchor="_Toc287018236" w:history="1">
        <w:r w:rsidR="00235045" w:rsidRPr="00DE441B">
          <w:rPr>
            <w:rStyle w:val="Hyperlink"/>
            <w:rFonts w:eastAsia="Times New Roman"/>
            <w:noProof/>
          </w:rPr>
          <w:t>3.</w:t>
        </w:r>
        <w:r w:rsidR="00235045">
          <w:rPr>
            <w:rFonts w:asciiTheme="minorHAnsi" w:eastAsiaTheme="minorEastAsia" w:hAnsiTheme="minorHAnsi" w:cstheme="minorBidi"/>
            <w:b w:val="0"/>
            <w:bCs w:val="0"/>
            <w:noProof/>
            <w:sz w:val="22"/>
            <w:szCs w:val="22"/>
            <w:lang w:eastAsia="en-AU"/>
          </w:rPr>
          <w:tab/>
        </w:r>
        <w:r w:rsidR="00235045" w:rsidRPr="00DE441B">
          <w:rPr>
            <w:rStyle w:val="Hyperlink"/>
            <w:noProof/>
          </w:rPr>
          <w:t>Risk Analysis</w:t>
        </w:r>
        <w:r w:rsidR="00235045">
          <w:rPr>
            <w:noProof/>
            <w:webHidden/>
          </w:rPr>
          <w:tab/>
        </w:r>
        <w:r>
          <w:rPr>
            <w:noProof/>
            <w:webHidden/>
          </w:rPr>
          <w:fldChar w:fldCharType="begin"/>
        </w:r>
        <w:r w:rsidR="00235045">
          <w:rPr>
            <w:noProof/>
            <w:webHidden/>
          </w:rPr>
          <w:instrText xml:space="preserve"> PAGEREF _Toc287018236 \h </w:instrText>
        </w:r>
        <w:r>
          <w:rPr>
            <w:noProof/>
            <w:webHidden/>
          </w:rPr>
        </w:r>
        <w:r>
          <w:rPr>
            <w:noProof/>
            <w:webHidden/>
          </w:rPr>
          <w:fldChar w:fldCharType="separate"/>
        </w:r>
        <w:r w:rsidR="00F852EF">
          <w:rPr>
            <w:noProof/>
            <w:webHidden/>
          </w:rPr>
          <w:t>16</w:t>
        </w:r>
        <w:r>
          <w:rPr>
            <w:noProof/>
            <w:webHidden/>
          </w:rPr>
          <w:fldChar w:fldCharType="end"/>
        </w:r>
      </w:hyperlink>
    </w:p>
    <w:p w:rsidR="00235045" w:rsidRDefault="00BC5396">
      <w:pPr>
        <w:pStyle w:val="TOC2"/>
        <w:rPr>
          <w:rFonts w:asciiTheme="minorHAnsi" w:eastAsiaTheme="minorEastAsia" w:hAnsiTheme="minorHAnsi" w:cstheme="minorBidi"/>
          <w:iCs w:val="0"/>
          <w:noProof/>
          <w:sz w:val="22"/>
          <w:szCs w:val="22"/>
          <w:lang w:eastAsia="en-AU"/>
        </w:rPr>
      </w:pPr>
      <w:hyperlink w:anchor="_Toc287018237" w:history="1">
        <w:r w:rsidR="00235045" w:rsidRPr="00DE441B">
          <w:rPr>
            <w:rStyle w:val="Hyperlink"/>
            <w:noProof/>
            <w:snapToGrid w:val="0"/>
            <w:w w:val="0"/>
          </w:rPr>
          <w:t>3.1.</w:t>
        </w:r>
        <w:r w:rsidR="00235045">
          <w:rPr>
            <w:rFonts w:asciiTheme="minorHAnsi" w:eastAsiaTheme="minorEastAsia" w:hAnsiTheme="minorHAnsi" w:cstheme="minorBidi"/>
            <w:iCs w:val="0"/>
            <w:noProof/>
            <w:sz w:val="22"/>
            <w:szCs w:val="22"/>
            <w:lang w:eastAsia="en-AU"/>
          </w:rPr>
          <w:tab/>
        </w:r>
        <w:r w:rsidR="00235045" w:rsidRPr="00DE441B">
          <w:rPr>
            <w:rStyle w:val="Hyperlink"/>
            <w:noProof/>
          </w:rPr>
          <w:t>Context Statement</w:t>
        </w:r>
        <w:r w:rsidR="00235045">
          <w:rPr>
            <w:noProof/>
            <w:webHidden/>
          </w:rPr>
          <w:tab/>
        </w:r>
        <w:r>
          <w:rPr>
            <w:noProof/>
            <w:webHidden/>
          </w:rPr>
          <w:fldChar w:fldCharType="begin"/>
        </w:r>
        <w:r w:rsidR="00235045">
          <w:rPr>
            <w:noProof/>
            <w:webHidden/>
          </w:rPr>
          <w:instrText xml:space="preserve"> PAGEREF _Toc287018237 \h </w:instrText>
        </w:r>
        <w:r>
          <w:rPr>
            <w:noProof/>
            <w:webHidden/>
          </w:rPr>
        </w:r>
        <w:r>
          <w:rPr>
            <w:noProof/>
            <w:webHidden/>
          </w:rPr>
          <w:fldChar w:fldCharType="separate"/>
        </w:r>
        <w:r w:rsidR="00F852EF">
          <w:rPr>
            <w:noProof/>
            <w:webHidden/>
          </w:rPr>
          <w:t>16</w:t>
        </w:r>
        <w:r>
          <w:rPr>
            <w:noProof/>
            <w:webHidden/>
          </w:rPr>
          <w:fldChar w:fldCharType="end"/>
        </w:r>
      </w:hyperlink>
    </w:p>
    <w:p w:rsidR="00235045" w:rsidRDefault="00BC5396">
      <w:pPr>
        <w:pStyle w:val="TOC2"/>
        <w:rPr>
          <w:rFonts w:asciiTheme="minorHAnsi" w:eastAsiaTheme="minorEastAsia" w:hAnsiTheme="minorHAnsi" w:cstheme="minorBidi"/>
          <w:iCs w:val="0"/>
          <w:noProof/>
          <w:sz w:val="22"/>
          <w:szCs w:val="22"/>
          <w:lang w:eastAsia="en-AU"/>
        </w:rPr>
      </w:pPr>
      <w:hyperlink w:anchor="_Toc287018238" w:history="1">
        <w:r w:rsidR="00235045" w:rsidRPr="00DE441B">
          <w:rPr>
            <w:rStyle w:val="Hyperlink"/>
            <w:noProof/>
            <w:snapToGrid w:val="0"/>
            <w:w w:val="0"/>
          </w:rPr>
          <w:t>3.2.</w:t>
        </w:r>
        <w:r w:rsidR="00235045">
          <w:rPr>
            <w:rFonts w:asciiTheme="minorHAnsi" w:eastAsiaTheme="minorEastAsia" w:hAnsiTheme="minorHAnsi" w:cstheme="minorBidi"/>
            <w:iCs w:val="0"/>
            <w:noProof/>
            <w:sz w:val="22"/>
            <w:szCs w:val="22"/>
            <w:lang w:eastAsia="en-AU"/>
          </w:rPr>
          <w:tab/>
        </w:r>
        <w:r w:rsidR="00235045" w:rsidRPr="00DE441B">
          <w:rPr>
            <w:rStyle w:val="Hyperlink"/>
            <w:noProof/>
          </w:rPr>
          <w:t>Risk Identification and Analysis</w:t>
        </w:r>
        <w:r w:rsidR="00235045">
          <w:rPr>
            <w:noProof/>
            <w:webHidden/>
          </w:rPr>
          <w:tab/>
        </w:r>
        <w:r>
          <w:rPr>
            <w:noProof/>
            <w:webHidden/>
          </w:rPr>
          <w:fldChar w:fldCharType="begin"/>
        </w:r>
        <w:r w:rsidR="00235045">
          <w:rPr>
            <w:noProof/>
            <w:webHidden/>
          </w:rPr>
          <w:instrText xml:space="preserve"> PAGEREF _Toc287018238 \h </w:instrText>
        </w:r>
        <w:r>
          <w:rPr>
            <w:noProof/>
            <w:webHidden/>
          </w:rPr>
        </w:r>
        <w:r>
          <w:rPr>
            <w:noProof/>
            <w:webHidden/>
          </w:rPr>
          <w:fldChar w:fldCharType="separate"/>
        </w:r>
        <w:r w:rsidR="00F852EF">
          <w:rPr>
            <w:noProof/>
            <w:webHidden/>
          </w:rPr>
          <w:t>16</w:t>
        </w:r>
        <w:r>
          <w:rPr>
            <w:noProof/>
            <w:webHidden/>
          </w:rPr>
          <w:fldChar w:fldCharType="end"/>
        </w:r>
      </w:hyperlink>
    </w:p>
    <w:p w:rsidR="00235045" w:rsidRDefault="00BC5396">
      <w:pPr>
        <w:pStyle w:val="TOC2"/>
        <w:rPr>
          <w:rFonts w:asciiTheme="minorHAnsi" w:eastAsiaTheme="minorEastAsia" w:hAnsiTheme="minorHAnsi" w:cstheme="minorBidi"/>
          <w:iCs w:val="0"/>
          <w:noProof/>
          <w:sz w:val="22"/>
          <w:szCs w:val="22"/>
          <w:lang w:eastAsia="en-AU"/>
        </w:rPr>
      </w:pPr>
      <w:hyperlink w:anchor="_Toc287018239" w:history="1">
        <w:r w:rsidR="00235045" w:rsidRPr="00DE441B">
          <w:rPr>
            <w:rStyle w:val="Hyperlink"/>
            <w:noProof/>
            <w:snapToGrid w:val="0"/>
            <w:w w:val="0"/>
          </w:rPr>
          <w:t>3.3.</w:t>
        </w:r>
        <w:r w:rsidR="00235045">
          <w:rPr>
            <w:rFonts w:asciiTheme="minorHAnsi" w:eastAsiaTheme="minorEastAsia" w:hAnsiTheme="minorHAnsi" w:cstheme="minorBidi"/>
            <w:iCs w:val="0"/>
            <w:noProof/>
            <w:sz w:val="22"/>
            <w:szCs w:val="22"/>
            <w:lang w:eastAsia="en-AU"/>
          </w:rPr>
          <w:tab/>
        </w:r>
        <w:r w:rsidR="00235045" w:rsidRPr="00DE441B">
          <w:rPr>
            <w:rStyle w:val="Hyperlink"/>
            <w:noProof/>
          </w:rPr>
          <w:t>Regulatory Risk Review</w:t>
        </w:r>
        <w:r w:rsidR="00235045">
          <w:rPr>
            <w:noProof/>
            <w:webHidden/>
          </w:rPr>
          <w:tab/>
        </w:r>
        <w:r>
          <w:rPr>
            <w:noProof/>
            <w:webHidden/>
          </w:rPr>
          <w:fldChar w:fldCharType="begin"/>
        </w:r>
        <w:r w:rsidR="00235045">
          <w:rPr>
            <w:noProof/>
            <w:webHidden/>
          </w:rPr>
          <w:instrText xml:space="preserve"> PAGEREF _Toc287018239 \h </w:instrText>
        </w:r>
        <w:r>
          <w:rPr>
            <w:noProof/>
            <w:webHidden/>
          </w:rPr>
        </w:r>
        <w:r>
          <w:rPr>
            <w:noProof/>
            <w:webHidden/>
          </w:rPr>
          <w:fldChar w:fldCharType="separate"/>
        </w:r>
        <w:r w:rsidR="00F852EF">
          <w:rPr>
            <w:noProof/>
            <w:webHidden/>
          </w:rPr>
          <w:t>17</w:t>
        </w:r>
        <w:r>
          <w:rPr>
            <w:noProof/>
            <w:webHidden/>
          </w:rPr>
          <w:fldChar w:fldCharType="end"/>
        </w:r>
      </w:hyperlink>
    </w:p>
    <w:p w:rsidR="00235045" w:rsidRDefault="00BC5396">
      <w:pPr>
        <w:pStyle w:val="TOC2"/>
        <w:rPr>
          <w:rFonts w:asciiTheme="minorHAnsi" w:eastAsiaTheme="minorEastAsia" w:hAnsiTheme="minorHAnsi" w:cstheme="minorBidi"/>
          <w:iCs w:val="0"/>
          <w:noProof/>
          <w:sz w:val="22"/>
          <w:szCs w:val="22"/>
          <w:lang w:eastAsia="en-AU"/>
        </w:rPr>
      </w:pPr>
      <w:hyperlink w:anchor="_Toc287018240" w:history="1">
        <w:r w:rsidR="00235045" w:rsidRPr="00DE441B">
          <w:rPr>
            <w:rStyle w:val="Hyperlink"/>
            <w:noProof/>
            <w:snapToGrid w:val="0"/>
            <w:w w:val="0"/>
          </w:rPr>
          <w:t>3.4.</w:t>
        </w:r>
        <w:r w:rsidR="00235045">
          <w:rPr>
            <w:rFonts w:asciiTheme="minorHAnsi" w:eastAsiaTheme="minorEastAsia" w:hAnsiTheme="minorHAnsi" w:cstheme="minorBidi"/>
            <w:iCs w:val="0"/>
            <w:noProof/>
            <w:sz w:val="22"/>
            <w:szCs w:val="22"/>
            <w:lang w:eastAsia="en-AU"/>
          </w:rPr>
          <w:tab/>
        </w:r>
        <w:r w:rsidR="00235045" w:rsidRPr="00DE441B">
          <w:rPr>
            <w:rStyle w:val="Hyperlink"/>
            <w:noProof/>
          </w:rPr>
          <w:t>Risk Treatment Plan for “High” Risks from the Overall Risk Review</w:t>
        </w:r>
        <w:r w:rsidR="00235045">
          <w:rPr>
            <w:noProof/>
            <w:webHidden/>
          </w:rPr>
          <w:tab/>
        </w:r>
        <w:r>
          <w:rPr>
            <w:noProof/>
            <w:webHidden/>
          </w:rPr>
          <w:fldChar w:fldCharType="begin"/>
        </w:r>
        <w:r w:rsidR="00235045">
          <w:rPr>
            <w:noProof/>
            <w:webHidden/>
          </w:rPr>
          <w:instrText xml:space="preserve"> PAGEREF _Toc287018240 \h </w:instrText>
        </w:r>
        <w:r>
          <w:rPr>
            <w:noProof/>
            <w:webHidden/>
          </w:rPr>
        </w:r>
        <w:r>
          <w:rPr>
            <w:noProof/>
            <w:webHidden/>
          </w:rPr>
          <w:fldChar w:fldCharType="separate"/>
        </w:r>
        <w:r w:rsidR="00F852EF">
          <w:rPr>
            <w:noProof/>
            <w:webHidden/>
          </w:rPr>
          <w:t>17</w:t>
        </w:r>
        <w:r>
          <w:rPr>
            <w:noProof/>
            <w:webHidden/>
          </w:rPr>
          <w:fldChar w:fldCharType="end"/>
        </w:r>
      </w:hyperlink>
    </w:p>
    <w:p w:rsidR="00235045" w:rsidRDefault="00BC5396">
      <w:pPr>
        <w:pStyle w:val="TOC2"/>
        <w:rPr>
          <w:rFonts w:asciiTheme="minorHAnsi" w:eastAsiaTheme="minorEastAsia" w:hAnsiTheme="minorHAnsi" w:cstheme="minorBidi"/>
          <w:iCs w:val="0"/>
          <w:noProof/>
          <w:sz w:val="22"/>
          <w:szCs w:val="22"/>
          <w:lang w:eastAsia="en-AU"/>
        </w:rPr>
      </w:pPr>
      <w:hyperlink w:anchor="_Toc287018241" w:history="1">
        <w:r w:rsidR="00235045" w:rsidRPr="00DE441B">
          <w:rPr>
            <w:rStyle w:val="Hyperlink"/>
            <w:noProof/>
            <w:snapToGrid w:val="0"/>
            <w:w w:val="0"/>
          </w:rPr>
          <w:t>3.5.</w:t>
        </w:r>
        <w:r w:rsidR="00235045">
          <w:rPr>
            <w:rFonts w:asciiTheme="minorHAnsi" w:eastAsiaTheme="minorEastAsia" w:hAnsiTheme="minorHAnsi" w:cstheme="minorBidi"/>
            <w:iCs w:val="0"/>
            <w:noProof/>
            <w:sz w:val="22"/>
            <w:szCs w:val="22"/>
            <w:lang w:eastAsia="en-AU"/>
          </w:rPr>
          <w:tab/>
        </w:r>
        <w:r w:rsidR="00235045" w:rsidRPr="00DE441B">
          <w:rPr>
            <w:rStyle w:val="Hyperlink"/>
            <w:noProof/>
          </w:rPr>
          <w:t>International Best Practice Review</w:t>
        </w:r>
        <w:r w:rsidR="00235045">
          <w:rPr>
            <w:noProof/>
            <w:webHidden/>
          </w:rPr>
          <w:tab/>
        </w:r>
        <w:r>
          <w:rPr>
            <w:noProof/>
            <w:webHidden/>
          </w:rPr>
          <w:fldChar w:fldCharType="begin"/>
        </w:r>
        <w:r w:rsidR="00235045">
          <w:rPr>
            <w:noProof/>
            <w:webHidden/>
          </w:rPr>
          <w:instrText xml:space="preserve"> PAGEREF _Toc287018241 \h </w:instrText>
        </w:r>
        <w:r>
          <w:rPr>
            <w:noProof/>
            <w:webHidden/>
          </w:rPr>
        </w:r>
        <w:r>
          <w:rPr>
            <w:noProof/>
            <w:webHidden/>
          </w:rPr>
          <w:fldChar w:fldCharType="separate"/>
        </w:r>
        <w:r w:rsidR="00F852EF">
          <w:rPr>
            <w:noProof/>
            <w:webHidden/>
          </w:rPr>
          <w:t>18</w:t>
        </w:r>
        <w:r>
          <w:rPr>
            <w:noProof/>
            <w:webHidden/>
          </w:rPr>
          <w:fldChar w:fldCharType="end"/>
        </w:r>
      </w:hyperlink>
    </w:p>
    <w:p w:rsidR="00235045" w:rsidRDefault="00BC5396">
      <w:pPr>
        <w:pStyle w:val="TOC1"/>
        <w:tabs>
          <w:tab w:val="left" w:pos="720"/>
          <w:tab w:val="right" w:leader="dot" w:pos="9062"/>
        </w:tabs>
        <w:rPr>
          <w:rFonts w:asciiTheme="minorHAnsi" w:eastAsiaTheme="minorEastAsia" w:hAnsiTheme="minorHAnsi" w:cstheme="minorBidi"/>
          <w:b w:val="0"/>
          <w:bCs w:val="0"/>
          <w:noProof/>
          <w:sz w:val="22"/>
          <w:szCs w:val="22"/>
          <w:lang w:eastAsia="en-AU"/>
        </w:rPr>
      </w:pPr>
      <w:hyperlink w:anchor="_Toc287018242" w:history="1">
        <w:r w:rsidR="00235045" w:rsidRPr="00DE441B">
          <w:rPr>
            <w:rStyle w:val="Hyperlink"/>
            <w:rFonts w:eastAsia="Times New Roman"/>
            <w:noProof/>
          </w:rPr>
          <w:t>4.</w:t>
        </w:r>
        <w:r w:rsidR="00235045">
          <w:rPr>
            <w:rFonts w:asciiTheme="minorHAnsi" w:eastAsiaTheme="minorEastAsia" w:hAnsiTheme="minorHAnsi" w:cstheme="minorBidi"/>
            <w:b w:val="0"/>
            <w:bCs w:val="0"/>
            <w:noProof/>
            <w:sz w:val="22"/>
            <w:szCs w:val="22"/>
            <w:lang w:eastAsia="en-AU"/>
          </w:rPr>
          <w:tab/>
        </w:r>
        <w:r w:rsidR="00235045" w:rsidRPr="00DE441B">
          <w:rPr>
            <w:rStyle w:val="Hyperlink"/>
            <w:noProof/>
          </w:rPr>
          <w:t>Costs analysis</w:t>
        </w:r>
        <w:r w:rsidR="00235045">
          <w:rPr>
            <w:noProof/>
            <w:webHidden/>
          </w:rPr>
          <w:tab/>
        </w:r>
        <w:r>
          <w:rPr>
            <w:noProof/>
            <w:webHidden/>
          </w:rPr>
          <w:fldChar w:fldCharType="begin"/>
        </w:r>
        <w:r w:rsidR="00235045">
          <w:rPr>
            <w:noProof/>
            <w:webHidden/>
          </w:rPr>
          <w:instrText xml:space="preserve"> PAGEREF _Toc287018242 \h </w:instrText>
        </w:r>
        <w:r>
          <w:rPr>
            <w:noProof/>
            <w:webHidden/>
          </w:rPr>
        </w:r>
        <w:r>
          <w:rPr>
            <w:noProof/>
            <w:webHidden/>
          </w:rPr>
          <w:fldChar w:fldCharType="separate"/>
        </w:r>
        <w:r w:rsidR="00F852EF">
          <w:rPr>
            <w:noProof/>
            <w:webHidden/>
          </w:rPr>
          <w:t>19</w:t>
        </w:r>
        <w:r>
          <w:rPr>
            <w:noProof/>
            <w:webHidden/>
          </w:rPr>
          <w:fldChar w:fldCharType="end"/>
        </w:r>
      </w:hyperlink>
    </w:p>
    <w:p w:rsidR="00235045" w:rsidRDefault="00BC5396">
      <w:pPr>
        <w:pStyle w:val="TOC2"/>
        <w:rPr>
          <w:rFonts w:asciiTheme="minorHAnsi" w:eastAsiaTheme="minorEastAsia" w:hAnsiTheme="minorHAnsi" w:cstheme="minorBidi"/>
          <w:iCs w:val="0"/>
          <w:noProof/>
          <w:sz w:val="22"/>
          <w:szCs w:val="22"/>
          <w:lang w:eastAsia="en-AU"/>
        </w:rPr>
      </w:pPr>
      <w:hyperlink w:anchor="_Toc287018243" w:history="1">
        <w:r w:rsidR="00235045" w:rsidRPr="00DE441B">
          <w:rPr>
            <w:rStyle w:val="Hyperlink"/>
            <w:noProof/>
            <w:snapToGrid w:val="0"/>
            <w:w w:val="0"/>
          </w:rPr>
          <w:t>4.1.</w:t>
        </w:r>
        <w:r w:rsidR="00235045">
          <w:rPr>
            <w:rFonts w:asciiTheme="minorHAnsi" w:eastAsiaTheme="minorEastAsia" w:hAnsiTheme="minorHAnsi" w:cstheme="minorBidi"/>
            <w:iCs w:val="0"/>
            <w:noProof/>
            <w:sz w:val="22"/>
            <w:szCs w:val="22"/>
            <w:lang w:eastAsia="en-AU"/>
          </w:rPr>
          <w:tab/>
        </w:r>
        <w:r w:rsidR="00235045" w:rsidRPr="00DE441B">
          <w:rPr>
            <w:rStyle w:val="Hyperlink"/>
            <w:noProof/>
          </w:rPr>
          <w:t>Collection location costs</w:t>
        </w:r>
        <w:r w:rsidR="00235045">
          <w:rPr>
            <w:noProof/>
            <w:webHidden/>
          </w:rPr>
          <w:tab/>
        </w:r>
        <w:r>
          <w:rPr>
            <w:noProof/>
            <w:webHidden/>
          </w:rPr>
          <w:fldChar w:fldCharType="begin"/>
        </w:r>
        <w:r w:rsidR="00235045">
          <w:rPr>
            <w:noProof/>
            <w:webHidden/>
          </w:rPr>
          <w:instrText xml:space="preserve"> PAGEREF _Toc287018243 \h </w:instrText>
        </w:r>
        <w:r>
          <w:rPr>
            <w:noProof/>
            <w:webHidden/>
          </w:rPr>
        </w:r>
        <w:r>
          <w:rPr>
            <w:noProof/>
            <w:webHidden/>
          </w:rPr>
          <w:fldChar w:fldCharType="separate"/>
        </w:r>
        <w:r w:rsidR="00F852EF">
          <w:rPr>
            <w:noProof/>
            <w:webHidden/>
          </w:rPr>
          <w:t>19</w:t>
        </w:r>
        <w:r>
          <w:rPr>
            <w:noProof/>
            <w:webHidden/>
          </w:rPr>
          <w:fldChar w:fldCharType="end"/>
        </w:r>
      </w:hyperlink>
    </w:p>
    <w:p w:rsidR="00235045" w:rsidRDefault="00BC5396">
      <w:pPr>
        <w:pStyle w:val="TOC2"/>
        <w:rPr>
          <w:rFonts w:asciiTheme="minorHAnsi" w:eastAsiaTheme="minorEastAsia" w:hAnsiTheme="minorHAnsi" w:cstheme="minorBidi"/>
          <w:iCs w:val="0"/>
          <w:noProof/>
          <w:sz w:val="22"/>
          <w:szCs w:val="22"/>
          <w:lang w:eastAsia="en-AU"/>
        </w:rPr>
      </w:pPr>
      <w:hyperlink w:anchor="_Toc287018244" w:history="1">
        <w:r w:rsidR="00235045" w:rsidRPr="00DE441B">
          <w:rPr>
            <w:rStyle w:val="Hyperlink"/>
            <w:noProof/>
            <w:snapToGrid w:val="0"/>
            <w:w w:val="0"/>
          </w:rPr>
          <w:t>4.2.</w:t>
        </w:r>
        <w:r w:rsidR="00235045">
          <w:rPr>
            <w:rFonts w:asciiTheme="minorHAnsi" w:eastAsiaTheme="minorEastAsia" w:hAnsiTheme="minorHAnsi" w:cstheme="minorBidi"/>
            <w:iCs w:val="0"/>
            <w:noProof/>
            <w:sz w:val="22"/>
            <w:szCs w:val="22"/>
            <w:lang w:eastAsia="en-AU"/>
          </w:rPr>
          <w:tab/>
        </w:r>
        <w:r w:rsidR="00235045" w:rsidRPr="00DE441B">
          <w:rPr>
            <w:rStyle w:val="Hyperlink"/>
            <w:noProof/>
          </w:rPr>
          <w:t>Transportation costs</w:t>
        </w:r>
        <w:r w:rsidR="00235045">
          <w:rPr>
            <w:noProof/>
            <w:webHidden/>
          </w:rPr>
          <w:tab/>
        </w:r>
        <w:r>
          <w:rPr>
            <w:noProof/>
            <w:webHidden/>
          </w:rPr>
          <w:fldChar w:fldCharType="begin"/>
        </w:r>
        <w:r w:rsidR="00235045">
          <w:rPr>
            <w:noProof/>
            <w:webHidden/>
          </w:rPr>
          <w:instrText xml:space="preserve"> PAGEREF _Toc287018244 \h </w:instrText>
        </w:r>
        <w:r>
          <w:rPr>
            <w:noProof/>
            <w:webHidden/>
          </w:rPr>
        </w:r>
        <w:r>
          <w:rPr>
            <w:noProof/>
            <w:webHidden/>
          </w:rPr>
          <w:fldChar w:fldCharType="separate"/>
        </w:r>
        <w:r w:rsidR="00F852EF">
          <w:rPr>
            <w:noProof/>
            <w:webHidden/>
          </w:rPr>
          <w:t>20</w:t>
        </w:r>
        <w:r>
          <w:rPr>
            <w:noProof/>
            <w:webHidden/>
          </w:rPr>
          <w:fldChar w:fldCharType="end"/>
        </w:r>
      </w:hyperlink>
    </w:p>
    <w:p w:rsidR="00235045" w:rsidRDefault="00BC5396">
      <w:pPr>
        <w:pStyle w:val="TOC2"/>
        <w:rPr>
          <w:rFonts w:asciiTheme="minorHAnsi" w:eastAsiaTheme="minorEastAsia" w:hAnsiTheme="minorHAnsi" w:cstheme="minorBidi"/>
          <w:iCs w:val="0"/>
          <w:noProof/>
          <w:sz w:val="22"/>
          <w:szCs w:val="22"/>
          <w:lang w:eastAsia="en-AU"/>
        </w:rPr>
      </w:pPr>
      <w:hyperlink w:anchor="_Toc287018245" w:history="1">
        <w:r w:rsidR="00235045" w:rsidRPr="00DE441B">
          <w:rPr>
            <w:rStyle w:val="Hyperlink"/>
            <w:noProof/>
            <w:snapToGrid w:val="0"/>
            <w:w w:val="0"/>
          </w:rPr>
          <w:t>4.3.</w:t>
        </w:r>
        <w:r w:rsidR="00235045">
          <w:rPr>
            <w:rFonts w:asciiTheme="minorHAnsi" w:eastAsiaTheme="minorEastAsia" w:hAnsiTheme="minorHAnsi" w:cstheme="minorBidi"/>
            <w:iCs w:val="0"/>
            <w:noProof/>
            <w:sz w:val="22"/>
            <w:szCs w:val="22"/>
            <w:lang w:eastAsia="en-AU"/>
          </w:rPr>
          <w:tab/>
        </w:r>
        <w:r w:rsidR="00235045" w:rsidRPr="00DE441B">
          <w:rPr>
            <w:rStyle w:val="Hyperlink"/>
            <w:noProof/>
          </w:rPr>
          <w:t>Primary recycler costs</w:t>
        </w:r>
        <w:r w:rsidR="00235045">
          <w:rPr>
            <w:noProof/>
            <w:webHidden/>
          </w:rPr>
          <w:tab/>
        </w:r>
        <w:r>
          <w:rPr>
            <w:noProof/>
            <w:webHidden/>
          </w:rPr>
          <w:fldChar w:fldCharType="begin"/>
        </w:r>
        <w:r w:rsidR="00235045">
          <w:rPr>
            <w:noProof/>
            <w:webHidden/>
          </w:rPr>
          <w:instrText xml:space="preserve"> PAGEREF _Toc287018245 \h </w:instrText>
        </w:r>
        <w:r>
          <w:rPr>
            <w:noProof/>
            <w:webHidden/>
          </w:rPr>
        </w:r>
        <w:r>
          <w:rPr>
            <w:noProof/>
            <w:webHidden/>
          </w:rPr>
          <w:fldChar w:fldCharType="separate"/>
        </w:r>
        <w:r w:rsidR="00F852EF">
          <w:rPr>
            <w:noProof/>
            <w:webHidden/>
          </w:rPr>
          <w:t>20</w:t>
        </w:r>
        <w:r>
          <w:rPr>
            <w:noProof/>
            <w:webHidden/>
          </w:rPr>
          <w:fldChar w:fldCharType="end"/>
        </w:r>
      </w:hyperlink>
    </w:p>
    <w:p w:rsidR="00235045" w:rsidRDefault="00BC5396">
      <w:pPr>
        <w:pStyle w:val="TOC2"/>
        <w:rPr>
          <w:rFonts w:asciiTheme="minorHAnsi" w:eastAsiaTheme="minorEastAsia" w:hAnsiTheme="minorHAnsi" w:cstheme="minorBidi"/>
          <w:iCs w:val="0"/>
          <w:noProof/>
          <w:sz w:val="22"/>
          <w:szCs w:val="22"/>
          <w:lang w:eastAsia="en-AU"/>
        </w:rPr>
      </w:pPr>
      <w:hyperlink w:anchor="_Toc287018246" w:history="1">
        <w:r w:rsidR="00235045" w:rsidRPr="00DE441B">
          <w:rPr>
            <w:rStyle w:val="Hyperlink"/>
            <w:noProof/>
            <w:snapToGrid w:val="0"/>
            <w:w w:val="0"/>
          </w:rPr>
          <w:t>4.4.</w:t>
        </w:r>
        <w:r w:rsidR="00235045">
          <w:rPr>
            <w:rFonts w:asciiTheme="minorHAnsi" w:eastAsiaTheme="minorEastAsia" w:hAnsiTheme="minorHAnsi" w:cstheme="minorBidi"/>
            <w:iCs w:val="0"/>
            <w:noProof/>
            <w:sz w:val="22"/>
            <w:szCs w:val="22"/>
            <w:lang w:eastAsia="en-AU"/>
          </w:rPr>
          <w:tab/>
        </w:r>
        <w:r w:rsidR="00235045" w:rsidRPr="00DE441B">
          <w:rPr>
            <w:rStyle w:val="Hyperlink"/>
            <w:noProof/>
          </w:rPr>
          <w:t>Downstream processor costs</w:t>
        </w:r>
        <w:r w:rsidR="00235045">
          <w:rPr>
            <w:noProof/>
            <w:webHidden/>
          </w:rPr>
          <w:tab/>
        </w:r>
        <w:r>
          <w:rPr>
            <w:noProof/>
            <w:webHidden/>
          </w:rPr>
          <w:fldChar w:fldCharType="begin"/>
        </w:r>
        <w:r w:rsidR="00235045">
          <w:rPr>
            <w:noProof/>
            <w:webHidden/>
          </w:rPr>
          <w:instrText xml:space="preserve"> PAGEREF _Toc287018246 \h </w:instrText>
        </w:r>
        <w:r>
          <w:rPr>
            <w:noProof/>
            <w:webHidden/>
          </w:rPr>
        </w:r>
        <w:r>
          <w:rPr>
            <w:noProof/>
            <w:webHidden/>
          </w:rPr>
          <w:fldChar w:fldCharType="separate"/>
        </w:r>
        <w:r w:rsidR="00F852EF">
          <w:rPr>
            <w:noProof/>
            <w:webHidden/>
          </w:rPr>
          <w:t>23</w:t>
        </w:r>
        <w:r>
          <w:rPr>
            <w:noProof/>
            <w:webHidden/>
          </w:rPr>
          <w:fldChar w:fldCharType="end"/>
        </w:r>
      </w:hyperlink>
    </w:p>
    <w:p w:rsidR="00235045" w:rsidRDefault="00BC5396">
      <w:pPr>
        <w:pStyle w:val="TOC2"/>
        <w:rPr>
          <w:rFonts w:asciiTheme="minorHAnsi" w:eastAsiaTheme="minorEastAsia" w:hAnsiTheme="minorHAnsi" w:cstheme="minorBidi"/>
          <w:iCs w:val="0"/>
          <w:noProof/>
          <w:sz w:val="22"/>
          <w:szCs w:val="22"/>
          <w:lang w:eastAsia="en-AU"/>
        </w:rPr>
      </w:pPr>
      <w:hyperlink w:anchor="_Toc287018247" w:history="1">
        <w:r w:rsidR="00235045" w:rsidRPr="00DE441B">
          <w:rPr>
            <w:rStyle w:val="Hyperlink"/>
            <w:noProof/>
            <w:snapToGrid w:val="0"/>
            <w:w w:val="0"/>
          </w:rPr>
          <w:t>4.5.</w:t>
        </w:r>
        <w:r w:rsidR="00235045">
          <w:rPr>
            <w:rFonts w:asciiTheme="minorHAnsi" w:eastAsiaTheme="minorEastAsia" w:hAnsiTheme="minorHAnsi" w:cstheme="minorBidi"/>
            <w:iCs w:val="0"/>
            <w:noProof/>
            <w:sz w:val="22"/>
            <w:szCs w:val="22"/>
            <w:lang w:eastAsia="en-AU"/>
          </w:rPr>
          <w:tab/>
        </w:r>
        <w:r w:rsidR="00235045" w:rsidRPr="00DE441B">
          <w:rPr>
            <w:rStyle w:val="Hyperlink"/>
            <w:noProof/>
          </w:rPr>
          <w:t>Program administration costs</w:t>
        </w:r>
        <w:r w:rsidR="00235045">
          <w:rPr>
            <w:noProof/>
            <w:webHidden/>
          </w:rPr>
          <w:tab/>
        </w:r>
        <w:r>
          <w:rPr>
            <w:noProof/>
            <w:webHidden/>
          </w:rPr>
          <w:fldChar w:fldCharType="begin"/>
        </w:r>
        <w:r w:rsidR="00235045">
          <w:rPr>
            <w:noProof/>
            <w:webHidden/>
          </w:rPr>
          <w:instrText xml:space="preserve"> PAGEREF _Toc287018247 \h </w:instrText>
        </w:r>
        <w:r>
          <w:rPr>
            <w:noProof/>
            <w:webHidden/>
          </w:rPr>
        </w:r>
        <w:r>
          <w:rPr>
            <w:noProof/>
            <w:webHidden/>
          </w:rPr>
          <w:fldChar w:fldCharType="separate"/>
        </w:r>
        <w:r w:rsidR="00F852EF">
          <w:rPr>
            <w:noProof/>
            <w:webHidden/>
          </w:rPr>
          <w:t>23</w:t>
        </w:r>
        <w:r>
          <w:rPr>
            <w:noProof/>
            <w:webHidden/>
          </w:rPr>
          <w:fldChar w:fldCharType="end"/>
        </w:r>
      </w:hyperlink>
    </w:p>
    <w:p w:rsidR="00235045" w:rsidRDefault="00BC5396">
      <w:pPr>
        <w:pStyle w:val="TOC2"/>
        <w:rPr>
          <w:rFonts w:asciiTheme="minorHAnsi" w:eastAsiaTheme="minorEastAsia" w:hAnsiTheme="minorHAnsi" w:cstheme="minorBidi"/>
          <w:iCs w:val="0"/>
          <w:noProof/>
          <w:sz w:val="22"/>
          <w:szCs w:val="22"/>
          <w:lang w:eastAsia="en-AU"/>
        </w:rPr>
      </w:pPr>
      <w:hyperlink w:anchor="_Toc287018248" w:history="1">
        <w:r w:rsidR="00235045" w:rsidRPr="00DE441B">
          <w:rPr>
            <w:rStyle w:val="Hyperlink"/>
            <w:noProof/>
            <w:snapToGrid w:val="0"/>
            <w:w w:val="0"/>
          </w:rPr>
          <w:t>4.6.</w:t>
        </w:r>
        <w:r w:rsidR="00235045">
          <w:rPr>
            <w:rFonts w:asciiTheme="minorHAnsi" w:eastAsiaTheme="minorEastAsia" w:hAnsiTheme="minorHAnsi" w:cstheme="minorBidi"/>
            <w:iCs w:val="0"/>
            <w:noProof/>
            <w:sz w:val="22"/>
            <w:szCs w:val="22"/>
            <w:lang w:eastAsia="en-AU"/>
          </w:rPr>
          <w:tab/>
        </w:r>
        <w:r w:rsidR="00235045" w:rsidRPr="00DE441B">
          <w:rPr>
            <w:rStyle w:val="Hyperlink"/>
            <w:noProof/>
          </w:rPr>
          <w:t>Discussion</w:t>
        </w:r>
        <w:r w:rsidR="00235045">
          <w:rPr>
            <w:noProof/>
            <w:webHidden/>
          </w:rPr>
          <w:tab/>
        </w:r>
        <w:r>
          <w:rPr>
            <w:noProof/>
            <w:webHidden/>
          </w:rPr>
          <w:fldChar w:fldCharType="begin"/>
        </w:r>
        <w:r w:rsidR="00235045">
          <w:rPr>
            <w:noProof/>
            <w:webHidden/>
          </w:rPr>
          <w:instrText xml:space="preserve"> PAGEREF _Toc287018248 \h </w:instrText>
        </w:r>
        <w:r>
          <w:rPr>
            <w:noProof/>
            <w:webHidden/>
          </w:rPr>
        </w:r>
        <w:r>
          <w:rPr>
            <w:noProof/>
            <w:webHidden/>
          </w:rPr>
          <w:fldChar w:fldCharType="separate"/>
        </w:r>
        <w:r w:rsidR="00F852EF">
          <w:rPr>
            <w:noProof/>
            <w:webHidden/>
          </w:rPr>
          <w:t>23</w:t>
        </w:r>
        <w:r>
          <w:rPr>
            <w:noProof/>
            <w:webHidden/>
          </w:rPr>
          <w:fldChar w:fldCharType="end"/>
        </w:r>
      </w:hyperlink>
    </w:p>
    <w:p w:rsidR="00235045" w:rsidRDefault="00BC5396">
      <w:pPr>
        <w:pStyle w:val="TOC1"/>
        <w:tabs>
          <w:tab w:val="left" w:pos="720"/>
          <w:tab w:val="right" w:leader="dot" w:pos="9062"/>
        </w:tabs>
        <w:rPr>
          <w:rFonts w:asciiTheme="minorHAnsi" w:eastAsiaTheme="minorEastAsia" w:hAnsiTheme="minorHAnsi" w:cstheme="minorBidi"/>
          <w:b w:val="0"/>
          <w:bCs w:val="0"/>
          <w:noProof/>
          <w:sz w:val="22"/>
          <w:szCs w:val="22"/>
          <w:lang w:eastAsia="en-AU"/>
        </w:rPr>
      </w:pPr>
      <w:hyperlink w:anchor="_Toc287018249" w:history="1">
        <w:r w:rsidR="00235045" w:rsidRPr="00DE441B">
          <w:rPr>
            <w:rStyle w:val="Hyperlink"/>
            <w:rFonts w:eastAsia="Times New Roman"/>
            <w:noProof/>
          </w:rPr>
          <w:t>5.</w:t>
        </w:r>
        <w:r w:rsidR="00235045">
          <w:rPr>
            <w:rFonts w:asciiTheme="minorHAnsi" w:eastAsiaTheme="minorEastAsia" w:hAnsiTheme="minorHAnsi" w:cstheme="minorBidi"/>
            <w:b w:val="0"/>
            <w:bCs w:val="0"/>
            <w:noProof/>
            <w:sz w:val="22"/>
            <w:szCs w:val="22"/>
            <w:lang w:eastAsia="en-AU"/>
          </w:rPr>
          <w:tab/>
        </w:r>
        <w:r w:rsidR="00235045" w:rsidRPr="00DE441B">
          <w:rPr>
            <w:rStyle w:val="Hyperlink"/>
            <w:noProof/>
          </w:rPr>
          <w:t>Stakeholder views</w:t>
        </w:r>
        <w:r w:rsidR="00235045">
          <w:rPr>
            <w:noProof/>
            <w:webHidden/>
          </w:rPr>
          <w:tab/>
        </w:r>
        <w:r>
          <w:rPr>
            <w:noProof/>
            <w:webHidden/>
          </w:rPr>
          <w:fldChar w:fldCharType="begin"/>
        </w:r>
        <w:r w:rsidR="00235045">
          <w:rPr>
            <w:noProof/>
            <w:webHidden/>
          </w:rPr>
          <w:instrText xml:space="preserve"> PAGEREF _Toc287018249 \h </w:instrText>
        </w:r>
        <w:r>
          <w:rPr>
            <w:noProof/>
            <w:webHidden/>
          </w:rPr>
        </w:r>
        <w:r>
          <w:rPr>
            <w:noProof/>
            <w:webHidden/>
          </w:rPr>
          <w:fldChar w:fldCharType="separate"/>
        </w:r>
        <w:r w:rsidR="00F852EF">
          <w:rPr>
            <w:noProof/>
            <w:webHidden/>
          </w:rPr>
          <w:t>25</w:t>
        </w:r>
        <w:r>
          <w:rPr>
            <w:noProof/>
            <w:webHidden/>
          </w:rPr>
          <w:fldChar w:fldCharType="end"/>
        </w:r>
      </w:hyperlink>
    </w:p>
    <w:p w:rsidR="00235045" w:rsidRDefault="00BC5396">
      <w:pPr>
        <w:pStyle w:val="TOC1"/>
        <w:tabs>
          <w:tab w:val="left" w:pos="720"/>
          <w:tab w:val="right" w:leader="dot" w:pos="9062"/>
        </w:tabs>
        <w:rPr>
          <w:rFonts w:asciiTheme="minorHAnsi" w:eastAsiaTheme="minorEastAsia" w:hAnsiTheme="minorHAnsi" w:cstheme="minorBidi"/>
          <w:b w:val="0"/>
          <w:bCs w:val="0"/>
          <w:noProof/>
          <w:sz w:val="22"/>
          <w:szCs w:val="22"/>
          <w:lang w:eastAsia="en-AU"/>
        </w:rPr>
      </w:pPr>
      <w:hyperlink w:anchor="_Toc287018250" w:history="1">
        <w:r w:rsidR="00235045" w:rsidRPr="00DE441B">
          <w:rPr>
            <w:rStyle w:val="Hyperlink"/>
            <w:rFonts w:eastAsia="Times New Roman"/>
            <w:noProof/>
          </w:rPr>
          <w:t>6.</w:t>
        </w:r>
        <w:r w:rsidR="00235045">
          <w:rPr>
            <w:rFonts w:asciiTheme="minorHAnsi" w:eastAsiaTheme="minorEastAsia" w:hAnsiTheme="minorHAnsi" w:cstheme="minorBidi"/>
            <w:b w:val="0"/>
            <w:bCs w:val="0"/>
            <w:noProof/>
            <w:sz w:val="22"/>
            <w:szCs w:val="22"/>
            <w:lang w:eastAsia="en-AU"/>
          </w:rPr>
          <w:tab/>
        </w:r>
        <w:r w:rsidR="00235045" w:rsidRPr="00DE441B">
          <w:rPr>
            <w:rStyle w:val="Hyperlink"/>
            <w:noProof/>
          </w:rPr>
          <w:t>Conclusions</w:t>
        </w:r>
        <w:r w:rsidR="00235045">
          <w:rPr>
            <w:noProof/>
            <w:webHidden/>
          </w:rPr>
          <w:tab/>
        </w:r>
        <w:r>
          <w:rPr>
            <w:noProof/>
            <w:webHidden/>
          </w:rPr>
          <w:fldChar w:fldCharType="begin"/>
        </w:r>
        <w:r w:rsidR="00235045">
          <w:rPr>
            <w:noProof/>
            <w:webHidden/>
          </w:rPr>
          <w:instrText xml:space="preserve"> PAGEREF _Toc287018250 \h </w:instrText>
        </w:r>
        <w:r>
          <w:rPr>
            <w:noProof/>
            <w:webHidden/>
          </w:rPr>
        </w:r>
        <w:r>
          <w:rPr>
            <w:noProof/>
            <w:webHidden/>
          </w:rPr>
          <w:fldChar w:fldCharType="separate"/>
        </w:r>
        <w:r w:rsidR="00F852EF">
          <w:rPr>
            <w:noProof/>
            <w:webHidden/>
          </w:rPr>
          <w:t>26</w:t>
        </w:r>
        <w:r>
          <w:rPr>
            <w:noProof/>
            <w:webHidden/>
          </w:rPr>
          <w:fldChar w:fldCharType="end"/>
        </w:r>
      </w:hyperlink>
    </w:p>
    <w:p w:rsidR="00235045" w:rsidRDefault="00BC5396">
      <w:pPr>
        <w:pStyle w:val="TOC2"/>
        <w:rPr>
          <w:rFonts w:asciiTheme="minorHAnsi" w:eastAsiaTheme="minorEastAsia" w:hAnsiTheme="minorHAnsi" w:cstheme="minorBidi"/>
          <w:iCs w:val="0"/>
          <w:noProof/>
          <w:sz w:val="22"/>
          <w:szCs w:val="22"/>
          <w:lang w:eastAsia="en-AU"/>
        </w:rPr>
      </w:pPr>
      <w:hyperlink w:anchor="_Toc287018251" w:history="1">
        <w:r w:rsidR="00235045" w:rsidRPr="00DE441B">
          <w:rPr>
            <w:rStyle w:val="Hyperlink"/>
            <w:noProof/>
            <w:snapToGrid w:val="0"/>
            <w:w w:val="0"/>
          </w:rPr>
          <w:t>6.1.</w:t>
        </w:r>
        <w:r w:rsidR="00235045">
          <w:rPr>
            <w:rFonts w:asciiTheme="minorHAnsi" w:eastAsiaTheme="minorEastAsia" w:hAnsiTheme="minorHAnsi" w:cstheme="minorBidi"/>
            <w:iCs w:val="0"/>
            <w:noProof/>
            <w:sz w:val="22"/>
            <w:szCs w:val="22"/>
            <w:lang w:eastAsia="en-AU"/>
          </w:rPr>
          <w:tab/>
        </w:r>
        <w:r w:rsidR="00235045" w:rsidRPr="00DE441B">
          <w:rPr>
            <w:rStyle w:val="Hyperlink"/>
            <w:noProof/>
          </w:rPr>
          <w:t>Risk</w:t>
        </w:r>
        <w:r w:rsidR="00235045">
          <w:rPr>
            <w:noProof/>
            <w:webHidden/>
          </w:rPr>
          <w:tab/>
        </w:r>
        <w:r>
          <w:rPr>
            <w:noProof/>
            <w:webHidden/>
          </w:rPr>
          <w:fldChar w:fldCharType="begin"/>
        </w:r>
        <w:r w:rsidR="00235045">
          <w:rPr>
            <w:noProof/>
            <w:webHidden/>
          </w:rPr>
          <w:instrText xml:space="preserve"> PAGEREF _Toc287018251 \h </w:instrText>
        </w:r>
        <w:r>
          <w:rPr>
            <w:noProof/>
            <w:webHidden/>
          </w:rPr>
        </w:r>
        <w:r>
          <w:rPr>
            <w:noProof/>
            <w:webHidden/>
          </w:rPr>
          <w:fldChar w:fldCharType="separate"/>
        </w:r>
        <w:r w:rsidR="00F852EF">
          <w:rPr>
            <w:noProof/>
            <w:webHidden/>
          </w:rPr>
          <w:t>26</w:t>
        </w:r>
        <w:r>
          <w:rPr>
            <w:noProof/>
            <w:webHidden/>
          </w:rPr>
          <w:fldChar w:fldCharType="end"/>
        </w:r>
      </w:hyperlink>
    </w:p>
    <w:p w:rsidR="00235045" w:rsidRDefault="00BC5396">
      <w:pPr>
        <w:pStyle w:val="TOC2"/>
        <w:rPr>
          <w:rFonts w:asciiTheme="minorHAnsi" w:eastAsiaTheme="minorEastAsia" w:hAnsiTheme="minorHAnsi" w:cstheme="minorBidi"/>
          <w:iCs w:val="0"/>
          <w:noProof/>
          <w:sz w:val="22"/>
          <w:szCs w:val="22"/>
          <w:lang w:eastAsia="en-AU"/>
        </w:rPr>
      </w:pPr>
      <w:hyperlink w:anchor="_Toc287018252" w:history="1">
        <w:r w:rsidR="00235045" w:rsidRPr="00DE441B">
          <w:rPr>
            <w:rStyle w:val="Hyperlink"/>
            <w:noProof/>
            <w:snapToGrid w:val="0"/>
            <w:w w:val="0"/>
          </w:rPr>
          <w:t>6.2.</w:t>
        </w:r>
        <w:r w:rsidR="00235045">
          <w:rPr>
            <w:rFonts w:asciiTheme="minorHAnsi" w:eastAsiaTheme="minorEastAsia" w:hAnsiTheme="minorHAnsi" w:cstheme="minorBidi"/>
            <w:iCs w:val="0"/>
            <w:noProof/>
            <w:sz w:val="22"/>
            <w:szCs w:val="22"/>
            <w:lang w:eastAsia="en-AU"/>
          </w:rPr>
          <w:tab/>
        </w:r>
        <w:r w:rsidR="00235045" w:rsidRPr="00DE441B">
          <w:rPr>
            <w:rStyle w:val="Hyperlink"/>
            <w:noProof/>
          </w:rPr>
          <w:t>Cost</w:t>
        </w:r>
        <w:r w:rsidR="00235045">
          <w:rPr>
            <w:noProof/>
            <w:webHidden/>
          </w:rPr>
          <w:tab/>
        </w:r>
        <w:r>
          <w:rPr>
            <w:noProof/>
            <w:webHidden/>
          </w:rPr>
          <w:fldChar w:fldCharType="begin"/>
        </w:r>
        <w:r w:rsidR="00235045">
          <w:rPr>
            <w:noProof/>
            <w:webHidden/>
          </w:rPr>
          <w:instrText xml:space="preserve"> PAGEREF _Toc287018252 \h </w:instrText>
        </w:r>
        <w:r>
          <w:rPr>
            <w:noProof/>
            <w:webHidden/>
          </w:rPr>
        </w:r>
        <w:r>
          <w:rPr>
            <w:noProof/>
            <w:webHidden/>
          </w:rPr>
          <w:fldChar w:fldCharType="separate"/>
        </w:r>
        <w:r w:rsidR="00F852EF">
          <w:rPr>
            <w:noProof/>
            <w:webHidden/>
          </w:rPr>
          <w:t>27</w:t>
        </w:r>
        <w:r>
          <w:rPr>
            <w:noProof/>
            <w:webHidden/>
          </w:rPr>
          <w:fldChar w:fldCharType="end"/>
        </w:r>
      </w:hyperlink>
    </w:p>
    <w:p w:rsidR="00235045" w:rsidRDefault="00BC5396">
      <w:pPr>
        <w:pStyle w:val="TOC1"/>
        <w:tabs>
          <w:tab w:val="left" w:pos="720"/>
          <w:tab w:val="right" w:leader="dot" w:pos="9062"/>
        </w:tabs>
        <w:rPr>
          <w:rFonts w:asciiTheme="minorHAnsi" w:eastAsiaTheme="minorEastAsia" w:hAnsiTheme="minorHAnsi" w:cstheme="minorBidi"/>
          <w:b w:val="0"/>
          <w:bCs w:val="0"/>
          <w:noProof/>
          <w:sz w:val="22"/>
          <w:szCs w:val="22"/>
          <w:lang w:eastAsia="en-AU"/>
        </w:rPr>
      </w:pPr>
      <w:hyperlink w:anchor="_Toc287018253" w:history="1">
        <w:r w:rsidR="00235045" w:rsidRPr="00DE441B">
          <w:rPr>
            <w:rStyle w:val="Hyperlink"/>
            <w:rFonts w:eastAsia="Times New Roman"/>
            <w:noProof/>
          </w:rPr>
          <w:t>7.</w:t>
        </w:r>
        <w:r w:rsidR="00235045">
          <w:rPr>
            <w:rFonts w:asciiTheme="minorHAnsi" w:eastAsiaTheme="minorEastAsia" w:hAnsiTheme="minorHAnsi" w:cstheme="minorBidi"/>
            <w:b w:val="0"/>
            <w:bCs w:val="0"/>
            <w:noProof/>
            <w:sz w:val="22"/>
            <w:szCs w:val="22"/>
            <w:lang w:eastAsia="en-AU"/>
          </w:rPr>
          <w:tab/>
        </w:r>
        <w:r w:rsidR="00235045" w:rsidRPr="00DE441B">
          <w:rPr>
            <w:rStyle w:val="Hyperlink"/>
            <w:noProof/>
          </w:rPr>
          <w:t>Recommendations</w:t>
        </w:r>
        <w:r w:rsidR="00235045">
          <w:rPr>
            <w:noProof/>
            <w:webHidden/>
          </w:rPr>
          <w:tab/>
        </w:r>
        <w:r>
          <w:rPr>
            <w:noProof/>
            <w:webHidden/>
          </w:rPr>
          <w:fldChar w:fldCharType="begin"/>
        </w:r>
        <w:r w:rsidR="00235045">
          <w:rPr>
            <w:noProof/>
            <w:webHidden/>
          </w:rPr>
          <w:instrText xml:space="preserve"> PAGEREF _Toc287018253 \h </w:instrText>
        </w:r>
        <w:r>
          <w:rPr>
            <w:noProof/>
            <w:webHidden/>
          </w:rPr>
        </w:r>
        <w:r>
          <w:rPr>
            <w:noProof/>
            <w:webHidden/>
          </w:rPr>
          <w:fldChar w:fldCharType="separate"/>
        </w:r>
        <w:r w:rsidR="00F852EF">
          <w:rPr>
            <w:noProof/>
            <w:webHidden/>
          </w:rPr>
          <w:t>29</w:t>
        </w:r>
        <w:r>
          <w:rPr>
            <w:noProof/>
            <w:webHidden/>
          </w:rPr>
          <w:fldChar w:fldCharType="end"/>
        </w:r>
      </w:hyperlink>
    </w:p>
    <w:p w:rsidR="00235045" w:rsidRDefault="00BC5396">
      <w:pPr>
        <w:pStyle w:val="TOC2"/>
        <w:rPr>
          <w:rFonts w:asciiTheme="minorHAnsi" w:eastAsiaTheme="minorEastAsia" w:hAnsiTheme="minorHAnsi" w:cstheme="minorBidi"/>
          <w:iCs w:val="0"/>
          <w:noProof/>
          <w:sz w:val="22"/>
          <w:szCs w:val="22"/>
          <w:lang w:eastAsia="en-AU"/>
        </w:rPr>
      </w:pPr>
      <w:hyperlink w:anchor="_Toc287018254" w:history="1">
        <w:r w:rsidR="00235045" w:rsidRPr="00DE441B">
          <w:rPr>
            <w:rStyle w:val="Hyperlink"/>
            <w:noProof/>
            <w:snapToGrid w:val="0"/>
            <w:w w:val="0"/>
          </w:rPr>
          <w:t>7.1.</w:t>
        </w:r>
        <w:r w:rsidR="00235045">
          <w:rPr>
            <w:rFonts w:asciiTheme="minorHAnsi" w:eastAsiaTheme="minorEastAsia" w:hAnsiTheme="minorHAnsi" w:cstheme="minorBidi"/>
            <w:iCs w:val="0"/>
            <w:noProof/>
            <w:sz w:val="22"/>
            <w:szCs w:val="22"/>
            <w:lang w:eastAsia="en-AU"/>
          </w:rPr>
          <w:tab/>
        </w:r>
        <w:r w:rsidR="00235045" w:rsidRPr="00DE441B">
          <w:rPr>
            <w:rStyle w:val="Hyperlink"/>
            <w:noProof/>
          </w:rPr>
          <w:t>Risk</w:t>
        </w:r>
        <w:r w:rsidR="00235045">
          <w:rPr>
            <w:noProof/>
            <w:webHidden/>
          </w:rPr>
          <w:tab/>
        </w:r>
        <w:r>
          <w:rPr>
            <w:noProof/>
            <w:webHidden/>
          </w:rPr>
          <w:fldChar w:fldCharType="begin"/>
        </w:r>
        <w:r w:rsidR="00235045">
          <w:rPr>
            <w:noProof/>
            <w:webHidden/>
          </w:rPr>
          <w:instrText xml:space="preserve"> PAGEREF _Toc287018254 \h </w:instrText>
        </w:r>
        <w:r>
          <w:rPr>
            <w:noProof/>
            <w:webHidden/>
          </w:rPr>
        </w:r>
        <w:r>
          <w:rPr>
            <w:noProof/>
            <w:webHidden/>
          </w:rPr>
          <w:fldChar w:fldCharType="separate"/>
        </w:r>
        <w:r w:rsidR="00F852EF">
          <w:rPr>
            <w:noProof/>
            <w:webHidden/>
          </w:rPr>
          <w:t>29</w:t>
        </w:r>
        <w:r>
          <w:rPr>
            <w:noProof/>
            <w:webHidden/>
          </w:rPr>
          <w:fldChar w:fldCharType="end"/>
        </w:r>
      </w:hyperlink>
    </w:p>
    <w:p w:rsidR="00235045" w:rsidRDefault="00BC5396">
      <w:pPr>
        <w:pStyle w:val="TOC2"/>
        <w:rPr>
          <w:rFonts w:asciiTheme="minorHAnsi" w:eastAsiaTheme="minorEastAsia" w:hAnsiTheme="minorHAnsi" w:cstheme="minorBidi"/>
          <w:iCs w:val="0"/>
          <w:noProof/>
          <w:sz w:val="22"/>
          <w:szCs w:val="22"/>
          <w:lang w:eastAsia="en-AU"/>
        </w:rPr>
      </w:pPr>
      <w:hyperlink w:anchor="_Toc287018255" w:history="1">
        <w:r w:rsidR="00235045" w:rsidRPr="00DE441B">
          <w:rPr>
            <w:rStyle w:val="Hyperlink"/>
            <w:noProof/>
            <w:snapToGrid w:val="0"/>
            <w:w w:val="0"/>
          </w:rPr>
          <w:t>7.2.</w:t>
        </w:r>
        <w:r w:rsidR="00235045">
          <w:rPr>
            <w:rFonts w:asciiTheme="minorHAnsi" w:eastAsiaTheme="minorEastAsia" w:hAnsiTheme="minorHAnsi" w:cstheme="minorBidi"/>
            <w:iCs w:val="0"/>
            <w:noProof/>
            <w:sz w:val="22"/>
            <w:szCs w:val="22"/>
            <w:lang w:eastAsia="en-AU"/>
          </w:rPr>
          <w:tab/>
        </w:r>
        <w:r w:rsidR="00235045" w:rsidRPr="00DE441B">
          <w:rPr>
            <w:rStyle w:val="Hyperlink"/>
            <w:noProof/>
          </w:rPr>
          <w:t>Cost</w:t>
        </w:r>
        <w:r w:rsidR="00235045">
          <w:rPr>
            <w:noProof/>
            <w:webHidden/>
          </w:rPr>
          <w:tab/>
        </w:r>
        <w:r>
          <w:rPr>
            <w:noProof/>
            <w:webHidden/>
          </w:rPr>
          <w:fldChar w:fldCharType="begin"/>
        </w:r>
        <w:r w:rsidR="00235045">
          <w:rPr>
            <w:noProof/>
            <w:webHidden/>
          </w:rPr>
          <w:instrText xml:space="preserve"> PAGEREF _Toc287018255 \h </w:instrText>
        </w:r>
        <w:r>
          <w:rPr>
            <w:noProof/>
            <w:webHidden/>
          </w:rPr>
        </w:r>
        <w:r>
          <w:rPr>
            <w:noProof/>
            <w:webHidden/>
          </w:rPr>
          <w:fldChar w:fldCharType="separate"/>
        </w:r>
        <w:r w:rsidR="00F852EF">
          <w:rPr>
            <w:noProof/>
            <w:webHidden/>
          </w:rPr>
          <w:t>29</w:t>
        </w:r>
        <w:r>
          <w:rPr>
            <w:noProof/>
            <w:webHidden/>
          </w:rPr>
          <w:fldChar w:fldCharType="end"/>
        </w:r>
      </w:hyperlink>
    </w:p>
    <w:p w:rsidR="00235045" w:rsidRDefault="00BC5396">
      <w:pPr>
        <w:pStyle w:val="TOC2"/>
        <w:rPr>
          <w:rFonts w:asciiTheme="minorHAnsi" w:eastAsiaTheme="minorEastAsia" w:hAnsiTheme="minorHAnsi" w:cstheme="minorBidi"/>
          <w:iCs w:val="0"/>
          <w:noProof/>
          <w:sz w:val="22"/>
          <w:szCs w:val="22"/>
          <w:lang w:eastAsia="en-AU"/>
        </w:rPr>
      </w:pPr>
      <w:hyperlink w:anchor="_Toc287018256" w:history="1">
        <w:r w:rsidR="00235045" w:rsidRPr="00DE441B">
          <w:rPr>
            <w:rStyle w:val="Hyperlink"/>
            <w:noProof/>
            <w:snapToGrid w:val="0"/>
            <w:w w:val="0"/>
          </w:rPr>
          <w:t>7.3.</w:t>
        </w:r>
        <w:r w:rsidR="00235045">
          <w:rPr>
            <w:rFonts w:asciiTheme="minorHAnsi" w:eastAsiaTheme="minorEastAsia" w:hAnsiTheme="minorHAnsi" w:cstheme="minorBidi"/>
            <w:iCs w:val="0"/>
            <w:noProof/>
            <w:sz w:val="22"/>
            <w:szCs w:val="22"/>
            <w:lang w:eastAsia="en-AU"/>
          </w:rPr>
          <w:tab/>
        </w:r>
        <w:r w:rsidR="00235045" w:rsidRPr="00DE441B">
          <w:rPr>
            <w:rStyle w:val="Hyperlink"/>
            <w:noProof/>
          </w:rPr>
          <w:t>Other</w:t>
        </w:r>
        <w:r w:rsidR="00235045">
          <w:rPr>
            <w:noProof/>
            <w:webHidden/>
          </w:rPr>
          <w:tab/>
        </w:r>
        <w:r>
          <w:rPr>
            <w:noProof/>
            <w:webHidden/>
          </w:rPr>
          <w:fldChar w:fldCharType="begin"/>
        </w:r>
        <w:r w:rsidR="00235045">
          <w:rPr>
            <w:noProof/>
            <w:webHidden/>
          </w:rPr>
          <w:instrText xml:space="preserve"> PAGEREF _Toc287018256 \h </w:instrText>
        </w:r>
        <w:r>
          <w:rPr>
            <w:noProof/>
            <w:webHidden/>
          </w:rPr>
        </w:r>
        <w:r>
          <w:rPr>
            <w:noProof/>
            <w:webHidden/>
          </w:rPr>
          <w:fldChar w:fldCharType="separate"/>
        </w:r>
        <w:r w:rsidR="00F852EF">
          <w:rPr>
            <w:noProof/>
            <w:webHidden/>
          </w:rPr>
          <w:t>30</w:t>
        </w:r>
        <w:r>
          <w:rPr>
            <w:noProof/>
            <w:webHidden/>
          </w:rPr>
          <w:fldChar w:fldCharType="end"/>
        </w:r>
      </w:hyperlink>
    </w:p>
    <w:p w:rsidR="00235045" w:rsidRDefault="00BC5396">
      <w:pPr>
        <w:pStyle w:val="TOC1"/>
        <w:tabs>
          <w:tab w:val="left" w:pos="720"/>
          <w:tab w:val="right" w:leader="dot" w:pos="9062"/>
        </w:tabs>
        <w:rPr>
          <w:rFonts w:asciiTheme="minorHAnsi" w:eastAsiaTheme="minorEastAsia" w:hAnsiTheme="minorHAnsi" w:cstheme="minorBidi"/>
          <w:b w:val="0"/>
          <w:bCs w:val="0"/>
          <w:noProof/>
          <w:sz w:val="22"/>
          <w:szCs w:val="22"/>
          <w:lang w:eastAsia="en-AU"/>
        </w:rPr>
      </w:pPr>
      <w:hyperlink w:anchor="_Toc287018257" w:history="1">
        <w:r w:rsidR="00235045" w:rsidRPr="00DE441B">
          <w:rPr>
            <w:rStyle w:val="Hyperlink"/>
            <w:rFonts w:eastAsia="Times New Roman"/>
            <w:noProof/>
          </w:rPr>
          <w:t>8.</w:t>
        </w:r>
        <w:r w:rsidR="00235045">
          <w:rPr>
            <w:rFonts w:asciiTheme="minorHAnsi" w:eastAsiaTheme="minorEastAsia" w:hAnsiTheme="minorHAnsi" w:cstheme="minorBidi"/>
            <w:b w:val="0"/>
            <w:bCs w:val="0"/>
            <w:noProof/>
            <w:sz w:val="22"/>
            <w:szCs w:val="22"/>
            <w:lang w:eastAsia="en-AU"/>
          </w:rPr>
          <w:tab/>
        </w:r>
        <w:r w:rsidR="00235045" w:rsidRPr="00DE441B">
          <w:rPr>
            <w:rStyle w:val="Hyperlink"/>
            <w:noProof/>
          </w:rPr>
          <w:t>References</w:t>
        </w:r>
        <w:r w:rsidR="00235045">
          <w:rPr>
            <w:noProof/>
            <w:webHidden/>
          </w:rPr>
          <w:tab/>
        </w:r>
        <w:r>
          <w:rPr>
            <w:noProof/>
            <w:webHidden/>
          </w:rPr>
          <w:fldChar w:fldCharType="begin"/>
        </w:r>
        <w:r w:rsidR="00235045">
          <w:rPr>
            <w:noProof/>
            <w:webHidden/>
          </w:rPr>
          <w:instrText xml:space="preserve"> PAGEREF _Toc287018257 \h </w:instrText>
        </w:r>
        <w:r>
          <w:rPr>
            <w:noProof/>
            <w:webHidden/>
          </w:rPr>
        </w:r>
        <w:r>
          <w:rPr>
            <w:noProof/>
            <w:webHidden/>
          </w:rPr>
          <w:fldChar w:fldCharType="separate"/>
        </w:r>
        <w:r w:rsidR="00F852EF">
          <w:rPr>
            <w:noProof/>
            <w:webHidden/>
          </w:rPr>
          <w:t>31</w:t>
        </w:r>
        <w:r>
          <w:rPr>
            <w:noProof/>
            <w:webHidden/>
          </w:rPr>
          <w:fldChar w:fldCharType="end"/>
        </w:r>
      </w:hyperlink>
    </w:p>
    <w:p w:rsidR="003E24B5" w:rsidRDefault="00BC5396" w:rsidP="00CB42E3">
      <w:pPr>
        <w:jc w:val="left"/>
        <w:rPr>
          <w:b/>
          <w:bCs/>
          <w:szCs w:val="20"/>
        </w:rPr>
      </w:pPr>
      <w:r>
        <w:rPr>
          <w:b/>
          <w:bCs/>
        </w:rPr>
        <w:fldChar w:fldCharType="end"/>
      </w:r>
    </w:p>
    <w:p w:rsidR="003E24B5" w:rsidRPr="006B5843" w:rsidRDefault="003E24B5" w:rsidP="00266EED">
      <w:pPr>
        <w:jc w:val="center"/>
        <w:rPr>
          <w:b/>
          <w:sz w:val="28"/>
          <w:szCs w:val="28"/>
        </w:rPr>
      </w:pPr>
      <w:r w:rsidRPr="006B5843">
        <w:rPr>
          <w:b/>
          <w:sz w:val="28"/>
          <w:szCs w:val="28"/>
        </w:rPr>
        <w:lastRenderedPageBreak/>
        <w:t>FIGURES</w:t>
      </w:r>
    </w:p>
    <w:p w:rsidR="003E24B5" w:rsidRDefault="00BC5396">
      <w:pPr>
        <w:pStyle w:val="TableofFigures"/>
        <w:tabs>
          <w:tab w:val="right" w:pos="9062"/>
        </w:tabs>
        <w:rPr>
          <w:rFonts w:ascii="Calibri" w:hAnsi="Calibri"/>
          <w:bCs w:val="0"/>
          <w:noProof/>
          <w:sz w:val="22"/>
          <w:szCs w:val="22"/>
          <w:lang w:eastAsia="en-AU"/>
        </w:rPr>
      </w:pPr>
      <w:r>
        <w:rPr>
          <w:noProof/>
        </w:rPr>
        <w:fldChar w:fldCharType="begin"/>
      </w:r>
      <w:r w:rsidR="003E24B5">
        <w:rPr>
          <w:noProof/>
        </w:rPr>
        <w:instrText xml:space="preserve"> TOC \h \z \c "Figure" </w:instrText>
      </w:r>
      <w:r>
        <w:rPr>
          <w:noProof/>
        </w:rPr>
        <w:fldChar w:fldCharType="separate"/>
      </w:r>
      <w:hyperlink w:anchor="_Toc284232050" w:history="1">
        <w:r w:rsidR="003E24B5" w:rsidRPr="00F53CD4">
          <w:rPr>
            <w:rStyle w:val="Hyperlink"/>
            <w:noProof/>
          </w:rPr>
          <w:t>Figure 1:  Parties involved in the scheme</w:t>
        </w:r>
        <w:r w:rsidR="003E24B5">
          <w:rPr>
            <w:noProof/>
            <w:webHidden/>
          </w:rPr>
          <w:tab/>
        </w:r>
        <w:r>
          <w:rPr>
            <w:noProof/>
            <w:webHidden/>
          </w:rPr>
          <w:fldChar w:fldCharType="begin"/>
        </w:r>
        <w:r w:rsidR="003E24B5">
          <w:rPr>
            <w:noProof/>
            <w:webHidden/>
          </w:rPr>
          <w:instrText xml:space="preserve"> PAGEREF _Toc284232050 \h </w:instrText>
        </w:r>
        <w:r>
          <w:rPr>
            <w:noProof/>
            <w:webHidden/>
          </w:rPr>
        </w:r>
        <w:r>
          <w:rPr>
            <w:noProof/>
            <w:webHidden/>
          </w:rPr>
          <w:fldChar w:fldCharType="separate"/>
        </w:r>
        <w:r w:rsidR="00F852EF">
          <w:rPr>
            <w:noProof/>
            <w:webHidden/>
          </w:rPr>
          <w:t>10</w:t>
        </w:r>
        <w:r>
          <w:rPr>
            <w:noProof/>
            <w:webHidden/>
          </w:rPr>
          <w:fldChar w:fldCharType="end"/>
        </w:r>
      </w:hyperlink>
    </w:p>
    <w:p w:rsidR="003E24B5" w:rsidRDefault="00BC5396">
      <w:pPr>
        <w:pStyle w:val="TableofFigures"/>
        <w:tabs>
          <w:tab w:val="right" w:pos="9062"/>
        </w:tabs>
        <w:rPr>
          <w:rFonts w:ascii="Calibri" w:hAnsi="Calibri"/>
          <w:bCs w:val="0"/>
          <w:noProof/>
          <w:sz w:val="22"/>
          <w:szCs w:val="22"/>
          <w:lang w:eastAsia="en-AU"/>
        </w:rPr>
      </w:pPr>
      <w:hyperlink w:anchor="_Toc284232051" w:history="1">
        <w:r w:rsidR="003E24B5" w:rsidRPr="00F53CD4">
          <w:rPr>
            <w:rStyle w:val="Hyperlink"/>
            <w:noProof/>
          </w:rPr>
          <w:t>Figure 2:  Summary of the Risk Management Process</w:t>
        </w:r>
        <w:r w:rsidR="003E24B5">
          <w:rPr>
            <w:noProof/>
            <w:webHidden/>
          </w:rPr>
          <w:tab/>
        </w:r>
        <w:r>
          <w:rPr>
            <w:noProof/>
            <w:webHidden/>
          </w:rPr>
          <w:fldChar w:fldCharType="begin"/>
        </w:r>
        <w:r w:rsidR="003E24B5">
          <w:rPr>
            <w:noProof/>
            <w:webHidden/>
          </w:rPr>
          <w:instrText xml:space="preserve"> PAGEREF _Toc284232051 \h </w:instrText>
        </w:r>
        <w:r>
          <w:rPr>
            <w:noProof/>
            <w:webHidden/>
          </w:rPr>
        </w:r>
        <w:r>
          <w:rPr>
            <w:noProof/>
            <w:webHidden/>
          </w:rPr>
          <w:fldChar w:fldCharType="separate"/>
        </w:r>
        <w:r w:rsidR="00F852EF">
          <w:rPr>
            <w:noProof/>
            <w:webHidden/>
          </w:rPr>
          <w:t>12</w:t>
        </w:r>
        <w:r>
          <w:rPr>
            <w:noProof/>
            <w:webHidden/>
          </w:rPr>
          <w:fldChar w:fldCharType="end"/>
        </w:r>
      </w:hyperlink>
    </w:p>
    <w:p w:rsidR="003E24B5" w:rsidRDefault="00BC5396" w:rsidP="00103F49">
      <w:pPr>
        <w:pStyle w:val="TableofFigures"/>
        <w:tabs>
          <w:tab w:val="left" w:pos="1418"/>
          <w:tab w:val="right" w:pos="9062"/>
        </w:tabs>
        <w:rPr>
          <w:noProof/>
        </w:rPr>
      </w:pPr>
      <w:r>
        <w:rPr>
          <w:noProof/>
        </w:rPr>
        <w:fldChar w:fldCharType="end"/>
      </w:r>
      <w:bookmarkStart w:id="0" w:name="_GoBack"/>
      <w:bookmarkEnd w:id="0"/>
    </w:p>
    <w:p w:rsidR="003E24B5" w:rsidRPr="00544325" w:rsidRDefault="003E24B5" w:rsidP="001B7615">
      <w:pPr>
        <w:spacing w:before="360"/>
        <w:jc w:val="center"/>
        <w:rPr>
          <w:b/>
          <w:sz w:val="28"/>
          <w:szCs w:val="28"/>
        </w:rPr>
      </w:pPr>
      <w:r w:rsidRPr="00544325">
        <w:rPr>
          <w:b/>
          <w:sz w:val="28"/>
          <w:szCs w:val="28"/>
        </w:rPr>
        <w:t>TABLES</w:t>
      </w:r>
    </w:p>
    <w:p w:rsidR="00235045" w:rsidRDefault="00BC5396">
      <w:pPr>
        <w:pStyle w:val="TableofFigures"/>
        <w:tabs>
          <w:tab w:val="right" w:pos="9062"/>
        </w:tabs>
        <w:rPr>
          <w:rFonts w:asciiTheme="minorHAnsi" w:eastAsiaTheme="minorEastAsia" w:hAnsiTheme="minorHAnsi" w:cstheme="minorBidi"/>
          <w:bCs w:val="0"/>
          <w:noProof/>
          <w:sz w:val="22"/>
          <w:szCs w:val="22"/>
          <w:lang w:eastAsia="en-AU"/>
        </w:rPr>
      </w:pPr>
      <w:r>
        <w:rPr>
          <w:noProof/>
        </w:rPr>
        <w:fldChar w:fldCharType="begin"/>
      </w:r>
      <w:r w:rsidR="003E24B5">
        <w:rPr>
          <w:noProof/>
        </w:rPr>
        <w:instrText xml:space="preserve"> TOC \h \z \c "Table" </w:instrText>
      </w:r>
      <w:r>
        <w:rPr>
          <w:noProof/>
        </w:rPr>
        <w:fldChar w:fldCharType="separate"/>
      </w:r>
      <w:hyperlink w:anchor="_Toc287018303" w:history="1">
        <w:r w:rsidR="00235045" w:rsidRPr="002E0B30">
          <w:rPr>
            <w:rStyle w:val="Hyperlink"/>
            <w:noProof/>
          </w:rPr>
          <w:t>Table 1:  Cost of implementation of DIIS for collection locations (new)</w:t>
        </w:r>
        <w:r w:rsidR="00235045">
          <w:rPr>
            <w:noProof/>
            <w:webHidden/>
          </w:rPr>
          <w:tab/>
        </w:r>
        <w:r>
          <w:rPr>
            <w:noProof/>
            <w:webHidden/>
          </w:rPr>
          <w:fldChar w:fldCharType="begin"/>
        </w:r>
        <w:r w:rsidR="00235045">
          <w:rPr>
            <w:noProof/>
            <w:webHidden/>
          </w:rPr>
          <w:instrText xml:space="preserve"> PAGEREF _Toc287018303 \h </w:instrText>
        </w:r>
        <w:r>
          <w:rPr>
            <w:noProof/>
            <w:webHidden/>
          </w:rPr>
        </w:r>
        <w:r>
          <w:rPr>
            <w:noProof/>
            <w:webHidden/>
          </w:rPr>
          <w:fldChar w:fldCharType="separate"/>
        </w:r>
        <w:r w:rsidR="00F852EF">
          <w:rPr>
            <w:noProof/>
            <w:webHidden/>
          </w:rPr>
          <w:t>19</w:t>
        </w:r>
        <w:r>
          <w:rPr>
            <w:noProof/>
            <w:webHidden/>
          </w:rPr>
          <w:fldChar w:fldCharType="end"/>
        </w:r>
      </w:hyperlink>
    </w:p>
    <w:p w:rsidR="00235045" w:rsidRDefault="00BC5396">
      <w:pPr>
        <w:pStyle w:val="TableofFigures"/>
        <w:tabs>
          <w:tab w:val="right" w:pos="9062"/>
        </w:tabs>
        <w:rPr>
          <w:rFonts w:asciiTheme="minorHAnsi" w:eastAsiaTheme="minorEastAsia" w:hAnsiTheme="minorHAnsi" w:cstheme="minorBidi"/>
          <w:bCs w:val="0"/>
          <w:noProof/>
          <w:sz w:val="22"/>
          <w:szCs w:val="22"/>
          <w:lang w:eastAsia="en-AU"/>
        </w:rPr>
      </w:pPr>
      <w:hyperlink w:anchor="_Toc287018304" w:history="1">
        <w:r w:rsidR="00235045" w:rsidRPr="002E0B30">
          <w:rPr>
            <w:rStyle w:val="Hyperlink"/>
            <w:noProof/>
          </w:rPr>
          <w:t>Table 2:  Cost of implementation of DIIS for collection locations (existing)</w:t>
        </w:r>
        <w:r w:rsidR="00235045">
          <w:rPr>
            <w:noProof/>
            <w:webHidden/>
          </w:rPr>
          <w:tab/>
        </w:r>
        <w:r>
          <w:rPr>
            <w:noProof/>
            <w:webHidden/>
          </w:rPr>
          <w:fldChar w:fldCharType="begin"/>
        </w:r>
        <w:r w:rsidR="00235045">
          <w:rPr>
            <w:noProof/>
            <w:webHidden/>
          </w:rPr>
          <w:instrText xml:space="preserve"> PAGEREF _Toc287018304 \h </w:instrText>
        </w:r>
        <w:r>
          <w:rPr>
            <w:noProof/>
            <w:webHidden/>
          </w:rPr>
        </w:r>
        <w:r>
          <w:rPr>
            <w:noProof/>
            <w:webHidden/>
          </w:rPr>
          <w:fldChar w:fldCharType="separate"/>
        </w:r>
        <w:r w:rsidR="00F852EF">
          <w:rPr>
            <w:noProof/>
            <w:webHidden/>
          </w:rPr>
          <w:t>19</w:t>
        </w:r>
        <w:r>
          <w:rPr>
            <w:noProof/>
            <w:webHidden/>
          </w:rPr>
          <w:fldChar w:fldCharType="end"/>
        </w:r>
      </w:hyperlink>
    </w:p>
    <w:p w:rsidR="00235045" w:rsidRDefault="00BC5396">
      <w:pPr>
        <w:pStyle w:val="TableofFigures"/>
        <w:tabs>
          <w:tab w:val="right" w:pos="9062"/>
        </w:tabs>
        <w:rPr>
          <w:rFonts w:asciiTheme="minorHAnsi" w:eastAsiaTheme="minorEastAsia" w:hAnsiTheme="minorHAnsi" w:cstheme="minorBidi"/>
          <w:bCs w:val="0"/>
          <w:noProof/>
          <w:sz w:val="22"/>
          <w:szCs w:val="22"/>
          <w:lang w:eastAsia="en-AU"/>
        </w:rPr>
      </w:pPr>
      <w:hyperlink w:anchor="_Toc287018305" w:history="1">
        <w:r w:rsidR="00235045" w:rsidRPr="002E0B30">
          <w:rPr>
            <w:rStyle w:val="Hyperlink"/>
            <w:noProof/>
          </w:rPr>
          <w:t>Table 3:  Cost of implementation of DIIS for transporters (new) per company</w:t>
        </w:r>
        <w:r w:rsidR="00235045">
          <w:rPr>
            <w:noProof/>
            <w:webHidden/>
          </w:rPr>
          <w:tab/>
        </w:r>
        <w:r>
          <w:rPr>
            <w:noProof/>
            <w:webHidden/>
          </w:rPr>
          <w:fldChar w:fldCharType="begin"/>
        </w:r>
        <w:r w:rsidR="00235045">
          <w:rPr>
            <w:noProof/>
            <w:webHidden/>
          </w:rPr>
          <w:instrText xml:space="preserve"> PAGEREF _Toc287018305 \h </w:instrText>
        </w:r>
        <w:r>
          <w:rPr>
            <w:noProof/>
            <w:webHidden/>
          </w:rPr>
        </w:r>
        <w:r>
          <w:rPr>
            <w:noProof/>
            <w:webHidden/>
          </w:rPr>
          <w:fldChar w:fldCharType="separate"/>
        </w:r>
        <w:r w:rsidR="00F852EF">
          <w:rPr>
            <w:noProof/>
            <w:webHidden/>
          </w:rPr>
          <w:t>20</w:t>
        </w:r>
        <w:r>
          <w:rPr>
            <w:noProof/>
            <w:webHidden/>
          </w:rPr>
          <w:fldChar w:fldCharType="end"/>
        </w:r>
      </w:hyperlink>
    </w:p>
    <w:p w:rsidR="00235045" w:rsidRDefault="00BC5396">
      <w:pPr>
        <w:pStyle w:val="TableofFigures"/>
        <w:tabs>
          <w:tab w:val="right" w:pos="9062"/>
        </w:tabs>
        <w:rPr>
          <w:rFonts w:asciiTheme="minorHAnsi" w:eastAsiaTheme="minorEastAsia" w:hAnsiTheme="minorHAnsi" w:cstheme="minorBidi"/>
          <w:bCs w:val="0"/>
          <w:noProof/>
          <w:sz w:val="22"/>
          <w:szCs w:val="22"/>
          <w:lang w:eastAsia="en-AU"/>
        </w:rPr>
      </w:pPr>
      <w:hyperlink w:anchor="_Toc287018306" w:history="1">
        <w:r w:rsidR="00235045" w:rsidRPr="002E0B30">
          <w:rPr>
            <w:rStyle w:val="Hyperlink"/>
            <w:noProof/>
          </w:rPr>
          <w:t>Table 4:  Cost of implementation of DIIS for primary recyclers (without ISO 14001 certification)</w:t>
        </w:r>
        <w:r w:rsidR="00235045">
          <w:rPr>
            <w:noProof/>
            <w:webHidden/>
          </w:rPr>
          <w:tab/>
        </w:r>
        <w:r>
          <w:rPr>
            <w:noProof/>
            <w:webHidden/>
          </w:rPr>
          <w:fldChar w:fldCharType="begin"/>
        </w:r>
        <w:r w:rsidR="00235045">
          <w:rPr>
            <w:noProof/>
            <w:webHidden/>
          </w:rPr>
          <w:instrText xml:space="preserve"> PAGEREF _Toc287018306 \h </w:instrText>
        </w:r>
        <w:r>
          <w:rPr>
            <w:noProof/>
            <w:webHidden/>
          </w:rPr>
        </w:r>
        <w:r>
          <w:rPr>
            <w:noProof/>
            <w:webHidden/>
          </w:rPr>
          <w:fldChar w:fldCharType="separate"/>
        </w:r>
        <w:r w:rsidR="00F852EF">
          <w:rPr>
            <w:noProof/>
            <w:webHidden/>
          </w:rPr>
          <w:t>22</w:t>
        </w:r>
        <w:r>
          <w:rPr>
            <w:noProof/>
            <w:webHidden/>
          </w:rPr>
          <w:fldChar w:fldCharType="end"/>
        </w:r>
      </w:hyperlink>
    </w:p>
    <w:p w:rsidR="00235045" w:rsidRDefault="00BC5396">
      <w:pPr>
        <w:pStyle w:val="TableofFigures"/>
        <w:tabs>
          <w:tab w:val="right" w:pos="9062"/>
        </w:tabs>
        <w:rPr>
          <w:rFonts w:asciiTheme="minorHAnsi" w:eastAsiaTheme="minorEastAsia" w:hAnsiTheme="minorHAnsi" w:cstheme="minorBidi"/>
          <w:bCs w:val="0"/>
          <w:noProof/>
          <w:sz w:val="22"/>
          <w:szCs w:val="22"/>
          <w:lang w:eastAsia="en-AU"/>
        </w:rPr>
      </w:pPr>
      <w:hyperlink w:anchor="_Toc287018307" w:history="1">
        <w:r w:rsidR="00235045" w:rsidRPr="002E0B30">
          <w:rPr>
            <w:rStyle w:val="Hyperlink"/>
            <w:noProof/>
          </w:rPr>
          <w:t>Table 5:  Cost of implementation of DIIS for primary recyclers (with ISO 14001 certification)</w:t>
        </w:r>
        <w:r w:rsidR="00235045">
          <w:rPr>
            <w:noProof/>
            <w:webHidden/>
          </w:rPr>
          <w:tab/>
        </w:r>
        <w:r>
          <w:rPr>
            <w:noProof/>
            <w:webHidden/>
          </w:rPr>
          <w:fldChar w:fldCharType="begin"/>
        </w:r>
        <w:r w:rsidR="00235045">
          <w:rPr>
            <w:noProof/>
            <w:webHidden/>
          </w:rPr>
          <w:instrText xml:space="preserve"> PAGEREF _Toc287018307 \h </w:instrText>
        </w:r>
        <w:r>
          <w:rPr>
            <w:noProof/>
            <w:webHidden/>
          </w:rPr>
        </w:r>
        <w:r>
          <w:rPr>
            <w:noProof/>
            <w:webHidden/>
          </w:rPr>
          <w:fldChar w:fldCharType="separate"/>
        </w:r>
        <w:r w:rsidR="00F852EF">
          <w:rPr>
            <w:noProof/>
            <w:webHidden/>
          </w:rPr>
          <w:t>23</w:t>
        </w:r>
        <w:r>
          <w:rPr>
            <w:noProof/>
            <w:webHidden/>
          </w:rPr>
          <w:fldChar w:fldCharType="end"/>
        </w:r>
      </w:hyperlink>
    </w:p>
    <w:p w:rsidR="00235045" w:rsidRDefault="00BC5396">
      <w:pPr>
        <w:pStyle w:val="TableofFigures"/>
        <w:tabs>
          <w:tab w:val="right" w:pos="9062"/>
        </w:tabs>
        <w:rPr>
          <w:rFonts w:asciiTheme="minorHAnsi" w:eastAsiaTheme="minorEastAsia" w:hAnsiTheme="minorHAnsi" w:cstheme="minorBidi"/>
          <w:bCs w:val="0"/>
          <w:noProof/>
          <w:sz w:val="22"/>
          <w:szCs w:val="22"/>
          <w:lang w:eastAsia="en-AU"/>
        </w:rPr>
      </w:pPr>
      <w:hyperlink w:anchor="_Toc287018308" w:history="1">
        <w:r w:rsidR="00235045" w:rsidRPr="002E0B30">
          <w:rPr>
            <w:rStyle w:val="Hyperlink"/>
            <w:noProof/>
          </w:rPr>
          <w:t>Table 6:  Summarised costs of DIIS implementation per participant (existing)</w:t>
        </w:r>
        <w:r w:rsidR="00235045">
          <w:rPr>
            <w:noProof/>
            <w:webHidden/>
          </w:rPr>
          <w:tab/>
        </w:r>
        <w:r>
          <w:rPr>
            <w:noProof/>
            <w:webHidden/>
          </w:rPr>
          <w:fldChar w:fldCharType="begin"/>
        </w:r>
        <w:r w:rsidR="00235045">
          <w:rPr>
            <w:noProof/>
            <w:webHidden/>
          </w:rPr>
          <w:instrText xml:space="preserve"> PAGEREF _Toc287018308 \h </w:instrText>
        </w:r>
        <w:r>
          <w:rPr>
            <w:noProof/>
            <w:webHidden/>
          </w:rPr>
        </w:r>
        <w:r>
          <w:rPr>
            <w:noProof/>
            <w:webHidden/>
          </w:rPr>
          <w:fldChar w:fldCharType="separate"/>
        </w:r>
        <w:r w:rsidR="00F852EF">
          <w:rPr>
            <w:noProof/>
            <w:webHidden/>
          </w:rPr>
          <w:t>23</w:t>
        </w:r>
        <w:r>
          <w:rPr>
            <w:noProof/>
            <w:webHidden/>
          </w:rPr>
          <w:fldChar w:fldCharType="end"/>
        </w:r>
      </w:hyperlink>
    </w:p>
    <w:p w:rsidR="00235045" w:rsidRDefault="00BC5396">
      <w:pPr>
        <w:pStyle w:val="TableofFigures"/>
        <w:tabs>
          <w:tab w:val="right" w:pos="9062"/>
        </w:tabs>
        <w:rPr>
          <w:rFonts w:asciiTheme="minorHAnsi" w:eastAsiaTheme="minorEastAsia" w:hAnsiTheme="minorHAnsi" w:cstheme="minorBidi"/>
          <w:bCs w:val="0"/>
          <w:noProof/>
          <w:sz w:val="22"/>
          <w:szCs w:val="22"/>
          <w:lang w:eastAsia="en-AU"/>
        </w:rPr>
      </w:pPr>
      <w:hyperlink w:anchor="_Toc287018309" w:history="1">
        <w:r w:rsidR="00235045" w:rsidRPr="002E0B30">
          <w:rPr>
            <w:rStyle w:val="Hyperlink"/>
            <w:noProof/>
          </w:rPr>
          <w:t>Table 7:  Summarised costs of DIIS implementation per participant (new)</w:t>
        </w:r>
        <w:r w:rsidR="00235045">
          <w:rPr>
            <w:noProof/>
            <w:webHidden/>
          </w:rPr>
          <w:tab/>
        </w:r>
        <w:r>
          <w:rPr>
            <w:noProof/>
            <w:webHidden/>
          </w:rPr>
          <w:fldChar w:fldCharType="begin"/>
        </w:r>
        <w:r w:rsidR="00235045">
          <w:rPr>
            <w:noProof/>
            <w:webHidden/>
          </w:rPr>
          <w:instrText xml:space="preserve"> PAGEREF _Toc287018309 \h </w:instrText>
        </w:r>
        <w:r>
          <w:rPr>
            <w:noProof/>
            <w:webHidden/>
          </w:rPr>
        </w:r>
        <w:r>
          <w:rPr>
            <w:noProof/>
            <w:webHidden/>
          </w:rPr>
          <w:fldChar w:fldCharType="separate"/>
        </w:r>
        <w:r w:rsidR="00F852EF">
          <w:rPr>
            <w:noProof/>
            <w:webHidden/>
          </w:rPr>
          <w:t>24</w:t>
        </w:r>
        <w:r>
          <w:rPr>
            <w:noProof/>
            <w:webHidden/>
          </w:rPr>
          <w:fldChar w:fldCharType="end"/>
        </w:r>
      </w:hyperlink>
    </w:p>
    <w:p w:rsidR="00235045" w:rsidRDefault="00BC5396">
      <w:pPr>
        <w:pStyle w:val="TableofFigures"/>
        <w:tabs>
          <w:tab w:val="right" w:pos="9062"/>
        </w:tabs>
        <w:rPr>
          <w:rFonts w:asciiTheme="minorHAnsi" w:eastAsiaTheme="minorEastAsia" w:hAnsiTheme="minorHAnsi" w:cstheme="minorBidi"/>
          <w:bCs w:val="0"/>
          <w:noProof/>
          <w:sz w:val="22"/>
          <w:szCs w:val="22"/>
          <w:lang w:eastAsia="en-AU"/>
        </w:rPr>
      </w:pPr>
      <w:hyperlink w:anchor="_Toc287018310" w:history="1">
        <w:r w:rsidR="00235045" w:rsidRPr="002E0B30">
          <w:rPr>
            <w:rStyle w:val="Hyperlink"/>
            <w:noProof/>
          </w:rPr>
          <w:t>Table 8: Risk Analysis</w:t>
        </w:r>
        <w:r w:rsidR="00235045">
          <w:rPr>
            <w:noProof/>
            <w:webHidden/>
          </w:rPr>
          <w:tab/>
        </w:r>
        <w:r>
          <w:rPr>
            <w:noProof/>
            <w:webHidden/>
          </w:rPr>
          <w:fldChar w:fldCharType="begin"/>
        </w:r>
        <w:r w:rsidR="00235045">
          <w:rPr>
            <w:noProof/>
            <w:webHidden/>
          </w:rPr>
          <w:instrText xml:space="preserve"> PAGEREF _Toc287018310 \h </w:instrText>
        </w:r>
        <w:r>
          <w:rPr>
            <w:noProof/>
            <w:webHidden/>
          </w:rPr>
        </w:r>
        <w:r>
          <w:rPr>
            <w:noProof/>
            <w:webHidden/>
          </w:rPr>
          <w:fldChar w:fldCharType="separate"/>
        </w:r>
        <w:r w:rsidR="00F852EF">
          <w:rPr>
            <w:noProof/>
            <w:webHidden/>
          </w:rPr>
          <w:t>87</w:t>
        </w:r>
        <w:r>
          <w:rPr>
            <w:noProof/>
            <w:webHidden/>
          </w:rPr>
          <w:fldChar w:fldCharType="end"/>
        </w:r>
      </w:hyperlink>
    </w:p>
    <w:p w:rsidR="00235045" w:rsidRDefault="00BC5396">
      <w:pPr>
        <w:pStyle w:val="TableofFigures"/>
        <w:tabs>
          <w:tab w:val="right" w:pos="9062"/>
        </w:tabs>
        <w:rPr>
          <w:rFonts w:asciiTheme="minorHAnsi" w:eastAsiaTheme="minorEastAsia" w:hAnsiTheme="minorHAnsi" w:cstheme="minorBidi"/>
          <w:bCs w:val="0"/>
          <w:noProof/>
          <w:sz w:val="22"/>
          <w:szCs w:val="22"/>
          <w:lang w:eastAsia="en-AU"/>
        </w:rPr>
      </w:pPr>
      <w:hyperlink w:anchor="_Toc287018311" w:history="1">
        <w:r w:rsidR="00235045" w:rsidRPr="002E0B30">
          <w:rPr>
            <w:rStyle w:val="Hyperlink"/>
            <w:noProof/>
          </w:rPr>
          <w:t>Table 9: Regulatory Risk Review</w:t>
        </w:r>
        <w:r w:rsidR="00235045">
          <w:rPr>
            <w:noProof/>
            <w:webHidden/>
          </w:rPr>
          <w:tab/>
        </w:r>
        <w:r>
          <w:rPr>
            <w:noProof/>
            <w:webHidden/>
          </w:rPr>
          <w:fldChar w:fldCharType="begin"/>
        </w:r>
        <w:r w:rsidR="00235045">
          <w:rPr>
            <w:noProof/>
            <w:webHidden/>
          </w:rPr>
          <w:instrText xml:space="preserve"> PAGEREF _Toc287018311 \h </w:instrText>
        </w:r>
        <w:r>
          <w:rPr>
            <w:noProof/>
            <w:webHidden/>
          </w:rPr>
        </w:r>
        <w:r>
          <w:rPr>
            <w:noProof/>
            <w:webHidden/>
          </w:rPr>
          <w:fldChar w:fldCharType="separate"/>
        </w:r>
        <w:r w:rsidR="00F852EF">
          <w:rPr>
            <w:noProof/>
            <w:webHidden/>
          </w:rPr>
          <w:t>104</w:t>
        </w:r>
        <w:r>
          <w:rPr>
            <w:noProof/>
            <w:webHidden/>
          </w:rPr>
          <w:fldChar w:fldCharType="end"/>
        </w:r>
      </w:hyperlink>
    </w:p>
    <w:p w:rsidR="00235045" w:rsidRDefault="00BC5396">
      <w:pPr>
        <w:pStyle w:val="TableofFigures"/>
        <w:tabs>
          <w:tab w:val="right" w:pos="9062"/>
        </w:tabs>
        <w:rPr>
          <w:rFonts w:asciiTheme="minorHAnsi" w:eastAsiaTheme="minorEastAsia" w:hAnsiTheme="minorHAnsi" w:cstheme="minorBidi"/>
          <w:bCs w:val="0"/>
          <w:noProof/>
          <w:sz w:val="22"/>
          <w:szCs w:val="22"/>
          <w:lang w:eastAsia="en-AU"/>
        </w:rPr>
      </w:pPr>
      <w:hyperlink w:anchor="_Toc287018312" w:history="1">
        <w:r w:rsidR="00235045" w:rsidRPr="002E0B30">
          <w:rPr>
            <w:rStyle w:val="Hyperlink"/>
            <w:noProof/>
          </w:rPr>
          <w:t>Table 10: Risk Treatment Plans</w:t>
        </w:r>
        <w:r w:rsidR="00235045">
          <w:rPr>
            <w:noProof/>
            <w:webHidden/>
          </w:rPr>
          <w:tab/>
        </w:r>
        <w:r>
          <w:rPr>
            <w:noProof/>
            <w:webHidden/>
          </w:rPr>
          <w:fldChar w:fldCharType="begin"/>
        </w:r>
        <w:r w:rsidR="00235045">
          <w:rPr>
            <w:noProof/>
            <w:webHidden/>
          </w:rPr>
          <w:instrText xml:space="preserve"> PAGEREF _Toc287018312 \h </w:instrText>
        </w:r>
        <w:r>
          <w:rPr>
            <w:noProof/>
            <w:webHidden/>
          </w:rPr>
        </w:r>
        <w:r>
          <w:rPr>
            <w:noProof/>
            <w:webHidden/>
          </w:rPr>
          <w:fldChar w:fldCharType="separate"/>
        </w:r>
        <w:r w:rsidR="00F852EF">
          <w:rPr>
            <w:noProof/>
            <w:webHidden/>
          </w:rPr>
          <w:t>115</w:t>
        </w:r>
        <w:r>
          <w:rPr>
            <w:noProof/>
            <w:webHidden/>
          </w:rPr>
          <w:fldChar w:fldCharType="end"/>
        </w:r>
      </w:hyperlink>
    </w:p>
    <w:p w:rsidR="00235045" w:rsidRDefault="00BC5396">
      <w:pPr>
        <w:pStyle w:val="TableofFigures"/>
        <w:tabs>
          <w:tab w:val="right" w:pos="9062"/>
        </w:tabs>
        <w:rPr>
          <w:rFonts w:asciiTheme="minorHAnsi" w:eastAsiaTheme="minorEastAsia" w:hAnsiTheme="minorHAnsi" w:cstheme="minorBidi"/>
          <w:bCs w:val="0"/>
          <w:noProof/>
          <w:sz w:val="22"/>
          <w:szCs w:val="22"/>
          <w:lang w:eastAsia="en-AU"/>
        </w:rPr>
      </w:pPr>
      <w:hyperlink w:anchor="_Toc287018313" w:history="1">
        <w:r w:rsidR="00235045" w:rsidRPr="002E0B30">
          <w:rPr>
            <w:rStyle w:val="Hyperlink"/>
            <w:noProof/>
          </w:rPr>
          <w:t>Table 11: International Best Practice Review</w:t>
        </w:r>
        <w:r w:rsidR="00235045">
          <w:rPr>
            <w:noProof/>
            <w:webHidden/>
          </w:rPr>
          <w:tab/>
        </w:r>
        <w:r>
          <w:rPr>
            <w:noProof/>
            <w:webHidden/>
          </w:rPr>
          <w:fldChar w:fldCharType="begin"/>
        </w:r>
        <w:r w:rsidR="00235045">
          <w:rPr>
            <w:noProof/>
            <w:webHidden/>
          </w:rPr>
          <w:instrText xml:space="preserve"> PAGEREF _Toc287018313 \h </w:instrText>
        </w:r>
        <w:r>
          <w:rPr>
            <w:noProof/>
            <w:webHidden/>
          </w:rPr>
        </w:r>
        <w:r>
          <w:rPr>
            <w:noProof/>
            <w:webHidden/>
          </w:rPr>
          <w:fldChar w:fldCharType="separate"/>
        </w:r>
        <w:r w:rsidR="00F852EF">
          <w:rPr>
            <w:noProof/>
            <w:webHidden/>
          </w:rPr>
          <w:t>128</w:t>
        </w:r>
        <w:r>
          <w:rPr>
            <w:noProof/>
            <w:webHidden/>
          </w:rPr>
          <w:fldChar w:fldCharType="end"/>
        </w:r>
      </w:hyperlink>
    </w:p>
    <w:p w:rsidR="003E24B5" w:rsidRDefault="00BC5396" w:rsidP="00103F49">
      <w:pPr>
        <w:pStyle w:val="TableofFigures"/>
        <w:tabs>
          <w:tab w:val="left" w:pos="1418"/>
          <w:tab w:val="right" w:pos="9062"/>
        </w:tabs>
        <w:rPr>
          <w:noProof/>
        </w:rPr>
      </w:pPr>
      <w:r>
        <w:rPr>
          <w:noProof/>
        </w:rPr>
        <w:fldChar w:fldCharType="end"/>
      </w:r>
    </w:p>
    <w:p w:rsidR="003E24B5" w:rsidRDefault="003E24B5" w:rsidP="00CC7758">
      <w:pPr>
        <w:spacing w:before="360"/>
        <w:jc w:val="center"/>
        <w:rPr>
          <w:b/>
          <w:caps/>
          <w:sz w:val="28"/>
          <w:szCs w:val="28"/>
        </w:rPr>
      </w:pPr>
      <w:r w:rsidRPr="00A14C98">
        <w:rPr>
          <w:b/>
          <w:caps/>
          <w:sz w:val="28"/>
          <w:szCs w:val="28"/>
        </w:rPr>
        <w:t>Appendices</w:t>
      </w:r>
    </w:p>
    <w:p w:rsidR="003E24B5" w:rsidRPr="00CB42E3" w:rsidRDefault="00BC5396" w:rsidP="00103F49">
      <w:pPr>
        <w:pStyle w:val="TableofFigures"/>
        <w:tabs>
          <w:tab w:val="left" w:pos="1418"/>
          <w:tab w:val="right" w:pos="9062"/>
        </w:tabs>
        <w:rPr>
          <w:noProof/>
        </w:rPr>
      </w:pPr>
      <w:r w:rsidRPr="00CB42E3">
        <w:rPr>
          <w:noProof/>
        </w:rPr>
        <w:fldChar w:fldCharType="begin"/>
      </w:r>
      <w:r w:rsidR="003E24B5" w:rsidRPr="00CB42E3">
        <w:rPr>
          <w:noProof/>
        </w:rPr>
        <w:instrText xml:space="preserve"> TOC \n \h \z \c "Appendix" </w:instrText>
      </w:r>
      <w:r w:rsidRPr="00CB42E3">
        <w:rPr>
          <w:noProof/>
        </w:rPr>
        <w:fldChar w:fldCharType="separate"/>
      </w:r>
      <w:r w:rsidR="003E24B5">
        <w:rPr>
          <w:noProof/>
        </w:rPr>
        <w:t xml:space="preserve">Appendix A </w:t>
      </w:r>
      <w:r w:rsidR="003E24B5" w:rsidRPr="00EC70FC">
        <w:t xml:space="preserve">Consolidated Stakeholder Comments on the </w:t>
      </w:r>
      <w:r w:rsidR="003E24B5">
        <w:t>DIIS</w:t>
      </w:r>
    </w:p>
    <w:p w:rsidR="003E24B5" w:rsidRPr="00CB42E3" w:rsidRDefault="003E24B5" w:rsidP="00103F49">
      <w:pPr>
        <w:pStyle w:val="TableofFigures"/>
        <w:tabs>
          <w:tab w:val="left" w:pos="1418"/>
          <w:tab w:val="right" w:pos="9062"/>
        </w:tabs>
        <w:rPr>
          <w:noProof/>
        </w:rPr>
      </w:pPr>
      <w:r>
        <w:rPr>
          <w:noProof/>
        </w:rPr>
        <w:t xml:space="preserve">Appendix B </w:t>
      </w:r>
      <w:r>
        <w:t>DSEWPaC Risk Assessment Likelihood and Consequence Ratings</w:t>
      </w:r>
    </w:p>
    <w:p w:rsidR="003E24B5" w:rsidRPr="00CB42E3" w:rsidRDefault="00BC5396" w:rsidP="00A14C98">
      <w:pPr>
        <w:pStyle w:val="TableofFigures"/>
        <w:tabs>
          <w:tab w:val="left" w:pos="1418"/>
          <w:tab w:val="right" w:pos="9062"/>
        </w:tabs>
        <w:rPr>
          <w:noProof/>
        </w:rPr>
      </w:pPr>
      <w:r w:rsidRPr="00CB42E3">
        <w:rPr>
          <w:noProof/>
        </w:rPr>
        <w:fldChar w:fldCharType="end"/>
      </w:r>
      <w:r w:rsidR="003E24B5">
        <w:rPr>
          <w:noProof/>
        </w:rPr>
        <w:t xml:space="preserve">Appendix C </w:t>
      </w:r>
      <w:r w:rsidR="003E24B5" w:rsidRPr="00A14C98">
        <w:t>Assumptions Used in Allocation of Costs</w:t>
      </w:r>
    </w:p>
    <w:p w:rsidR="003E24B5" w:rsidRPr="00CB42E3" w:rsidRDefault="003E24B5" w:rsidP="00A14C98">
      <w:pPr>
        <w:pStyle w:val="TableofFigures"/>
        <w:tabs>
          <w:tab w:val="left" w:pos="1418"/>
          <w:tab w:val="right" w:pos="9062"/>
        </w:tabs>
        <w:rPr>
          <w:noProof/>
        </w:rPr>
      </w:pPr>
      <w:r>
        <w:rPr>
          <w:noProof/>
        </w:rPr>
        <w:t xml:space="preserve">Appendix D </w:t>
      </w:r>
      <w:r>
        <w:t>Risk Identification and Assessment</w:t>
      </w:r>
    </w:p>
    <w:p w:rsidR="003E24B5" w:rsidRPr="00CB42E3" w:rsidRDefault="003E24B5" w:rsidP="00A14C98">
      <w:pPr>
        <w:pStyle w:val="TableofFigures"/>
        <w:tabs>
          <w:tab w:val="left" w:pos="1418"/>
          <w:tab w:val="right" w:pos="9062"/>
        </w:tabs>
        <w:rPr>
          <w:noProof/>
        </w:rPr>
      </w:pPr>
      <w:r>
        <w:rPr>
          <w:noProof/>
        </w:rPr>
        <w:t>Appendix E Regulatory Risk Review</w:t>
      </w:r>
    </w:p>
    <w:p w:rsidR="003E24B5" w:rsidRPr="00CB42E3" w:rsidRDefault="003E24B5" w:rsidP="00A14C98">
      <w:pPr>
        <w:pStyle w:val="TableofFigures"/>
        <w:tabs>
          <w:tab w:val="left" w:pos="1418"/>
          <w:tab w:val="right" w:pos="9062"/>
        </w:tabs>
        <w:rPr>
          <w:noProof/>
        </w:rPr>
      </w:pPr>
      <w:r>
        <w:rPr>
          <w:noProof/>
        </w:rPr>
        <w:t>Appendix F Risk Treatment Plan</w:t>
      </w:r>
    </w:p>
    <w:p w:rsidR="003E24B5" w:rsidRPr="00CB42E3" w:rsidRDefault="003E24B5" w:rsidP="00A14C98">
      <w:pPr>
        <w:pStyle w:val="TableofFigures"/>
        <w:tabs>
          <w:tab w:val="left" w:pos="1418"/>
          <w:tab w:val="right" w:pos="9062"/>
        </w:tabs>
        <w:rPr>
          <w:noProof/>
        </w:rPr>
      </w:pPr>
      <w:r>
        <w:rPr>
          <w:noProof/>
        </w:rPr>
        <w:t>Appendix G International Best Practice Review</w:t>
      </w:r>
    </w:p>
    <w:p w:rsidR="003E24B5" w:rsidRDefault="003E24B5" w:rsidP="00A14C98">
      <w:pPr>
        <w:pStyle w:val="TableofFigures"/>
        <w:tabs>
          <w:tab w:val="left" w:pos="2776"/>
        </w:tabs>
        <w:rPr>
          <w:bCs w:val="0"/>
        </w:rPr>
      </w:pPr>
      <w:r>
        <w:rPr>
          <w:bCs w:val="0"/>
        </w:rPr>
        <w:tab/>
      </w:r>
      <w:r>
        <w:rPr>
          <w:bCs w:val="0"/>
        </w:rPr>
        <w:tab/>
      </w:r>
    </w:p>
    <w:p w:rsidR="003E24B5" w:rsidRDefault="003E24B5">
      <w:pPr>
        <w:spacing w:after="200" w:line="276" w:lineRule="auto"/>
        <w:jc w:val="left"/>
        <w:rPr>
          <w:bCs/>
          <w:szCs w:val="20"/>
        </w:rPr>
      </w:pPr>
    </w:p>
    <w:p w:rsidR="003E24B5" w:rsidRDefault="003E24B5">
      <w:pPr>
        <w:spacing w:after="200" w:line="276" w:lineRule="auto"/>
        <w:jc w:val="left"/>
        <w:rPr>
          <w:bCs/>
          <w:szCs w:val="20"/>
        </w:rPr>
      </w:pPr>
    </w:p>
    <w:p w:rsidR="003E24B5" w:rsidRDefault="003E24B5">
      <w:pPr>
        <w:spacing w:after="200" w:line="276" w:lineRule="auto"/>
        <w:jc w:val="left"/>
        <w:rPr>
          <w:bCs/>
          <w:szCs w:val="20"/>
        </w:rPr>
      </w:pPr>
    </w:p>
    <w:p w:rsidR="003E24B5" w:rsidRDefault="003E24B5" w:rsidP="00257750">
      <w:pPr>
        <w:jc w:val="center"/>
      </w:pPr>
      <w:r>
        <w:rPr>
          <w:bCs/>
          <w:szCs w:val="20"/>
        </w:rPr>
        <w:br w:type="page"/>
      </w:r>
    </w:p>
    <w:p w:rsidR="003E24B5" w:rsidRDefault="003E24B5" w:rsidP="00F72662">
      <w:pPr>
        <w:pStyle w:val="KMHNumberHeading1"/>
        <w:ind w:left="142" w:firstLine="0"/>
        <w:jc w:val="center"/>
      </w:pPr>
      <w:bookmarkStart w:id="1" w:name="_Toc287018222"/>
      <w:r>
        <w:lastRenderedPageBreak/>
        <w:t>Executive Summary</w:t>
      </w:r>
      <w:bookmarkEnd w:id="1"/>
      <w:r>
        <w:t xml:space="preserve"> </w:t>
      </w:r>
    </w:p>
    <w:p w:rsidR="003E24B5" w:rsidRDefault="003E24B5" w:rsidP="00210EE1">
      <w:r>
        <w:t>T</w:t>
      </w:r>
      <w:r w:rsidRPr="00DA619D">
        <w:t xml:space="preserve">he Department </w:t>
      </w:r>
      <w:r>
        <w:t xml:space="preserve">of Sustainability, Environment, Water, Population and Communities (DSEWPaC) engaged KMH Environmental to undertake </w:t>
      </w:r>
      <w:r w:rsidRPr="00DA619D">
        <w:t xml:space="preserve">a consultancy to independently review the </w:t>
      </w:r>
      <w:r w:rsidRPr="00A63A99">
        <w:t>Draft Interim Industry Standard for the Collection, Transport and Recycling of End of Life Televisions and Computers (DIIS)</w:t>
      </w:r>
      <w:r>
        <w:t xml:space="preserve"> </w:t>
      </w:r>
      <w:r w:rsidRPr="00DA619D">
        <w:t>to describe risks and costs</w:t>
      </w:r>
      <w:r>
        <w:t xml:space="preserve"> associated with its implementation</w:t>
      </w:r>
      <w:r w:rsidRPr="00DA619D">
        <w:t xml:space="preserve">. The </w:t>
      </w:r>
      <w:r>
        <w:t>DIIS</w:t>
      </w:r>
      <w:r w:rsidRPr="00DA619D">
        <w:t xml:space="preserve"> has been developed by the industry peak bodies, </w:t>
      </w:r>
      <w:r>
        <w:t>the Australian Information Industry Association (</w:t>
      </w:r>
      <w:r w:rsidRPr="00DA619D">
        <w:t>AIIA</w:t>
      </w:r>
      <w:r>
        <w:t>)</w:t>
      </w:r>
      <w:r w:rsidRPr="00DA619D">
        <w:t xml:space="preserve"> and P</w:t>
      </w:r>
      <w:r>
        <w:t>roduct Stewardship Australia Limited (P</w:t>
      </w:r>
      <w:r w:rsidRPr="00DA619D">
        <w:t>SA.</w:t>
      </w:r>
      <w:r>
        <w:t>)</w:t>
      </w:r>
    </w:p>
    <w:p w:rsidR="003E24B5" w:rsidRPr="00143464" w:rsidRDefault="003E24B5" w:rsidP="003053AE">
      <w:pPr>
        <w:pStyle w:val="KMHNumberheading20"/>
        <w:ind w:left="0" w:firstLine="0"/>
      </w:pPr>
      <w:bookmarkStart w:id="2" w:name="_Toc283987147"/>
      <w:bookmarkStart w:id="3" w:name="_Toc283987215"/>
      <w:bookmarkStart w:id="4" w:name="_Toc283989828"/>
      <w:bookmarkStart w:id="5" w:name="_Toc284149821"/>
      <w:bookmarkStart w:id="6" w:name="_Toc284150873"/>
      <w:bookmarkStart w:id="7" w:name="_Toc284232014"/>
      <w:bookmarkStart w:id="8" w:name="_Toc287018223"/>
      <w:r w:rsidRPr="00143464">
        <w:t>Risk</w:t>
      </w:r>
      <w:bookmarkEnd w:id="2"/>
      <w:bookmarkEnd w:id="3"/>
      <w:bookmarkEnd w:id="4"/>
      <w:bookmarkEnd w:id="5"/>
      <w:bookmarkEnd w:id="6"/>
      <w:bookmarkEnd w:id="7"/>
      <w:bookmarkEnd w:id="8"/>
    </w:p>
    <w:p w:rsidR="003E24B5" w:rsidRDefault="003E24B5" w:rsidP="00765785">
      <w:pPr>
        <w:spacing w:after="120"/>
      </w:pPr>
      <w:r>
        <w:t>A significant amount of work has already been conducted by DSEWPaC and its stakeholders in the area of risk management. To avoid duplication and ensure this risk assessment reflected the scope of engagement i.e. OH&amp;S and environmental risks, KMH used the structure of the DIIS as a guide to developing the framework for risk identification. The following key areas were chosen for risk identification:</w:t>
      </w:r>
    </w:p>
    <w:p w:rsidR="003E24B5" w:rsidRPr="00417F3A" w:rsidRDefault="003E24B5" w:rsidP="00162446">
      <w:pPr>
        <w:pStyle w:val="ListParagraph"/>
        <w:numPr>
          <w:ilvl w:val="0"/>
          <w:numId w:val="12"/>
        </w:numPr>
      </w:pPr>
      <w:smartTag w:uri="urn:schemas-microsoft-com:office:smarttags" w:element="City">
        <w:smartTag w:uri="urn:schemas-microsoft-com:office:smarttags" w:element="PersonName">
          <w:r w:rsidRPr="00417F3A">
            <w:t>Gen</w:t>
          </w:r>
        </w:smartTag>
      </w:smartTag>
      <w:r w:rsidRPr="00417F3A">
        <w:t xml:space="preserve">eral Requirements  </w:t>
      </w:r>
    </w:p>
    <w:p w:rsidR="003E24B5" w:rsidRPr="00417F3A" w:rsidRDefault="003E24B5" w:rsidP="00162446">
      <w:pPr>
        <w:pStyle w:val="ListParagraph"/>
        <w:numPr>
          <w:ilvl w:val="0"/>
          <w:numId w:val="12"/>
        </w:numPr>
      </w:pPr>
      <w:r w:rsidRPr="00417F3A">
        <w:t xml:space="preserve">Requirements for Collection Locations </w:t>
      </w:r>
    </w:p>
    <w:p w:rsidR="003E24B5" w:rsidRPr="00417F3A" w:rsidRDefault="003E24B5" w:rsidP="00162446">
      <w:pPr>
        <w:pStyle w:val="ListParagraph"/>
        <w:numPr>
          <w:ilvl w:val="0"/>
          <w:numId w:val="12"/>
        </w:numPr>
      </w:pPr>
      <w:r w:rsidRPr="00417F3A">
        <w:t xml:space="preserve">Transport Requirements for Recyclers </w:t>
      </w:r>
    </w:p>
    <w:p w:rsidR="003E24B5" w:rsidRPr="00417F3A" w:rsidRDefault="003E24B5" w:rsidP="00162446">
      <w:pPr>
        <w:pStyle w:val="ListParagraph"/>
        <w:numPr>
          <w:ilvl w:val="0"/>
          <w:numId w:val="12"/>
        </w:numPr>
      </w:pPr>
      <w:r w:rsidRPr="00417F3A">
        <w:t xml:space="preserve">Reprocessing and Reuse Applications </w:t>
      </w:r>
    </w:p>
    <w:p w:rsidR="003E24B5" w:rsidRPr="00417F3A" w:rsidRDefault="003E24B5" w:rsidP="00162446">
      <w:pPr>
        <w:pStyle w:val="ListParagraph"/>
        <w:numPr>
          <w:ilvl w:val="0"/>
          <w:numId w:val="12"/>
        </w:numPr>
        <w:spacing w:after="120"/>
        <w:ind w:left="714" w:hanging="357"/>
      </w:pPr>
      <w:r w:rsidRPr="00417F3A">
        <w:t xml:space="preserve">Labour </w:t>
      </w:r>
    </w:p>
    <w:p w:rsidR="003E24B5" w:rsidRDefault="003E24B5" w:rsidP="004251CF">
      <w:r>
        <w:t>Following the identification of risks in each of the above areas, KMH reviewed any existing controls already in place, documented the associated controls and rated them in terms of their effectiveness, using the Risk Control Ratings scale provided in the DSEWPaC Risk Management Guidelines i.e.;</w:t>
      </w:r>
    </w:p>
    <w:tbl>
      <w:tblPr>
        <w:tblW w:w="8640" w:type="dxa"/>
        <w:jc w:val="center"/>
        <w:tblInd w:w="1188" w:type="dxa"/>
        <w:tblBorders>
          <w:top w:val="single" w:sz="4" w:space="0" w:color="auto"/>
          <w:left w:val="single" w:sz="4" w:space="0" w:color="auto"/>
          <w:bottom w:val="single" w:sz="4" w:space="0" w:color="auto"/>
          <w:right w:val="single" w:sz="4" w:space="0" w:color="auto"/>
        </w:tblBorders>
        <w:tblLayout w:type="fixed"/>
        <w:tblLook w:val="0000"/>
      </w:tblPr>
      <w:tblGrid>
        <w:gridCol w:w="1800"/>
        <w:gridCol w:w="6840"/>
      </w:tblGrid>
      <w:tr w:rsidR="003E24B5" w:rsidTr="004251CF">
        <w:trPr>
          <w:jc w:val="center"/>
        </w:trPr>
        <w:tc>
          <w:tcPr>
            <w:tcW w:w="1800" w:type="dxa"/>
            <w:tcBorders>
              <w:top w:val="single" w:sz="4" w:space="0" w:color="auto"/>
              <w:bottom w:val="single" w:sz="4" w:space="0" w:color="auto"/>
              <w:right w:val="single" w:sz="4" w:space="0" w:color="auto"/>
            </w:tcBorders>
            <w:shd w:val="pct20" w:color="auto" w:fill="auto"/>
          </w:tcPr>
          <w:p w:rsidR="003E24B5" w:rsidRDefault="003E24B5" w:rsidP="004251CF">
            <w:pPr>
              <w:pStyle w:val="ListBullet"/>
              <w:numPr>
                <w:ilvl w:val="0"/>
                <w:numId w:val="0"/>
              </w:numPr>
              <w:spacing w:before="60" w:after="60"/>
              <w:jc w:val="left"/>
              <w:rPr>
                <w:rFonts w:ascii="Calibri" w:hAnsi="Calibri"/>
                <w:b/>
                <w:szCs w:val="22"/>
              </w:rPr>
            </w:pPr>
            <w:r>
              <w:rPr>
                <w:rFonts w:ascii="Calibri" w:hAnsi="Calibri"/>
                <w:b/>
                <w:szCs w:val="22"/>
              </w:rPr>
              <w:t>Ranking</w:t>
            </w:r>
          </w:p>
        </w:tc>
        <w:tc>
          <w:tcPr>
            <w:tcW w:w="6840" w:type="dxa"/>
            <w:tcBorders>
              <w:top w:val="single" w:sz="4" w:space="0" w:color="auto"/>
              <w:left w:val="single" w:sz="4" w:space="0" w:color="auto"/>
              <w:bottom w:val="single" w:sz="4" w:space="0" w:color="auto"/>
            </w:tcBorders>
            <w:shd w:val="pct20" w:color="auto" w:fill="auto"/>
          </w:tcPr>
          <w:p w:rsidR="003E24B5" w:rsidRDefault="003E24B5" w:rsidP="004251CF">
            <w:pPr>
              <w:pStyle w:val="ListBullet"/>
              <w:numPr>
                <w:ilvl w:val="0"/>
                <w:numId w:val="0"/>
              </w:numPr>
              <w:spacing w:before="60" w:after="60"/>
              <w:jc w:val="center"/>
              <w:rPr>
                <w:rFonts w:ascii="Calibri" w:hAnsi="Calibri"/>
                <w:b/>
                <w:szCs w:val="22"/>
              </w:rPr>
            </w:pPr>
            <w:r>
              <w:rPr>
                <w:rFonts w:ascii="Calibri" w:hAnsi="Calibri"/>
                <w:b/>
                <w:szCs w:val="22"/>
              </w:rPr>
              <w:t>Guidance</w:t>
            </w:r>
          </w:p>
        </w:tc>
      </w:tr>
      <w:tr w:rsidR="003E24B5" w:rsidTr="004251CF">
        <w:trPr>
          <w:jc w:val="center"/>
        </w:trPr>
        <w:tc>
          <w:tcPr>
            <w:tcW w:w="1800" w:type="dxa"/>
            <w:tcBorders>
              <w:top w:val="single" w:sz="4" w:space="0" w:color="auto"/>
              <w:bottom w:val="single" w:sz="4" w:space="0" w:color="auto"/>
              <w:right w:val="single" w:sz="4" w:space="0" w:color="auto"/>
            </w:tcBorders>
          </w:tcPr>
          <w:p w:rsidR="003E24B5" w:rsidRDefault="003E24B5" w:rsidP="004251CF">
            <w:pPr>
              <w:pStyle w:val="ListBullet"/>
              <w:numPr>
                <w:ilvl w:val="0"/>
                <w:numId w:val="0"/>
              </w:numPr>
              <w:spacing w:before="60" w:after="60"/>
              <w:jc w:val="left"/>
              <w:rPr>
                <w:rFonts w:ascii="Calibri" w:hAnsi="Calibri"/>
                <w:szCs w:val="22"/>
              </w:rPr>
            </w:pPr>
            <w:r>
              <w:rPr>
                <w:rFonts w:ascii="Calibri" w:hAnsi="Calibri"/>
                <w:szCs w:val="22"/>
              </w:rPr>
              <w:t>Weak</w:t>
            </w:r>
          </w:p>
        </w:tc>
        <w:tc>
          <w:tcPr>
            <w:tcW w:w="6840" w:type="dxa"/>
            <w:tcBorders>
              <w:top w:val="single" w:sz="4" w:space="0" w:color="auto"/>
              <w:left w:val="single" w:sz="4" w:space="0" w:color="auto"/>
              <w:bottom w:val="single" w:sz="4" w:space="0" w:color="auto"/>
            </w:tcBorders>
          </w:tcPr>
          <w:p w:rsidR="003E24B5" w:rsidRPr="00B552AA" w:rsidRDefault="003E24B5" w:rsidP="004251CF">
            <w:pPr>
              <w:pStyle w:val="ListBullet"/>
              <w:numPr>
                <w:ilvl w:val="0"/>
                <w:numId w:val="0"/>
              </w:numPr>
              <w:spacing w:before="40" w:after="40"/>
              <w:jc w:val="left"/>
              <w:rPr>
                <w:rFonts w:ascii="Calibri" w:hAnsi="Calibri" w:cs="Arial"/>
                <w:sz w:val="20"/>
              </w:rPr>
            </w:pPr>
            <w:r w:rsidRPr="00B552AA">
              <w:rPr>
                <w:rFonts w:ascii="Calibri" w:hAnsi="Calibri" w:cs="Arial"/>
                <w:sz w:val="20"/>
              </w:rPr>
              <w:t>Control of risk low  e.g. significant improvement required on newly identified issues</w:t>
            </w:r>
          </w:p>
        </w:tc>
      </w:tr>
      <w:tr w:rsidR="003E24B5" w:rsidTr="004251CF">
        <w:trPr>
          <w:jc w:val="center"/>
        </w:trPr>
        <w:tc>
          <w:tcPr>
            <w:tcW w:w="1800" w:type="dxa"/>
            <w:tcBorders>
              <w:top w:val="single" w:sz="4" w:space="0" w:color="auto"/>
              <w:bottom w:val="single" w:sz="4" w:space="0" w:color="auto"/>
              <w:right w:val="single" w:sz="4" w:space="0" w:color="auto"/>
            </w:tcBorders>
            <w:vAlign w:val="center"/>
          </w:tcPr>
          <w:p w:rsidR="003E24B5" w:rsidRDefault="003E24B5" w:rsidP="004251CF">
            <w:pPr>
              <w:pStyle w:val="ListBullet"/>
              <w:numPr>
                <w:ilvl w:val="0"/>
                <w:numId w:val="0"/>
              </w:numPr>
              <w:spacing w:before="60" w:after="60"/>
              <w:jc w:val="left"/>
              <w:rPr>
                <w:rFonts w:ascii="Calibri" w:hAnsi="Calibri"/>
                <w:szCs w:val="22"/>
              </w:rPr>
            </w:pPr>
            <w:r>
              <w:rPr>
                <w:rFonts w:ascii="Calibri" w:hAnsi="Calibri"/>
                <w:szCs w:val="22"/>
              </w:rPr>
              <w:t>Incomplete</w:t>
            </w:r>
          </w:p>
        </w:tc>
        <w:tc>
          <w:tcPr>
            <w:tcW w:w="6840" w:type="dxa"/>
            <w:tcBorders>
              <w:top w:val="single" w:sz="4" w:space="0" w:color="auto"/>
              <w:left w:val="single" w:sz="4" w:space="0" w:color="auto"/>
              <w:bottom w:val="single" w:sz="4" w:space="0" w:color="auto"/>
            </w:tcBorders>
          </w:tcPr>
          <w:p w:rsidR="003E24B5" w:rsidRPr="00B552AA" w:rsidRDefault="003E24B5" w:rsidP="004251CF">
            <w:pPr>
              <w:pStyle w:val="ListBullet"/>
              <w:numPr>
                <w:ilvl w:val="0"/>
                <w:numId w:val="0"/>
              </w:numPr>
              <w:spacing w:after="0"/>
              <w:jc w:val="left"/>
              <w:rPr>
                <w:rFonts w:ascii="Calibri" w:hAnsi="Calibri" w:cs="Arial"/>
                <w:sz w:val="20"/>
              </w:rPr>
            </w:pPr>
            <w:r w:rsidRPr="00B552AA">
              <w:rPr>
                <w:rFonts w:ascii="Calibri" w:hAnsi="Calibri" w:cs="Arial"/>
                <w:sz w:val="20"/>
              </w:rPr>
              <w:t>Actions have already been established to address control weaknesses, but not fully implemented OR exposures not controllable but actively monitored</w:t>
            </w:r>
          </w:p>
        </w:tc>
      </w:tr>
      <w:tr w:rsidR="003E24B5" w:rsidTr="004251CF">
        <w:trPr>
          <w:jc w:val="center"/>
        </w:trPr>
        <w:tc>
          <w:tcPr>
            <w:tcW w:w="1800" w:type="dxa"/>
            <w:tcBorders>
              <w:top w:val="single" w:sz="4" w:space="0" w:color="auto"/>
              <w:bottom w:val="single" w:sz="4" w:space="0" w:color="auto"/>
              <w:right w:val="single" w:sz="4" w:space="0" w:color="auto"/>
            </w:tcBorders>
          </w:tcPr>
          <w:p w:rsidR="003E24B5" w:rsidRDefault="003E24B5" w:rsidP="004251CF">
            <w:pPr>
              <w:pStyle w:val="ListBullet"/>
              <w:numPr>
                <w:ilvl w:val="0"/>
                <w:numId w:val="0"/>
              </w:numPr>
              <w:spacing w:before="60" w:after="60"/>
              <w:jc w:val="left"/>
              <w:rPr>
                <w:rFonts w:ascii="Calibri" w:hAnsi="Calibri"/>
                <w:szCs w:val="22"/>
              </w:rPr>
            </w:pPr>
            <w:r>
              <w:rPr>
                <w:rFonts w:ascii="Calibri" w:hAnsi="Calibri"/>
                <w:szCs w:val="22"/>
              </w:rPr>
              <w:t>Adequate</w:t>
            </w:r>
          </w:p>
        </w:tc>
        <w:tc>
          <w:tcPr>
            <w:tcW w:w="6840" w:type="dxa"/>
            <w:tcBorders>
              <w:top w:val="single" w:sz="4" w:space="0" w:color="auto"/>
              <w:left w:val="single" w:sz="4" w:space="0" w:color="auto"/>
              <w:bottom w:val="single" w:sz="4" w:space="0" w:color="auto"/>
            </w:tcBorders>
          </w:tcPr>
          <w:p w:rsidR="003E24B5" w:rsidRPr="00B552AA" w:rsidRDefault="003E24B5" w:rsidP="004251CF">
            <w:pPr>
              <w:pStyle w:val="ListBullet"/>
              <w:numPr>
                <w:ilvl w:val="0"/>
                <w:numId w:val="0"/>
              </w:numPr>
              <w:spacing w:before="40" w:after="40"/>
              <w:jc w:val="left"/>
              <w:rPr>
                <w:rFonts w:ascii="Calibri" w:hAnsi="Calibri" w:cs="Arial"/>
                <w:sz w:val="20"/>
              </w:rPr>
            </w:pPr>
            <w:r w:rsidRPr="00B552AA">
              <w:rPr>
                <w:rFonts w:ascii="Calibri" w:hAnsi="Calibri" w:cs="Arial"/>
                <w:sz w:val="20"/>
              </w:rPr>
              <w:t>Some improvements to controls desirable</w:t>
            </w:r>
          </w:p>
        </w:tc>
      </w:tr>
      <w:tr w:rsidR="003E24B5" w:rsidTr="004251CF">
        <w:trPr>
          <w:jc w:val="center"/>
        </w:trPr>
        <w:tc>
          <w:tcPr>
            <w:tcW w:w="1800" w:type="dxa"/>
            <w:tcBorders>
              <w:top w:val="single" w:sz="4" w:space="0" w:color="auto"/>
              <w:bottom w:val="single" w:sz="4" w:space="0" w:color="auto"/>
              <w:right w:val="single" w:sz="4" w:space="0" w:color="auto"/>
            </w:tcBorders>
          </w:tcPr>
          <w:p w:rsidR="003E24B5" w:rsidRDefault="003E24B5" w:rsidP="004251CF">
            <w:pPr>
              <w:pStyle w:val="ListBullet"/>
              <w:numPr>
                <w:ilvl w:val="0"/>
                <w:numId w:val="0"/>
              </w:numPr>
              <w:spacing w:before="60" w:after="60"/>
              <w:jc w:val="left"/>
              <w:rPr>
                <w:rFonts w:ascii="Calibri" w:hAnsi="Calibri"/>
                <w:szCs w:val="22"/>
              </w:rPr>
            </w:pPr>
            <w:r>
              <w:rPr>
                <w:rFonts w:ascii="Calibri" w:hAnsi="Calibri"/>
                <w:szCs w:val="22"/>
              </w:rPr>
              <w:t>Strong</w:t>
            </w:r>
          </w:p>
        </w:tc>
        <w:tc>
          <w:tcPr>
            <w:tcW w:w="6840" w:type="dxa"/>
            <w:tcBorders>
              <w:top w:val="single" w:sz="4" w:space="0" w:color="auto"/>
              <w:left w:val="single" w:sz="4" w:space="0" w:color="auto"/>
              <w:bottom w:val="single" w:sz="4" w:space="0" w:color="auto"/>
            </w:tcBorders>
          </w:tcPr>
          <w:p w:rsidR="003E24B5" w:rsidRPr="00B552AA" w:rsidRDefault="003E24B5" w:rsidP="004251CF">
            <w:pPr>
              <w:pStyle w:val="ListBullet"/>
              <w:numPr>
                <w:ilvl w:val="0"/>
                <w:numId w:val="0"/>
              </w:numPr>
              <w:spacing w:before="40" w:after="40"/>
              <w:jc w:val="left"/>
              <w:rPr>
                <w:rFonts w:ascii="Calibri" w:hAnsi="Calibri" w:cs="Arial"/>
                <w:sz w:val="20"/>
              </w:rPr>
            </w:pPr>
            <w:r w:rsidRPr="00B552AA">
              <w:rPr>
                <w:rFonts w:ascii="Calibri" w:hAnsi="Calibri" w:cs="Arial"/>
                <w:sz w:val="20"/>
              </w:rPr>
              <w:t>Controls are believed to be operating and highly effective</w:t>
            </w:r>
          </w:p>
        </w:tc>
      </w:tr>
      <w:tr w:rsidR="003E24B5" w:rsidTr="004251CF">
        <w:trPr>
          <w:jc w:val="center"/>
        </w:trPr>
        <w:tc>
          <w:tcPr>
            <w:tcW w:w="1800" w:type="dxa"/>
            <w:tcBorders>
              <w:top w:val="single" w:sz="4" w:space="0" w:color="auto"/>
              <w:bottom w:val="single" w:sz="4" w:space="0" w:color="auto"/>
              <w:right w:val="single" w:sz="4" w:space="0" w:color="auto"/>
            </w:tcBorders>
          </w:tcPr>
          <w:p w:rsidR="003E24B5" w:rsidRDefault="003E24B5" w:rsidP="004251CF">
            <w:pPr>
              <w:pStyle w:val="ListBullet"/>
              <w:numPr>
                <w:ilvl w:val="0"/>
                <w:numId w:val="0"/>
              </w:numPr>
              <w:spacing w:before="60" w:after="60"/>
              <w:jc w:val="left"/>
              <w:rPr>
                <w:rFonts w:ascii="Calibri" w:hAnsi="Calibri"/>
                <w:szCs w:val="22"/>
              </w:rPr>
            </w:pPr>
            <w:r>
              <w:rPr>
                <w:rFonts w:ascii="Calibri" w:hAnsi="Calibri"/>
                <w:szCs w:val="22"/>
              </w:rPr>
              <w:t>Over-controlled</w:t>
            </w:r>
          </w:p>
        </w:tc>
        <w:tc>
          <w:tcPr>
            <w:tcW w:w="6840" w:type="dxa"/>
            <w:tcBorders>
              <w:top w:val="single" w:sz="4" w:space="0" w:color="auto"/>
              <w:left w:val="single" w:sz="4" w:space="0" w:color="auto"/>
              <w:bottom w:val="single" w:sz="4" w:space="0" w:color="auto"/>
            </w:tcBorders>
          </w:tcPr>
          <w:p w:rsidR="003E24B5" w:rsidRPr="00B552AA" w:rsidRDefault="003E24B5" w:rsidP="004251CF">
            <w:pPr>
              <w:pStyle w:val="ListBullet"/>
              <w:numPr>
                <w:ilvl w:val="0"/>
                <w:numId w:val="0"/>
              </w:numPr>
              <w:spacing w:before="40" w:after="40"/>
              <w:jc w:val="left"/>
              <w:rPr>
                <w:rFonts w:ascii="Calibri" w:hAnsi="Calibri" w:cs="Arial"/>
                <w:sz w:val="20"/>
              </w:rPr>
            </w:pPr>
            <w:r w:rsidRPr="00B552AA">
              <w:rPr>
                <w:rFonts w:ascii="Calibri" w:hAnsi="Calibri" w:cs="Arial"/>
                <w:sz w:val="20"/>
              </w:rPr>
              <w:t>Room for efficiency improvements/ cost reduction opportunities</w:t>
            </w:r>
          </w:p>
        </w:tc>
      </w:tr>
    </w:tbl>
    <w:p w:rsidR="003E24B5" w:rsidRDefault="003E24B5" w:rsidP="00417F3A">
      <w:pPr>
        <w:spacing w:after="0"/>
      </w:pPr>
      <w:r>
        <w:t xml:space="preserve"> </w:t>
      </w:r>
    </w:p>
    <w:p w:rsidR="003E24B5" w:rsidRDefault="003E24B5" w:rsidP="00970538">
      <w:pPr>
        <w:spacing w:after="120"/>
      </w:pPr>
      <w:r>
        <w:t xml:space="preserve">The risk assessment was conducted in accordance with the DSEWPaC Risk Management Guidelines utilising the Risk Control Ratings scale, Likelihood and Consequence rankings and the overall risk analysis matrix. </w:t>
      </w:r>
    </w:p>
    <w:p w:rsidR="003E24B5" w:rsidRPr="00FA2AD8" w:rsidRDefault="003E24B5" w:rsidP="00765785">
      <w:pPr>
        <w:spacing w:after="120"/>
      </w:pPr>
      <w:r w:rsidRPr="00FA2AD8">
        <w:t>More than 30 risks were identified from the DIIS itself along with a review of stakeholder comments. The nature of the risks arising are summarised into the following categories:</w:t>
      </w:r>
    </w:p>
    <w:p w:rsidR="003E24B5" w:rsidRPr="0076505B" w:rsidRDefault="003E24B5" w:rsidP="00162446">
      <w:pPr>
        <w:pStyle w:val="ListParagraph"/>
        <w:numPr>
          <w:ilvl w:val="0"/>
          <w:numId w:val="50"/>
        </w:numPr>
      </w:pPr>
      <w:r w:rsidRPr="0076505B">
        <w:t>Lack of regulatory controls and guidelines for the implementation of the DIIS</w:t>
      </w:r>
    </w:p>
    <w:p w:rsidR="003E24B5" w:rsidRPr="0076505B" w:rsidRDefault="003E24B5" w:rsidP="00162446">
      <w:pPr>
        <w:pStyle w:val="ListParagraph"/>
        <w:numPr>
          <w:ilvl w:val="0"/>
          <w:numId w:val="50"/>
        </w:numPr>
      </w:pPr>
      <w:r w:rsidRPr="0076505B">
        <w:t>Potential for pollution</w:t>
      </w:r>
    </w:p>
    <w:p w:rsidR="003E24B5" w:rsidRPr="0076505B" w:rsidRDefault="003E24B5" w:rsidP="00162446">
      <w:pPr>
        <w:pStyle w:val="ListParagraph"/>
        <w:numPr>
          <w:ilvl w:val="0"/>
          <w:numId w:val="50"/>
        </w:numPr>
      </w:pPr>
      <w:r w:rsidRPr="0076505B">
        <w:t>Potential for occupational health and safety risks</w:t>
      </w:r>
    </w:p>
    <w:p w:rsidR="003E24B5" w:rsidRPr="0076505B" w:rsidRDefault="003E24B5" w:rsidP="00162446">
      <w:pPr>
        <w:pStyle w:val="ListParagraph"/>
        <w:numPr>
          <w:ilvl w:val="0"/>
          <w:numId w:val="50"/>
        </w:numPr>
      </w:pPr>
      <w:r w:rsidRPr="0076505B">
        <w:t>Lack of operational systems developed by operators e.g.;</w:t>
      </w:r>
    </w:p>
    <w:p w:rsidR="003E24B5" w:rsidRPr="00765785" w:rsidRDefault="003E24B5" w:rsidP="00162446">
      <w:pPr>
        <w:pStyle w:val="ListParagraph"/>
        <w:numPr>
          <w:ilvl w:val="1"/>
          <w:numId w:val="55"/>
        </w:numPr>
        <w:autoSpaceDE w:val="0"/>
        <w:autoSpaceDN w:val="0"/>
        <w:adjustRightInd w:val="0"/>
        <w:spacing w:before="120" w:after="120"/>
        <w:rPr>
          <w:rFonts w:cs="Arial"/>
          <w:szCs w:val="20"/>
        </w:rPr>
      </w:pPr>
      <w:r w:rsidRPr="00765785">
        <w:rPr>
          <w:rFonts w:cs="Arial"/>
          <w:szCs w:val="20"/>
        </w:rPr>
        <w:t xml:space="preserve">Staff training, </w:t>
      </w:r>
    </w:p>
    <w:p w:rsidR="003E24B5" w:rsidRPr="00765785" w:rsidRDefault="003E24B5" w:rsidP="00162446">
      <w:pPr>
        <w:pStyle w:val="ListParagraph"/>
        <w:numPr>
          <w:ilvl w:val="1"/>
          <w:numId w:val="55"/>
        </w:numPr>
        <w:autoSpaceDE w:val="0"/>
        <w:autoSpaceDN w:val="0"/>
        <w:adjustRightInd w:val="0"/>
        <w:spacing w:before="120" w:after="120"/>
        <w:rPr>
          <w:rFonts w:cs="Arial"/>
          <w:szCs w:val="20"/>
        </w:rPr>
      </w:pPr>
      <w:r w:rsidRPr="00765785">
        <w:rPr>
          <w:rFonts w:cs="Arial"/>
          <w:szCs w:val="20"/>
        </w:rPr>
        <w:t xml:space="preserve">Development and implementation of work methods </w:t>
      </w:r>
    </w:p>
    <w:p w:rsidR="003E24B5" w:rsidRPr="0076505B" w:rsidRDefault="003E24B5" w:rsidP="00162446">
      <w:pPr>
        <w:pStyle w:val="ListParagraph"/>
        <w:numPr>
          <w:ilvl w:val="0"/>
          <w:numId w:val="50"/>
        </w:numPr>
      </w:pPr>
      <w:r w:rsidRPr="0076505B">
        <w:t>Lack of facilities to meet the demand</w:t>
      </w:r>
    </w:p>
    <w:p w:rsidR="003E24B5" w:rsidRPr="0076505B" w:rsidRDefault="003E24B5" w:rsidP="00162446">
      <w:pPr>
        <w:pStyle w:val="ListParagraph"/>
        <w:numPr>
          <w:ilvl w:val="0"/>
          <w:numId w:val="50"/>
        </w:numPr>
        <w:spacing w:after="120"/>
        <w:ind w:left="714" w:hanging="357"/>
      </w:pPr>
      <w:r w:rsidRPr="0076505B">
        <w:t>Improper sorting techniques</w:t>
      </w:r>
    </w:p>
    <w:p w:rsidR="003E24B5" w:rsidRDefault="003E24B5" w:rsidP="00765785">
      <w:pPr>
        <w:spacing w:after="120"/>
      </w:pPr>
      <w:r>
        <w:t>The risk analysis ranked 7 risks as “High”:</w:t>
      </w:r>
    </w:p>
    <w:p w:rsidR="003E24B5" w:rsidRPr="00417F3A" w:rsidRDefault="003E24B5" w:rsidP="00162446">
      <w:pPr>
        <w:pStyle w:val="ListParagraph"/>
        <w:numPr>
          <w:ilvl w:val="0"/>
          <w:numId w:val="51"/>
        </w:numPr>
        <w:rPr>
          <w:rFonts w:cs="Arial"/>
        </w:rPr>
      </w:pPr>
      <w:r w:rsidRPr="00417F3A">
        <w:rPr>
          <w:rFonts w:cs="Arial"/>
          <w:szCs w:val="20"/>
        </w:rPr>
        <w:t xml:space="preserve">Lack of auditing system/guidelines </w:t>
      </w:r>
    </w:p>
    <w:p w:rsidR="003E24B5" w:rsidRPr="00417F3A" w:rsidRDefault="003E24B5" w:rsidP="00162446">
      <w:pPr>
        <w:pStyle w:val="ListParagraph"/>
        <w:numPr>
          <w:ilvl w:val="0"/>
          <w:numId w:val="51"/>
        </w:numPr>
        <w:rPr>
          <w:rFonts w:cs="Arial"/>
        </w:rPr>
      </w:pPr>
      <w:r w:rsidRPr="00417F3A">
        <w:rPr>
          <w:rFonts w:cs="Arial"/>
          <w:szCs w:val="20"/>
        </w:rPr>
        <w:t xml:space="preserve">Operator fails to develop and implement documented work methods </w:t>
      </w:r>
    </w:p>
    <w:p w:rsidR="003E24B5" w:rsidRPr="00417F3A" w:rsidRDefault="003E24B5" w:rsidP="00162446">
      <w:pPr>
        <w:pStyle w:val="ListParagraph"/>
        <w:numPr>
          <w:ilvl w:val="0"/>
          <w:numId w:val="51"/>
        </w:numPr>
        <w:rPr>
          <w:rFonts w:cs="Arial"/>
        </w:rPr>
      </w:pPr>
      <w:r w:rsidRPr="00417F3A">
        <w:rPr>
          <w:rFonts w:cs="Arial"/>
          <w:szCs w:val="20"/>
        </w:rPr>
        <w:t xml:space="preserve">Employees are exposed to mercury contamination </w:t>
      </w:r>
    </w:p>
    <w:p w:rsidR="003E24B5" w:rsidRPr="00417F3A" w:rsidRDefault="003E24B5" w:rsidP="00162446">
      <w:pPr>
        <w:pStyle w:val="ListParagraph"/>
        <w:numPr>
          <w:ilvl w:val="0"/>
          <w:numId w:val="51"/>
        </w:numPr>
        <w:rPr>
          <w:rFonts w:cs="Arial"/>
        </w:rPr>
      </w:pPr>
      <w:r w:rsidRPr="00417F3A">
        <w:rPr>
          <w:rFonts w:cs="Arial"/>
          <w:szCs w:val="20"/>
        </w:rPr>
        <w:t xml:space="preserve">Risk of fire </w:t>
      </w:r>
    </w:p>
    <w:p w:rsidR="003E24B5" w:rsidRPr="00417F3A" w:rsidRDefault="003E24B5" w:rsidP="00162446">
      <w:pPr>
        <w:pStyle w:val="ListParagraph"/>
        <w:numPr>
          <w:ilvl w:val="0"/>
          <w:numId w:val="51"/>
        </w:numPr>
        <w:rPr>
          <w:rFonts w:cs="Arial"/>
        </w:rPr>
      </w:pPr>
      <w:r w:rsidRPr="00417F3A">
        <w:rPr>
          <w:rFonts w:cs="Arial"/>
          <w:szCs w:val="20"/>
        </w:rPr>
        <w:t>Failure to minimise carbon emissions associated with recycling practices.</w:t>
      </w:r>
    </w:p>
    <w:p w:rsidR="003E24B5" w:rsidRPr="00417F3A" w:rsidRDefault="003E24B5" w:rsidP="00162446">
      <w:pPr>
        <w:pStyle w:val="ListParagraph"/>
        <w:numPr>
          <w:ilvl w:val="0"/>
          <w:numId w:val="51"/>
        </w:numPr>
        <w:rPr>
          <w:rFonts w:cs="Arial"/>
        </w:rPr>
      </w:pPr>
      <w:r w:rsidRPr="00417F3A">
        <w:rPr>
          <w:rFonts w:cs="Arial"/>
          <w:szCs w:val="20"/>
        </w:rPr>
        <w:t>Failure of the DIIS to address the 9 new POPs identified under the Stockholm Convention</w:t>
      </w:r>
      <w:r>
        <w:rPr>
          <w:rFonts w:cs="Arial"/>
          <w:szCs w:val="20"/>
        </w:rPr>
        <w:t xml:space="preserve"> </w:t>
      </w:r>
      <w:r w:rsidRPr="00D3476B">
        <w:rPr>
          <w:rFonts w:cs="Arial"/>
          <w:szCs w:val="20"/>
        </w:rPr>
        <w:t>on Persistent Organic Pollutants</w:t>
      </w:r>
      <w:r>
        <w:rPr>
          <w:rFonts w:cs="Arial"/>
          <w:szCs w:val="20"/>
        </w:rPr>
        <w:t xml:space="preserve"> (POPs)</w:t>
      </w:r>
      <w:r w:rsidRPr="00417F3A">
        <w:rPr>
          <w:rFonts w:cs="Arial"/>
          <w:szCs w:val="20"/>
        </w:rPr>
        <w:t>.</w:t>
      </w:r>
    </w:p>
    <w:p w:rsidR="003E24B5" w:rsidRPr="00417F3A" w:rsidRDefault="003E24B5" w:rsidP="00162446">
      <w:pPr>
        <w:pStyle w:val="ListParagraph"/>
        <w:numPr>
          <w:ilvl w:val="0"/>
          <w:numId w:val="51"/>
        </w:numPr>
        <w:rPr>
          <w:rFonts w:cs="Arial"/>
          <w:szCs w:val="20"/>
        </w:rPr>
      </w:pPr>
      <w:r w:rsidRPr="00417F3A">
        <w:rPr>
          <w:rFonts w:cs="Arial"/>
          <w:szCs w:val="20"/>
        </w:rPr>
        <w:t xml:space="preserve">Export to non OECD countries without the appropriate permit under the </w:t>
      </w:r>
      <w:r w:rsidR="00894E3A" w:rsidRPr="00894E3A">
        <w:rPr>
          <w:rFonts w:cs="Arial"/>
          <w:i/>
          <w:szCs w:val="20"/>
        </w:rPr>
        <w:t>Hazardous Waste</w:t>
      </w:r>
      <w:r>
        <w:rPr>
          <w:rFonts w:cs="Arial"/>
          <w:i/>
          <w:szCs w:val="20"/>
        </w:rPr>
        <w:t xml:space="preserve"> </w:t>
      </w:r>
      <w:r w:rsidRPr="00D3476B">
        <w:rPr>
          <w:rFonts w:cs="Arial"/>
          <w:i/>
          <w:szCs w:val="20"/>
        </w:rPr>
        <w:t>(Reg</w:t>
      </w:r>
      <w:r>
        <w:rPr>
          <w:rFonts w:cs="Arial"/>
          <w:i/>
          <w:szCs w:val="20"/>
        </w:rPr>
        <w:t>ulation of Exports and Imports)</w:t>
      </w:r>
      <w:r w:rsidR="00894E3A" w:rsidRPr="00894E3A">
        <w:rPr>
          <w:rFonts w:cs="Arial"/>
          <w:i/>
          <w:szCs w:val="20"/>
        </w:rPr>
        <w:t xml:space="preserve"> Act</w:t>
      </w:r>
      <w:r>
        <w:rPr>
          <w:rFonts w:cs="Arial"/>
          <w:i/>
          <w:szCs w:val="20"/>
        </w:rPr>
        <w:t xml:space="preserve"> </w:t>
      </w:r>
      <w:r w:rsidRPr="00D3476B">
        <w:rPr>
          <w:rFonts w:cs="Arial"/>
          <w:i/>
          <w:szCs w:val="20"/>
        </w:rPr>
        <w:t>1989</w:t>
      </w:r>
      <w:r w:rsidRPr="00417F3A">
        <w:rPr>
          <w:rFonts w:cs="Arial"/>
          <w:szCs w:val="20"/>
        </w:rPr>
        <w:t>.</w:t>
      </w:r>
    </w:p>
    <w:p w:rsidR="003E24B5" w:rsidRDefault="003E24B5" w:rsidP="00765785">
      <w:pPr>
        <w:spacing w:after="120"/>
        <w:rPr>
          <w:rFonts w:cs="Arial"/>
          <w:szCs w:val="20"/>
        </w:rPr>
      </w:pPr>
      <w:r>
        <w:rPr>
          <w:rFonts w:cs="Arial"/>
          <w:szCs w:val="20"/>
        </w:rPr>
        <w:lastRenderedPageBreak/>
        <w:t>The remaining “Medium” ranking risks with incomplete or weak controls were:</w:t>
      </w:r>
    </w:p>
    <w:p w:rsidR="003E24B5" w:rsidRPr="00972312" w:rsidRDefault="003E24B5" w:rsidP="00162446">
      <w:pPr>
        <w:pStyle w:val="ListParagraph"/>
        <w:numPr>
          <w:ilvl w:val="0"/>
          <w:numId w:val="53"/>
        </w:numPr>
        <w:spacing w:before="120" w:after="120"/>
        <w:jc w:val="left"/>
        <w:rPr>
          <w:rFonts w:cs="Arial"/>
          <w:szCs w:val="20"/>
        </w:rPr>
      </w:pPr>
      <w:r w:rsidRPr="00972312">
        <w:rPr>
          <w:rFonts w:cs="Arial"/>
          <w:szCs w:val="20"/>
        </w:rPr>
        <w:t>E</w:t>
      </w:r>
      <w:r>
        <w:rPr>
          <w:rFonts w:cs="Arial"/>
          <w:szCs w:val="20"/>
        </w:rPr>
        <w:t>nd of life (E</w:t>
      </w:r>
      <w:r w:rsidRPr="00972312">
        <w:rPr>
          <w:rFonts w:cs="Arial"/>
          <w:szCs w:val="20"/>
        </w:rPr>
        <w:t>OL</w:t>
      </w:r>
      <w:r>
        <w:rPr>
          <w:rFonts w:cs="Arial"/>
          <w:szCs w:val="20"/>
        </w:rPr>
        <w:t>)</w:t>
      </w:r>
      <w:r w:rsidRPr="00972312">
        <w:rPr>
          <w:rFonts w:cs="Arial"/>
          <w:szCs w:val="20"/>
        </w:rPr>
        <w:t xml:space="preserve"> goods received at an unsuitable premises/location that is operated by an unauthorised recycler. </w:t>
      </w:r>
    </w:p>
    <w:p w:rsidR="003E24B5" w:rsidRPr="00972312" w:rsidRDefault="003E24B5" w:rsidP="00162446">
      <w:pPr>
        <w:pStyle w:val="ListParagraph"/>
        <w:numPr>
          <w:ilvl w:val="0"/>
          <w:numId w:val="53"/>
        </w:numPr>
        <w:rPr>
          <w:rFonts w:cs="Arial"/>
          <w:szCs w:val="20"/>
        </w:rPr>
      </w:pPr>
      <w:r w:rsidRPr="00972312">
        <w:rPr>
          <w:rFonts w:cs="Arial"/>
          <w:szCs w:val="20"/>
        </w:rPr>
        <w:t>Inappropriate separation techniques are applied to recover resources.</w:t>
      </w:r>
    </w:p>
    <w:p w:rsidR="003E24B5" w:rsidRPr="00972312" w:rsidRDefault="003E24B5" w:rsidP="00162446">
      <w:pPr>
        <w:pStyle w:val="ListParagraph"/>
        <w:numPr>
          <w:ilvl w:val="0"/>
          <w:numId w:val="53"/>
        </w:numPr>
        <w:rPr>
          <w:rFonts w:cs="Arial"/>
          <w:szCs w:val="20"/>
        </w:rPr>
      </w:pPr>
      <w:r w:rsidRPr="00972312">
        <w:rPr>
          <w:rFonts w:cs="Arial"/>
          <w:szCs w:val="20"/>
        </w:rPr>
        <w:t>Failure to ensure staff are provided with necessary personal protective equipment.</w:t>
      </w:r>
    </w:p>
    <w:p w:rsidR="003E24B5" w:rsidRPr="00972312" w:rsidRDefault="003E24B5" w:rsidP="00162446">
      <w:pPr>
        <w:pStyle w:val="ListParagraph"/>
        <w:numPr>
          <w:ilvl w:val="0"/>
          <w:numId w:val="53"/>
        </w:numPr>
        <w:rPr>
          <w:rFonts w:cs="Arial"/>
          <w:szCs w:val="20"/>
        </w:rPr>
      </w:pPr>
      <w:r w:rsidRPr="00972312">
        <w:rPr>
          <w:rFonts w:cs="Arial"/>
          <w:szCs w:val="20"/>
        </w:rPr>
        <w:t>Failure to appropriately separate materials for recycling.</w:t>
      </w:r>
    </w:p>
    <w:p w:rsidR="003E24B5" w:rsidRPr="00972312" w:rsidRDefault="003E24B5" w:rsidP="00162446">
      <w:pPr>
        <w:pStyle w:val="ListParagraph"/>
        <w:numPr>
          <w:ilvl w:val="0"/>
          <w:numId w:val="53"/>
        </w:numPr>
        <w:rPr>
          <w:rFonts w:cs="Arial"/>
          <w:szCs w:val="20"/>
        </w:rPr>
      </w:pPr>
      <w:r w:rsidRPr="00972312">
        <w:rPr>
          <w:rFonts w:cs="Arial"/>
          <w:szCs w:val="20"/>
        </w:rPr>
        <w:t>Improper mechanical or manual dismantling results in the release of hazardous substances to which employees are exposed.</w:t>
      </w:r>
    </w:p>
    <w:p w:rsidR="003E24B5" w:rsidRPr="00972312" w:rsidRDefault="003E24B5" w:rsidP="00162446">
      <w:pPr>
        <w:pStyle w:val="ListParagraph"/>
        <w:numPr>
          <w:ilvl w:val="0"/>
          <w:numId w:val="53"/>
        </w:numPr>
        <w:rPr>
          <w:rFonts w:cs="Arial"/>
          <w:szCs w:val="20"/>
        </w:rPr>
      </w:pPr>
      <w:r w:rsidRPr="00972312">
        <w:rPr>
          <w:rFonts w:cs="Arial"/>
          <w:szCs w:val="20"/>
        </w:rPr>
        <w:t>Inappropriate secondary application of recovered resources eg: use of leaded glass from plasma screens as a substitute for sand.</w:t>
      </w:r>
    </w:p>
    <w:p w:rsidR="003E24B5" w:rsidRPr="00972312" w:rsidRDefault="003E24B5" w:rsidP="00162446">
      <w:pPr>
        <w:pStyle w:val="ListParagraph"/>
        <w:numPr>
          <w:ilvl w:val="0"/>
          <w:numId w:val="53"/>
        </w:numPr>
        <w:rPr>
          <w:rFonts w:cs="Arial"/>
          <w:szCs w:val="20"/>
        </w:rPr>
      </w:pPr>
      <w:r w:rsidRPr="00972312">
        <w:rPr>
          <w:rFonts w:cs="Arial"/>
          <w:szCs w:val="20"/>
        </w:rPr>
        <w:t>Lack of minimum recycling rate or requirement for highest use practices, in the DIIS discourages recyclers from recovering materials leading to unnecessary disposal to landfill.</w:t>
      </w:r>
    </w:p>
    <w:p w:rsidR="003E24B5" w:rsidRPr="00972312" w:rsidRDefault="003E24B5" w:rsidP="00162446">
      <w:pPr>
        <w:pStyle w:val="ListParagraph"/>
        <w:numPr>
          <w:ilvl w:val="0"/>
          <w:numId w:val="53"/>
        </w:numPr>
        <w:rPr>
          <w:rFonts w:cs="Arial"/>
          <w:szCs w:val="20"/>
        </w:rPr>
      </w:pPr>
      <w:r w:rsidRPr="00972312">
        <w:rPr>
          <w:rFonts w:cs="Arial"/>
          <w:szCs w:val="20"/>
        </w:rPr>
        <w:t>Failure of the DIIS to require identification of hazardous substances prior to disposal.</w:t>
      </w:r>
    </w:p>
    <w:p w:rsidR="003E24B5" w:rsidRPr="00972312" w:rsidRDefault="003E24B5" w:rsidP="00162446">
      <w:pPr>
        <w:pStyle w:val="ListParagraph"/>
        <w:numPr>
          <w:ilvl w:val="0"/>
          <w:numId w:val="53"/>
        </w:numPr>
        <w:rPr>
          <w:rFonts w:cs="Arial"/>
          <w:szCs w:val="20"/>
        </w:rPr>
      </w:pPr>
      <w:r w:rsidRPr="00972312">
        <w:rPr>
          <w:rFonts w:cs="Arial"/>
          <w:szCs w:val="20"/>
        </w:rPr>
        <w:t>Brominated Fire Retardant contaminated plastics are sent to landfill.</w:t>
      </w:r>
    </w:p>
    <w:p w:rsidR="003E24B5" w:rsidRPr="00972312" w:rsidRDefault="003E24B5" w:rsidP="00162446">
      <w:pPr>
        <w:pStyle w:val="ListParagraph"/>
        <w:numPr>
          <w:ilvl w:val="0"/>
          <w:numId w:val="53"/>
        </w:numPr>
        <w:rPr>
          <w:rFonts w:cs="Arial"/>
          <w:szCs w:val="20"/>
        </w:rPr>
      </w:pPr>
      <w:r w:rsidRPr="00972312">
        <w:rPr>
          <w:rFonts w:cs="Arial"/>
          <w:szCs w:val="20"/>
        </w:rPr>
        <w:t>Failure of the DIIS to accurately define the role of recyclers results in uncontrolled practices.</w:t>
      </w:r>
    </w:p>
    <w:p w:rsidR="003E24B5" w:rsidRPr="00972312" w:rsidRDefault="003E24B5" w:rsidP="00162446">
      <w:pPr>
        <w:pStyle w:val="ListParagraph"/>
        <w:numPr>
          <w:ilvl w:val="0"/>
          <w:numId w:val="53"/>
        </w:numPr>
        <w:rPr>
          <w:rFonts w:cs="Arial"/>
          <w:szCs w:val="20"/>
        </w:rPr>
      </w:pPr>
      <w:r w:rsidRPr="00972312">
        <w:rPr>
          <w:rFonts w:cs="Arial"/>
          <w:szCs w:val="20"/>
        </w:rPr>
        <w:t>Failure to separate substances of concern for integrity and traceability.</w:t>
      </w:r>
    </w:p>
    <w:p w:rsidR="003E24B5" w:rsidRDefault="003E24B5" w:rsidP="00765785">
      <w:pPr>
        <w:spacing w:after="120"/>
      </w:pPr>
      <w:r>
        <w:t>A</w:t>
      </w:r>
      <w:r w:rsidRPr="00314185">
        <w:t xml:space="preserve"> regulatory risk review was </w:t>
      </w:r>
      <w:r>
        <w:t xml:space="preserve">also </w:t>
      </w:r>
      <w:r w:rsidRPr="00314185">
        <w:t xml:space="preserve">conducted to identify regulatory risks associated with legal compliance, specifically the </w:t>
      </w:r>
      <w:r w:rsidR="00894E3A" w:rsidRPr="00894E3A">
        <w:rPr>
          <w:i/>
        </w:rPr>
        <w:t>Hazardous Waste Act 1989</w:t>
      </w:r>
      <w:r w:rsidRPr="00314185">
        <w:t xml:space="preserve">, Basel Convention and the Stockholm Convention. </w:t>
      </w:r>
      <w:r>
        <w:t>The risks identified in this review relate to the:</w:t>
      </w:r>
    </w:p>
    <w:p w:rsidR="003E24B5" w:rsidRPr="00EC7735" w:rsidRDefault="003E24B5" w:rsidP="00162446">
      <w:pPr>
        <w:pStyle w:val="ListParagraph"/>
        <w:numPr>
          <w:ilvl w:val="0"/>
          <w:numId w:val="54"/>
        </w:numPr>
        <w:rPr>
          <w:rFonts w:cs="Arial"/>
          <w:bCs/>
          <w:szCs w:val="20"/>
        </w:rPr>
      </w:pPr>
      <w:r w:rsidRPr="00EC7735">
        <w:rPr>
          <w:rFonts w:cs="Arial"/>
          <w:bCs/>
          <w:szCs w:val="20"/>
        </w:rPr>
        <w:t>Regulation of export of hazardous waste</w:t>
      </w:r>
    </w:p>
    <w:p w:rsidR="003E24B5" w:rsidRPr="00EC7735" w:rsidRDefault="003E24B5" w:rsidP="00162446">
      <w:pPr>
        <w:pStyle w:val="ListParagraph"/>
        <w:numPr>
          <w:ilvl w:val="0"/>
          <w:numId w:val="54"/>
        </w:numPr>
        <w:rPr>
          <w:rFonts w:cs="Arial"/>
          <w:bCs/>
          <w:szCs w:val="20"/>
        </w:rPr>
      </w:pPr>
      <w:r w:rsidRPr="00EC7735">
        <w:rPr>
          <w:rFonts w:cs="Arial"/>
          <w:bCs/>
          <w:szCs w:val="20"/>
        </w:rPr>
        <w:t>Regulation of sale of hazardous waste</w:t>
      </w:r>
    </w:p>
    <w:p w:rsidR="003E24B5" w:rsidRPr="00EC7735" w:rsidRDefault="003E24B5" w:rsidP="00162446">
      <w:pPr>
        <w:pStyle w:val="ListParagraph"/>
        <w:numPr>
          <w:ilvl w:val="0"/>
          <w:numId w:val="54"/>
        </w:numPr>
        <w:rPr>
          <w:rFonts w:cs="Arial"/>
          <w:bCs/>
          <w:iCs/>
          <w:color w:val="000000"/>
          <w:szCs w:val="20"/>
        </w:rPr>
      </w:pPr>
      <w:r w:rsidRPr="00EC7735">
        <w:rPr>
          <w:rFonts w:cs="Arial"/>
          <w:bCs/>
          <w:iCs/>
          <w:color w:val="000000"/>
          <w:szCs w:val="20"/>
        </w:rPr>
        <w:t>Basel Convention on the Control of Transboundary Movements of Hazardous Wastes and their Disposal</w:t>
      </w:r>
    </w:p>
    <w:p w:rsidR="003E24B5" w:rsidRPr="00EC7735" w:rsidRDefault="003E24B5" w:rsidP="00162446">
      <w:pPr>
        <w:pStyle w:val="ListParagraph"/>
        <w:numPr>
          <w:ilvl w:val="0"/>
          <w:numId w:val="54"/>
        </w:numPr>
        <w:spacing w:after="120"/>
        <w:ind w:left="714" w:hanging="357"/>
        <w:rPr>
          <w:rFonts w:cs="Arial"/>
        </w:rPr>
      </w:pPr>
      <w:r w:rsidRPr="00EC7735">
        <w:rPr>
          <w:rFonts w:cs="Arial"/>
          <w:bCs/>
          <w:iCs/>
          <w:color w:val="000000"/>
          <w:szCs w:val="20"/>
        </w:rPr>
        <w:t>Stockholm Convention on POPs</w:t>
      </w:r>
    </w:p>
    <w:p w:rsidR="003E24B5" w:rsidRDefault="003E24B5" w:rsidP="000B1D1C">
      <w:r w:rsidRPr="00EC7735">
        <w:t>The majority of the</w:t>
      </w:r>
      <w:r>
        <w:t xml:space="preserve"> regulatory </w:t>
      </w:r>
      <w:r w:rsidRPr="00EC7735">
        <w:t>risks have been rated as ”high” primarily due to the consequence rating should the risk occur. All existing controls were ranked as “adequate.”</w:t>
      </w:r>
      <w:r>
        <w:t xml:space="preserve"> </w:t>
      </w:r>
    </w:p>
    <w:p w:rsidR="003E24B5" w:rsidRDefault="003E24B5" w:rsidP="00765785">
      <w:pPr>
        <w:spacing w:after="120"/>
        <w:jc w:val="left"/>
      </w:pPr>
      <w:r>
        <w:t>Based on the risk assessment and regulatory risk review, a</w:t>
      </w:r>
      <w:r w:rsidRPr="0095618D">
        <w:t xml:space="preserve"> risk treatment plan has been developed</w:t>
      </w:r>
      <w:r>
        <w:t xml:space="preserve"> for each risk that ranked as “high”. From this, suggested risk mitigation measures include:</w:t>
      </w:r>
    </w:p>
    <w:p w:rsidR="003E24B5" w:rsidRPr="00D721C7" w:rsidRDefault="003E24B5" w:rsidP="00162446">
      <w:pPr>
        <w:pStyle w:val="ListParagraph"/>
        <w:numPr>
          <w:ilvl w:val="0"/>
          <w:numId w:val="55"/>
        </w:numPr>
        <w:autoSpaceDE w:val="0"/>
        <w:autoSpaceDN w:val="0"/>
        <w:adjustRightInd w:val="0"/>
        <w:spacing w:before="120" w:after="120"/>
        <w:rPr>
          <w:rFonts w:cs="Arial"/>
          <w:szCs w:val="20"/>
        </w:rPr>
      </w:pPr>
      <w:r w:rsidRPr="00D721C7">
        <w:rPr>
          <w:rFonts w:cs="Arial"/>
          <w:szCs w:val="20"/>
        </w:rPr>
        <w:t>The development and implementation of an audit regime to regulate industry operators and timetable for implementation.</w:t>
      </w:r>
    </w:p>
    <w:p w:rsidR="003E24B5" w:rsidRPr="00D721C7" w:rsidRDefault="003E24B5" w:rsidP="00162446">
      <w:pPr>
        <w:pStyle w:val="ListParagraph"/>
        <w:numPr>
          <w:ilvl w:val="0"/>
          <w:numId w:val="55"/>
        </w:numPr>
        <w:autoSpaceDE w:val="0"/>
        <w:autoSpaceDN w:val="0"/>
        <w:adjustRightInd w:val="0"/>
        <w:spacing w:before="120" w:after="120"/>
        <w:rPr>
          <w:rFonts w:cs="Arial"/>
          <w:szCs w:val="20"/>
        </w:rPr>
      </w:pPr>
      <w:r w:rsidRPr="00D721C7">
        <w:rPr>
          <w:rFonts w:cs="Arial"/>
          <w:szCs w:val="20"/>
        </w:rPr>
        <w:t>The development and rollout of a familiarisation/training program for operators to provide:</w:t>
      </w:r>
    </w:p>
    <w:p w:rsidR="003E24B5" w:rsidRPr="00D721C7" w:rsidRDefault="003E24B5" w:rsidP="00162446">
      <w:pPr>
        <w:pStyle w:val="ListParagraph"/>
        <w:numPr>
          <w:ilvl w:val="1"/>
          <w:numId w:val="55"/>
        </w:numPr>
        <w:autoSpaceDE w:val="0"/>
        <w:autoSpaceDN w:val="0"/>
        <w:adjustRightInd w:val="0"/>
        <w:spacing w:before="120" w:after="120"/>
        <w:rPr>
          <w:rFonts w:cs="Arial"/>
          <w:szCs w:val="20"/>
        </w:rPr>
      </w:pPr>
      <w:r w:rsidRPr="00D721C7">
        <w:rPr>
          <w:rFonts w:cs="Arial"/>
          <w:szCs w:val="20"/>
        </w:rPr>
        <w:t xml:space="preserve">Detailed information on the specific reporting requirements of the Standard. </w:t>
      </w:r>
    </w:p>
    <w:p w:rsidR="003E24B5" w:rsidRPr="00D721C7" w:rsidRDefault="003E24B5" w:rsidP="00162446">
      <w:pPr>
        <w:pStyle w:val="ListParagraph"/>
        <w:numPr>
          <w:ilvl w:val="1"/>
          <w:numId w:val="55"/>
        </w:numPr>
        <w:autoSpaceDE w:val="0"/>
        <w:autoSpaceDN w:val="0"/>
        <w:adjustRightInd w:val="0"/>
        <w:spacing w:before="120" w:after="120"/>
        <w:jc w:val="left"/>
        <w:rPr>
          <w:rFonts w:cs="Arial"/>
          <w:szCs w:val="20"/>
        </w:rPr>
      </w:pPr>
      <w:r w:rsidRPr="00D721C7">
        <w:rPr>
          <w:rFonts w:cs="Arial"/>
          <w:szCs w:val="20"/>
        </w:rPr>
        <w:t xml:space="preserve">An explanation of the introductory comments of Appendix 1 to ensure the contents are included into a training session for delivery to operators as outlined in the risk treatment plans above. </w:t>
      </w:r>
    </w:p>
    <w:p w:rsidR="003E24B5" w:rsidRPr="00D721C7" w:rsidRDefault="003E24B5" w:rsidP="00162446">
      <w:pPr>
        <w:pStyle w:val="ListParagraph"/>
        <w:numPr>
          <w:ilvl w:val="1"/>
          <w:numId w:val="55"/>
        </w:numPr>
        <w:rPr>
          <w:rFonts w:cs="Arial"/>
          <w:szCs w:val="20"/>
        </w:rPr>
      </w:pPr>
      <w:r w:rsidRPr="00D721C7">
        <w:rPr>
          <w:rFonts w:cs="Arial"/>
          <w:szCs w:val="20"/>
        </w:rPr>
        <w:t xml:space="preserve">the requirements of the </w:t>
      </w:r>
      <w:r w:rsidRPr="00D721C7">
        <w:rPr>
          <w:rFonts w:cs="Arial"/>
          <w:i/>
          <w:szCs w:val="20"/>
        </w:rPr>
        <w:t>Hazardous Waste Act</w:t>
      </w:r>
      <w:r w:rsidRPr="00D721C7">
        <w:rPr>
          <w:rFonts w:cs="Arial"/>
          <w:szCs w:val="20"/>
        </w:rPr>
        <w:t xml:space="preserve"> </w:t>
      </w:r>
      <w:r w:rsidRPr="00D721C7">
        <w:rPr>
          <w:rFonts w:cs="Arial"/>
          <w:i/>
          <w:szCs w:val="20"/>
        </w:rPr>
        <w:t>1989 a</w:t>
      </w:r>
      <w:r w:rsidRPr="00D721C7">
        <w:rPr>
          <w:rFonts w:cs="Arial"/>
          <w:szCs w:val="20"/>
        </w:rPr>
        <w:t>nd how they apply to DIIS associated activities</w:t>
      </w:r>
    </w:p>
    <w:p w:rsidR="003E24B5" w:rsidRPr="00D721C7" w:rsidRDefault="003E24B5" w:rsidP="00162446">
      <w:pPr>
        <w:pStyle w:val="ListParagraph"/>
        <w:numPr>
          <w:ilvl w:val="1"/>
          <w:numId w:val="55"/>
        </w:numPr>
        <w:rPr>
          <w:rFonts w:cs="Arial"/>
          <w:szCs w:val="20"/>
        </w:rPr>
      </w:pPr>
      <w:r w:rsidRPr="00D721C7">
        <w:rPr>
          <w:rFonts w:cs="Arial"/>
          <w:szCs w:val="20"/>
        </w:rPr>
        <w:t>Guidance on the environmentally sound removal of electronic equipment as outlined in Appendix 1</w:t>
      </w:r>
    </w:p>
    <w:p w:rsidR="003E24B5" w:rsidRPr="00D721C7" w:rsidRDefault="003E24B5" w:rsidP="00162446">
      <w:pPr>
        <w:pStyle w:val="ListParagraph"/>
        <w:numPr>
          <w:ilvl w:val="1"/>
          <w:numId w:val="55"/>
        </w:numPr>
        <w:rPr>
          <w:rFonts w:cs="Arial"/>
          <w:szCs w:val="20"/>
        </w:rPr>
      </w:pPr>
      <w:r w:rsidRPr="00D721C7">
        <w:rPr>
          <w:rFonts w:cs="Arial"/>
          <w:szCs w:val="20"/>
        </w:rPr>
        <w:t>Information on the safe removal of components prior to processing</w:t>
      </w:r>
    </w:p>
    <w:p w:rsidR="003E24B5" w:rsidRDefault="003E24B5" w:rsidP="00162446">
      <w:pPr>
        <w:pStyle w:val="ListParagraph"/>
        <w:numPr>
          <w:ilvl w:val="0"/>
          <w:numId w:val="55"/>
        </w:numPr>
        <w:rPr>
          <w:rFonts w:cs="Arial"/>
          <w:szCs w:val="20"/>
        </w:rPr>
      </w:pPr>
      <w:r w:rsidRPr="00D721C7">
        <w:rPr>
          <w:rFonts w:cs="Arial"/>
          <w:szCs w:val="20"/>
        </w:rPr>
        <w:t>The approved arrangement should ensure that DSEWPaC is consulted in relation to all training material and provided the opportunity to participate</w:t>
      </w:r>
      <w:r>
        <w:rPr>
          <w:rFonts w:cs="Arial"/>
          <w:szCs w:val="20"/>
        </w:rPr>
        <w:t>.</w:t>
      </w:r>
    </w:p>
    <w:p w:rsidR="003E24B5" w:rsidRDefault="003E24B5" w:rsidP="00765785">
      <w:pPr>
        <w:spacing w:after="120"/>
      </w:pPr>
      <w:r w:rsidRPr="00D721C7">
        <w:t xml:space="preserve">The DIIS has </w:t>
      </w:r>
      <w:r>
        <w:t xml:space="preserve">also </w:t>
      </w:r>
      <w:r w:rsidRPr="00D721C7">
        <w:t>been reviewed against key international standards that are used for similar programs around the world</w:t>
      </w:r>
      <w:r>
        <w:t>, in particular Canada, Europe and the USA.</w:t>
      </w:r>
    </w:p>
    <w:p w:rsidR="003E24B5" w:rsidRDefault="003E24B5" w:rsidP="00851C78">
      <w:pPr>
        <w:spacing w:after="120"/>
      </w:pPr>
      <w:r>
        <w:t>Five gaps in the DIIS were identified:</w:t>
      </w:r>
    </w:p>
    <w:p w:rsidR="003E24B5" w:rsidRPr="002A3282" w:rsidRDefault="003E24B5" w:rsidP="00162446">
      <w:pPr>
        <w:pStyle w:val="ListParagraph"/>
        <w:numPr>
          <w:ilvl w:val="0"/>
          <w:numId w:val="54"/>
        </w:numPr>
        <w:spacing w:before="120" w:after="120"/>
        <w:jc w:val="left"/>
        <w:rPr>
          <w:rFonts w:cs="Arial"/>
          <w:szCs w:val="20"/>
        </w:rPr>
      </w:pPr>
      <w:r w:rsidRPr="002A3282">
        <w:rPr>
          <w:rFonts w:cs="Arial"/>
        </w:rPr>
        <w:t>Does not require written policies for hygiene, eating and drinking to reduce worker exposure to</w:t>
      </w:r>
      <w:r w:rsidRPr="002A3282">
        <w:rPr>
          <w:rFonts w:cs="Arial"/>
          <w:i/>
          <w:szCs w:val="20"/>
        </w:rPr>
        <w:t xml:space="preserve"> </w:t>
      </w:r>
      <w:r w:rsidRPr="002A3282">
        <w:rPr>
          <w:rFonts w:cs="Arial"/>
          <w:szCs w:val="20"/>
        </w:rPr>
        <w:t>contaminants</w:t>
      </w:r>
    </w:p>
    <w:p w:rsidR="003E24B5" w:rsidRPr="002A3282" w:rsidRDefault="003E24B5" w:rsidP="00162446">
      <w:pPr>
        <w:pStyle w:val="ListParagraph"/>
        <w:numPr>
          <w:ilvl w:val="0"/>
          <w:numId w:val="54"/>
        </w:numPr>
        <w:spacing w:before="120" w:after="120"/>
        <w:jc w:val="left"/>
        <w:rPr>
          <w:rFonts w:cs="Arial"/>
          <w:szCs w:val="20"/>
        </w:rPr>
      </w:pPr>
      <w:r w:rsidRPr="002A3282">
        <w:rPr>
          <w:rFonts w:cs="Arial"/>
          <w:szCs w:val="20"/>
        </w:rPr>
        <w:t>Does not require establishment of health and safety committee</w:t>
      </w:r>
    </w:p>
    <w:p w:rsidR="003E24B5" w:rsidRPr="002A3282" w:rsidRDefault="003E24B5" w:rsidP="00162446">
      <w:pPr>
        <w:pStyle w:val="ListParagraph"/>
        <w:numPr>
          <w:ilvl w:val="0"/>
          <w:numId w:val="54"/>
        </w:numPr>
        <w:spacing w:before="120" w:after="120"/>
        <w:jc w:val="left"/>
        <w:rPr>
          <w:rFonts w:cs="Arial"/>
          <w:szCs w:val="20"/>
        </w:rPr>
      </w:pPr>
      <w:r w:rsidRPr="002A3282">
        <w:rPr>
          <w:rFonts w:cs="Arial"/>
          <w:szCs w:val="20"/>
        </w:rPr>
        <w:t>No specification on amount that can be stored at any given time</w:t>
      </w:r>
    </w:p>
    <w:p w:rsidR="003E24B5" w:rsidRPr="002A3282" w:rsidRDefault="003E24B5" w:rsidP="00162446">
      <w:pPr>
        <w:pStyle w:val="ListParagraph"/>
        <w:numPr>
          <w:ilvl w:val="0"/>
          <w:numId w:val="54"/>
        </w:numPr>
        <w:spacing w:before="120" w:after="120"/>
        <w:jc w:val="left"/>
        <w:rPr>
          <w:rFonts w:cs="Arial"/>
          <w:szCs w:val="20"/>
        </w:rPr>
      </w:pPr>
      <w:r w:rsidRPr="002A3282">
        <w:rPr>
          <w:rFonts w:cs="Arial"/>
          <w:szCs w:val="20"/>
        </w:rPr>
        <w:t>No data security required</w:t>
      </w:r>
    </w:p>
    <w:p w:rsidR="003E24B5" w:rsidRPr="002A3282" w:rsidRDefault="003E24B5" w:rsidP="00162446">
      <w:pPr>
        <w:pStyle w:val="ListParagraph"/>
        <w:numPr>
          <w:ilvl w:val="0"/>
          <w:numId w:val="54"/>
        </w:numPr>
        <w:spacing w:before="120" w:after="120"/>
        <w:jc w:val="left"/>
        <w:rPr>
          <w:rFonts w:cs="Arial"/>
          <w:szCs w:val="20"/>
        </w:rPr>
      </w:pPr>
      <w:r w:rsidRPr="002A3282">
        <w:rPr>
          <w:rFonts w:cs="Arial"/>
          <w:szCs w:val="20"/>
        </w:rPr>
        <w:t>No specific requirements for CRTs and flat panel displays</w:t>
      </w:r>
    </w:p>
    <w:p w:rsidR="003E24B5" w:rsidRDefault="003E24B5">
      <w:pPr>
        <w:spacing w:after="0"/>
        <w:jc w:val="left"/>
        <w:rPr>
          <w:rFonts w:cs="Arial"/>
          <w:b/>
          <w:color w:val="235F2A"/>
          <w:sz w:val="24"/>
          <w:szCs w:val="24"/>
        </w:rPr>
      </w:pPr>
      <w:bookmarkStart w:id="9" w:name="_Toc283987148"/>
      <w:bookmarkStart w:id="10" w:name="_Toc283987216"/>
      <w:bookmarkStart w:id="11" w:name="_Toc283989829"/>
      <w:bookmarkStart w:id="12" w:name="_Toc284149822"/>
      <w:r>
        <w:br w:type="page"/>
      </w:r>
    </w:p>
    <w:p w:rsidR="003E24B5" w:rsidRDefault="003E24B5" w:rsidP="000B1D1C">
      <w:pPr>
        <w:pStyle w:val="KMHNumberheading20"/>
        <w:ind w:left="0" w:firstLine="0"/>
      </w:pPr>
      <w:bookmarkStart w:id="13" w:name="_Toc284150874"/>
      <w:bookmarkStart w:id="14" w:name="_Toc284232015"/>
      <w:bookmarkStart w:id="15" w:name="_Toc287018224"/>
      <w:r>
        <w:lastRenderedPageBreak/>
        <w:t>Recommendations - Risk</w:t>
      </w:r>
      <w:bookmarkEnd w:id="9"/>
      <w:bookmarkEnd w:id="10"/>
      <w:bookmarkEnd w:id="11"/>
      <w:bookmarkEnd w:id="12"/>
      <w:bookmarkEnd w:id="13"/>
      <w:bookmarkEnd w:id="14"/>
      <w:bookmarkEnd w:id="15"/>
    </w:p>
    <w:p w:rsidR="003E24B5" w:rsidRDefault="003E24B5" w:rsidP="000B1D1C">
      <w:r w:rsidRPr="00401549">
        <w:t>The risk assessment process recommends a number of opportunities for improvement prior to consideration by the Regulator of the DIIS</w:t>
      </w:r>
      <w:r>
        <w:t>. Our recommendations are to:</w:t>
      </w:r>
    </w:p>
    <w:p w:rsidR="003E24B5" w:rsidRPr="001E31CF" w:rsidRDefault="003E24B5" w:rsidP="00162446">
      <w:pPr>
        <w:pStyle w:val="ListParagraph"/>
        <w:numPr>
          <w:ilvl w:val="0"/>
          <w:numId w:val="61"/>
        </w:numPr>
        <w:spacing w:after="120"/>
        <w:contextualSpacing w:val="0"/>
        <w:rPr>
          <w:i/>
          <w:u w:val="single"/>
        </w:rPr>
      </w:pPr>
      <w:r w:rsidRPr="001E31CF">
        <w:rPr>
          <w:i/>
          <w:u w:val="single"/>
        </w:rPr>
        <w:t>Develop</w:t>
      </w:r>
      <w:r>
        <w:rPr>
          <w:i/>
          <w:u w:val="single"/>
        </w:rPr>
        <w:t xml:space="preserve"> an </w:t>
      </w:r>
      <w:r w:rsidRPr="001E31CF">
        <w:rPr>
          <w:i/>
          <w:u w:val="single"/>
        </w:rPr>
        <w:t>education/training/familiarisation plan to accompany DIIS</w:t>
      </w:r>
      <w:r>
        <w:rPr>
          <w:i/>
          <w:u w:val="single"/>
        </w:rPr>
        <w:t>;</w:t>
      </w:r>
      <w:r w:rsidRPr="00FE383B">
        <w:rPr>
          <w:i/>
          <w:u w:val="single"/>
        </w:rPr>
        <w:t xml:space="preserve"> </w:t>
      </w:r>
    </w:p>
    <w:p w:rsidR="003E24B5" w:rsidRPr="00296802" w:rsidRDefault="003E24B5" w:rsidP="00162446">
      <w:pPr>
        <w:pStyle w:val="ListParagraph"/>
        <w:numPr>
          <w:ilvl w:val="0"/>
          <w:numId w:val="61"/>
        </w:numPr>
        <w:spacing w:after="120"/>
        <w:contextualSpacing w:val="0"/>
        <w:rPr>
          <w:i/>
          <w:u w:val="single"/>
        </w:rPr>
      </w:pPr>
      <w:r w:rsidRPr="00296802">
        <w:rPr>
          <w:i/>
          <w:u w:val="single"/>
        </w:rPr>
        <w:t xml:space="preserve">Implement </w:t>
      </w:r>
      <w:r>
        <w:rPr>
          <w:i/>
          <w:u w:val="single"/>
        </w:rPr>
        <w:t xml:space="preserve">the </w:t>
      </w:r>
      <w:r w:rsidRPr="00296802">
        <w:rPr>
          <w:i/>
          <w:u w:val="single"/>
        </w:rPr>
        <w:t>risk treatment plan</w:t>
      </w:r>
      <w:r>
        <w:rPr>
          <w:i/>
          <w:u w:val="single"/>
        </w:rPr>
        <w:t>;</w:t>
      </w:r>
    </w:p>
    <w:p w:rsidR="003E24B5" w:rsidRPr="00B63FEF" w:rsidRDefault="003E24B5" w:rsidP="00162446">
      <w:pPr>
        <w:pStyle w:val="ListParagraph"/>
        <w:numPr>
          <w:ilvl w:val="0"/>
          <w:numId w:val="61"/>
        </w:numPr>
        <w:spacing w:after="120"/>
        <w:contextualSpacing w:val="0"/>
      </w:pPr>
      <w:r>
        <w:rPr>
          <w:i/>
          <w:u w:val="single"/>
        </w:rPr>
        <w:t>Adopt</w:t>
      </w:r>
      <w:r w:rsidRPr="00B63FEF">
        <w:rPr>
          <w:i/>
          <w:u w:val="single"/>
        </w:rPr>
        <w:t xml:space="preserve"> additional control measures for medium risks</w:t>
      </w:r>
      <w:r>
        <w:t>;</w:t>
      </w:r>
    </w:p>
    <w:p w:rsidR="003E24B5" w:rsidRDefault="003E24B5" w:rsidP="00162446">
      <w:pPr>
        <w:pStyle w:val="ListParagraph"/>
        <w:numPr>
          <w:ilvl w:val="0"/>
          <w:numId w:val="61"/>
        </w:numPr>
        <w:spacing w:after="120"/>
        <w:contextualSpacing w:val="0"/>
      </w:pPr>
      <w:r>
        <w:rPr>
          <w:i/>
          <w:u w:val="single"/>
        </w:rPr>
        <w:t>Formalise Appendix 1 as prescriptive requirements;</w:t>
      </w:r>
    </w:p>
    <w:p w:rsidR="003E24B5" w:rsidRDefault="003E24B5" w:rsidP="00162446">
      <w:pPr>
        <w:pStyle w:val="ListParagraph"/>
        <w:numPr>
          <w:ilvl w:val="0"/>
          <w:numId w:val="61"/>
        </w:numPr>
        <w:spacing w:after="120"/>
        <w:contextualSpacing w:val="0"/>
      </w:pPr>
      <w:r>
        <w:rPr>
          <w:i/>
          <w:u w:val="single"/>
        </w:rPr>
        <w:t>Develop and communicate an auditing regime to ensure operational best practice throughout the industry</w:t>
      </w:r>
      <w:r>
        <w:t>;</w:t>
      </w:r>
    </w:p>
    <w:p w:rsidR="003E24B5" w:rsidRPr="00401549" w:rsidRDefault="003E24B5" w:rsidP="00162446">
      <w:pPr>
        <w:pStyle w:val="ListParagraph"/>
        <w:numPr>
          <w:ilvl w:val="0"/>
          <w:numId w:val="61"/>
        </w:numPr>
        <w:spacing w:after="120"/>
        <w:contextualSpacing w:val="0"/>
        <w:rPr>
          <w:i/>
        </w:rPr>
      </w:pPr>
      <w:r w:rsidRPr="00D14924">
        <w:rPr>
          <w:i/>
          <w:u w:val="single"/>
        </w:rPr>
        <w:t>Add written policies for hygiene, eating and drinking</w:t>
      </w:r>
      <w:r>
        <w:rPr>
          <w:i/>
          <w:u w:val="single"/>
        </w:rPr>
        <w:t>; and</w:t>
      </w:r>
    </w:p>
    <w:p w:rsidR="003E24B5" w:rsidRPr="00FE383B" w:rsidRDefault="003E24B5" w:rsidP="00162446">
      <w:pPr>
        <w:pStyle w:val="ListParagraph"/>
        <w:numPr>
          <w:ilvl w:val="0"/>
          <w:numId w:val="61"/>
        </w:numPr>
        <w:spacing w:after="120"/>
        <w:contextualSpacing w:val="0"/>
        <w:rPr>
          <w:i/>
          <w:u w:val="single"/>
        </w:rPr>
      </w:pPr>
      <w:r w:rsidRPr="001E31CF">
        <w:rPr>
          <w:i/>
          <w:u w:val="single"/>
        </w:rPr>
        <w:t>Consider International obligations</w:t>
      </w:r>
      <w:r>
        <w:rPr>
          <w:i/>
          <w:u w:val="single"/>
        </w:rPr>
        <w:t xml:space="preserve"> (DSEWPaC)</w:t>
      </w:r>
    </w:p>
    <w:p w:rsidR="003E24B5" w:rsidRDefault="003E24B5" w:rsidP="0043001F">
      <w:pPr>
        <w:pStyle w:val="KMHNumberheading20"/>
        <w:spacing w:before="240"/>
        <w:ind w:left="0" w:firstLine="0"/>
      </w:pPr>
      <w:bookmarkStart w:id="16" w:name="_Toc283987149"/>
      <w:bookmarkStart w:id="17" w:name="_Toc283987217"/>
      <w:bookmarkStart w:id="18" w:name="_Toc283989830"/>
      <w:bookmarkStart w:id="19" w:name="_Toc284149823"/>
      <w:bookmarkStart w:id="20" w:name="_Toc284150875"/>
      <w:bookmarkStart w:id="21" w:name="_Toc284232016"/>
      <w:bookmarkStart w:id="22" w:name="_Toc287018225"/>
      <w:r>
        <w:t>Cost implications of the DIIS</w:t>
      </w:r>
      <w:bookmarkEnd w:id="16"/>
      <w:bookmarkEnd w:id="17"/>
      <w:bookmarkEnd w:id="18"/>
      <w:bookmarkEnd w:id="19"/>
      <w:bookmarkEnd w:id="20"/>
      <w:bookmarkEnd w:id="21"/>
      <w:bookmarkEnd w:id="22"/>
    </w:p>
    <w:p w:rsidR="003E24B5" w:rsidRDefault="003E24B5" w:rsidP="0043001F">
      <w:pPr>
        <w:spacing w:after="120"/>
      </w:pPr>
      <w:r>
        <w:t xml:space="preserve">The </w:t>
      </w:r>
      <w:r w:rsidRPr="00BC789B">
        <w:t>costs have been estimated only as they would be borne by scheme participants in implementing the requirements of the DIIS.  These can broadly be described as:</w:t>
      </w:r>
    </w:p>
    <w:p w:rsidR="003E24B5" w:rsidRPr="004464B8" w:rsidRDefault="003E24B5" w:rsidP="007F7506">
      <w:pPr>
        <w:spacing w:after="120"/>
      </w:pPr>
      <w:r w:rsidRPr="004464B8">
        <w:t>For collection locations and transporters:</w:t>
      </w:r>
    </w:p>
    <w:p w:rsidR="003E24B5" w:rsidRPr="004464B8" w:rsidRDefault="003E24B5" w:rsidP="00162446">
      <w:pPr>
        <w:pStyle w:val="ListParagraph"/>
        <w:numPr>
          <w:ilvl w:val="0"/>
          <w:numId w:val="9"/>
        </w:numPr>
        <w:spacing w:before="60" w:after="120"/>
        <w:jc w:val="left"/>
        <w:rPr>
          <w:rFonts w:cs="Arial"/>
        </w:rPr>
      </w:pPr>
      <w:r w:rsidRPr="004464B8">
        <w:rPr>
          <w:rFonts w:cs="Arial"/>
          <w:szCs w:val="20"/>
        </w:rPr>
        <w:t>System establishment and maintenance to DIIS requirements</w:t>
      </w:r>
    </w:p>
    <w:p w:rsidR="003E24B5" w:rsidRPr="004464B8" w:rsidRDefault="003E24B5" w:rsidP="00162446">
      <w:pPr>
        <w:pStyle w:val="ListParagraph"/>
        <w:numPr>
          <w:ilvl w:val="0"/>
          <w:numId w:val="9"/>
        </w:numPr>
        <w:spacing w:before="60" w:after="120"/>
        <w:jc w:val="left"/>
      </w:pPr>
      <w:r w:rsidRPr="004464B8">
        <w:t>Periodic random audits (collection locations only)</w:t>
      </w:r>
    </w:p>
    <w:p w:rsidR="003E24B5" w:rsidRPr="004464B8" w:rsidRDefault="003E24B5" w:rsidP="00162446">
      <w:pPr>
        <w:pStyle w:val="ListParagraph"/>
        <w:numPr>
          <w:ilvl w:val="0"/>
          <w:numId w:val="9"/>
        </w:numPr>
        <w:spacing w:before="60" w:after="120"/>
        <w:jc w:val="left"/>
      </w:pPr>
      <w:r w:rsidRPr="004464B8">
        <w:t>Establishment of data collection and record keeping systems associated with reporting (collection locations only)</w:t>
      </w:r>
    </w:p>
    <w:p w:rsidR="003E24B5" w:rsidRPr="004464B8" w:rsidRDefault="003E24B5" w:rsidP="00162446">
      <w:pPr>
        <w:pStyle w:val="ListParagraph"/>
        <w:numPr>
          <w:ilvl w:val="0"/>
          <w:numId w:val="9"/>
        </w:numPr>
        <w:spacing w:before="60" w:after="120"/>
        <w:ind w:left="714" w:hanging="357"/>
      </w:pPr>
      <w:r w:rsidRPr="004464B8">
        <w:t>Reporting to PSO (collection locations only)</w:t>
      </w:r>
    </w:p>
    <w:p w:rsidR="003E24B5" w:rsidRPr="004464B8" w:rsidRDefault="003E24B5" w:rsidP="007F7506">
      <w:pPr>
        <w:spacing w:after="120"/>
      </w:pPr>
      <w:r w:rsidRPr="004464B8">
        <w:t>For primary recyclers:</w:t>
      </w:r>
    </w:p>
    <w:p w:rsidR="003E24B5" w:rsidRPr="004464B8" w:rsidRDefault="003E24B5" w:rsidP="00162446">
      <w:pPr>
        <w:pStyle w:val="ListParagraph"/>
        <w:numPr>
          <w:ilvl w:val="0"/>
          <w:numId w:val="10"/>
        </w:numPr>
        <w:spacing w:before="60" w:after="120"/>
        <w:jc w:val="left"/>
        <w:rPr>
          <w:rFonts w:cs="Arial"/>
        </w:rPr>
      </w:pPr>
      <w:r w:rsidRPr="004464B8">
        <w:rPr>
          <w:rFonts w:cs="Arial"/>
          <w:szCs w:val="20"/>
        </w:rPr>
        <w:t>EMS establishment and maintenance</w:t>
      </w:r>
    </w:p>
    <w:p w:rsidR="003E24B5" w:rsidRPr="004464B8" w:rsidRDefault="003E24B5" w:rsidP="00162446">
      <w:pPr>
        <w:pStyle w:val="ListParagraph"/>
        <w:numPr>
          <w:ilvl w:val="0"/>
          <w:numId w:val="10"/>
        </w:numPr>
        <w:spacing w:before="60" w:after="120"/>
      </w:pPr>
      <w:r w:rsidRPr="004464B8">
        <w:t>ISO 14001 certification of EMS</w:t>
      </w:r>
    </w:p>
    <w:p w:rsidR="003E24B5" w:rsidRPr="004464B8" w:rsidRDefault="003E24B5" w:rsidP="00162446">
      <w:pPr>
        <w:pStyle w:val="ListParagraph"/>
        <w:numPr>
          <w:ilvl w:val="0"/>
          <w:numId w:val="10"/>
        </w:numPr>
        <w:spacing w:before="60" w:after="120"/>
        <w:ind w:left="714" w:hanging="357"/>
        <w:jc w:val="left"/>
      </w:pPr>
      <w:r w:rsidRPr="004464B8">
        <w:t>Requirements of DIIS likely to be additional to ISO 14001 such as environmental monitoring (air quality and noise), establishment of data collection and record keeping systems associated with reporting, reporting to PSO and downstream processor management</w:t>
      </w:r>
    </w:p>
    <w:p w:rsidR="003E24B5" w:rsidRDefault="003E24B5" w:rsidP="00E45096">
      <w:pPr>
        <w:pStyle w:val="Caption"/>
        <w:rPr>
          <w:b w:val="0"/>
          <w:bCs w:val="0"/>
          <w:color w:val="auto"/>
          <w:sz w:val="20"/>
          <w:szCs w:val="22"/>
        </w:rPr>
      </w:pPr>
      <w:r>
        <w:rPr>
          <w:b w:val="0"/>
          <w:bCs w:val="0"/>
          <w:color w:val="auto"/>
          <w:sz w:val="20"/>
          <w:szCs w:val="22"/>
        </w:rPr>
        <w:t>Estimates for annualised costs averaged over three years and first year costs, for each program participant, are summarised below.</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19"/>
        <w:gridCol w:w="1985"/>
        <w:gridCol w:w="3118"/>
      </w:tblGrid>
      <w:tr w:rsidR="0043001F" w:rsidRPr="004F72F0" w:rsidTr="0043001F">
        <w:tc>
          <w:tcPr>
            <w:tcW w:w="4219" w:type="dxa"/>
            <w:shd w:val="clear" w:color="auto" w:fill="BFBFBF"/>
            <w:vAlign w:val="center"/>
          </w:tcPr>
          <w:p w:rsidR="0043001F" w:rsidRPr="008E5549" w:rsidRDefault="0043001F" w:rsidP="0043001F">
            <w:pPr>
              <w:jc w:val="center"/>
              <w:rPr>
                <w:b/>
              </w:rPr>
            </w:pPr>
            <w:r w:rsidRPr="008E5549">
              <w:rPr>
                <w:b/>
              </w:rPr>
              <w:t>Program Participant</w:t>
            </w:r>
          </w:p>
        </w:tc>
        <w:tc>
          <w:tcPr>
            <w:tcW w:w="1985" w:type="dxa"/>
            <w:shd w:val="clear" w:color="auto" w:fill="BFBFBF"/>
            <w:vAlign w:val="center"/>
          </w:tcPr>
          <w:p w:rsidR="0043001F" w:rsidRPr="008E5549" w:rsidRDefault="0043001F" w:rsidP="0043001F">
            <w:pPr>
              <w:jc w:val="center"/>
              <w:rPr>
                <w:b/>
              </w:rPr>
            </w:pPr>
            <w:r w:rsidRPr="008E5549">
              <w:rPr>
                <w:b/>
              </w:rPr>
              <w:t>Estimated annual cost ($) per entity</w:t>
            </w:r>
          </w:p>
        </w:tc>
        <w:tc>
          <w:tcPr>
            <w:tcW w:w="3118" w:type="dxa"/>
            <w:shd w:val="clear" w:color="auto" w:fill="BFBFBF"/>
            <w:vAlign w:val="center"/>
          </w:tcPr>
          <w:p w:rsidR="0043001F" w:rsidRPr="008E5549" w:rsidRDefault="0043001F" w:rsidP="0043001F">
            <w:pPr>
              <w:jc w:val="center"/>
              <w:rPr>
                <w:b/>
              </w:rPr>
            </w:pPr>
            <w:r w:rsidRPr="008E5549">
              <w:rPr>
                <w:b/>
              </w:rPr>
              <w:t>Estimated first year cost ($) per entity</w:t>
            </w:r>
          </w:p>
        </w:tc>
      </w:tr>
      <w:tr w:rsidR="0043001F" w:rsidRPr="006E04FC" w:rsidTr="0043001F">
        <w:tc>
          <w:tcPr>
            <w:tcW w:w="4219" w:type="dxa"/>
          </w:tcPr>
          <w:p w:rsidR="0043001F" w:rsidRPr="008E5549" w:rsidRDefault="0043001F" w:rsidP="0043001F">
            <w:pPr>
              <w:spacing w:before="60" w:after="120"/>
              <w:jc w:val="left"/>
              <w:rPr>
                <w:rFonts w:cs="Arial"/>
                <w:szCs w:val="20"/>
              </w:rPr>
            </w:pPr>
            <w:r w:rsidRPr="008E5549">
              <w:rPr>
                <w:rFonts w:cs="Arial"/>
                <w:szCs w:val="20"/>
              </w:rPr>
              <w:t>Collection location</w:t>
            </w:r>
          </w:p>
        </w:tc>
        <w:tc>
          <w:tcPr>
            <w:tcW w:w="1985" w:type="dxa"/>
          </w:tcPr>
          <w:p w:rsidR="0043001F" w:rsidRPr="00937A4E" w:rsidRDefault="0043001F" w:rsidP="0043001F">
            <w:pPr>
              <w:spacing w:before="60" w:after="120"/>
              <w:jc w:val="center"/>
              <w:rPr>
                <w:rFonts w:cs="Arial"/>
                <w:szCs w:val="20"/>
              </w:rPr>
            </w:pPr>
            <w:r w:rsidRPr="00937A4E">
              <w:t>$5,200 - $6,200</w:t>
            </w:r>
          </w:p>
        </w:tc>
        <w:tc>
          <w:tcPr>
            <w:tcW w:w="3118" w:type="dxa"/>
          </w:tcPr>
          <w:p w:rsidR="0043001F" w:rsidRPr="008E5549" w:rsidRDefault="0043001F" w:rsidP="0043001F">
            <w:pPr>
              <w:spacing w:before="60" w:after="120"/>
              <w:jc w:val="center"/>
              <w:rPr>
                <w:rFonts w:cs="Arial"/>
                <w:szCs w:val="20"/>
              </w:rPr>
            </w:pPr>
            <w:r w:rsidRPr="00634D6C">
              <w:t>$</w:t>
            </w:r>
            <w:r>
              <w:t>9,500-$12,500</w:t>
            </w:r>
          </w:p>
        </w:tc>
      </w:tr>
      <w:tr w:rsidR="0043001F" w:rsidTr="0043001F">
        <w:tc>
          <w:tcPr>
            <w:tcW w:w="4219" w:type="dxa"/>
          </w:tcPr>
          <w:p w:rsidR="0043001F" w:rsidRDefault="0043001F" w:rsidP="0043001F">
            <w:pPr>
              <w:spacing w:before="60" w:after="120"/>
            </w:pPr>
            <w:r>
              <w:t>Transporter company</w:t>
            </w:r>
          </w:p>
        </w:tc>
        <w:tc>
          <w:tcPr>
            <w:tcW w:w="1985" w:type="dxa"/>
          </w:tcPr>
          <w:p w:rsidR="0043001F" w:rsidRPr="008E5549" w:rsidRDefault="0043001F" w:rsidP="0043001F">
            <w:pPr>
              <w:spacing w:before="60" w:after="120"/>
              <w:jc w:val="center"/>
              <w:rPr>
                <w:rFonts w:cs="Arial"/>
                <w:szCs w:val="20"/>
              </w:rPr>
            </w:pPr>
            <w:r w:rsidRPr="00634D6C">
              <w:t>$</w:t>
            </w:r>
            <w:r>
              <w:t>0</w:t>
            </w:r>
          </w:p>
        </w:tc>
        <w:tc>
          <w:tcPr>
            <w:tcW w:w="3118" w:type="dxa"/>
          </w:tcPr>
          <w:p w:rsidR="0043001F" w:rsidRPr="008E5549" w:rsidRDefault="0043001F" w:rsidP="0043001F">
            <w:pPr>
              <w:spacing w:before="60" w:after="120"/>
              <w:jc w:val="center"/>
              <w:rPr>
                <w:rFonts w:cs="Arial"/>
                <w:szCs w:val="20"/>
              </w:rPr>
            </w:pPr>
            <w:r w:rsidRPr="00634D6C">
              <w:t>$</w:t>
            </w:r>
            <w:r>
              <w:t>0</w:t>
            </w:r>
          </w:p>
        </w:tc>
      </w:tr>
      <w:tr w:rsidR="0043001F" w:rsidRPr="0044602F" w:rsidTr="0043001F">
        <w:tc>
          <w:tcPr>
            <w:tcW w:w="4219" w:type="dxa"/>
          </w:tcPr>
          <w:p w:rsidR="0043001F" w:rsidRPr="00C83A90" w:rsidRDefault="0043001F" w:rsidP="0043001F">
            <w:pPr>
              <w:spacing w:before="60" w:after="120"/>
              <w:jc w:val="left"/>
            </w:pPr>
            <w:r>
              <w:t>Recycler</w:t>
            </w:r>
          </w:p>
        </w:tc>
        <w:tc>
          <w:tcPr>
            <w:tcW w:w="1985" w:type="dxa"/>
          </w:tcPr>
          <w:p w:rsidR="0043001F" w:rsidRPr="00634D6C" w:rsidRDefault="0043001F" w:rsidP="0043001F">
            <w:pPr>
              <w:spacing w:before="60" w:after="120"/>
              <w:jc w:val="center"/>
            </w:pPr>
            <w:r w:rsidRPr="00634D6C">
              <w:t>$</w:t>
            </w:r>
            <w:r>
              <w:t>13,000</w:t>
            </w:r>
          </w:p>
        </w:tc>
        <w:tc>
          <w:tcPr>
            <w:tcW w:w="3118" w:type="dxa"/>
          </w:tcPr>
          <w:p w:rsidR="0043001F" w:rsidRPr="008E5549" w:rsidRDefault="0043001F" w:rsidP="0043001F">
            <w:pPr>
              <w:spacing w:before="60" w:after="120"/>
              <w:jc w:val="center"/>
              <w:rPr>
                <w:rFonts w:cs="Arial"/>
                <w:szCs w:val="20"/>
              </w:rPr>
            </w:pPr>
            <w:r w:rsidRPr="00634D6C">
              <w:t>$</w:t>
            </w:r>
            <w:r>
              <w:t>22,000</w:t>
            </w:r>
          </w:p>
        </w:tc>
      </w:tr>
    </w:tbl>
    <w:p w:rsidR="0043001F" w:rsidRDefault="0043001F" w:rsidP="00235045">
      <w:pPr>
        <w:spacing w:before="240" w:after="120"/>
      </w:pPr>
      <w:bookmarkStart w:id="23" w:name="_Toc283987150"/>
      <w:bookmarkStart w:id="24" w:name="_Toc283987218"/>
      <w:bookmarkStart w:id="25" w:name="_Toc283989831"/>
      <w:bookmarkStart w:id="26" w:name="_Toc284149824"/>
      <w:bookmarkStart w:id="27" w:name="_Toc284150876"/>
      <w:bookmarkStart w:id="28" w:name="_Toc284232017"/>
      <w:r>
        <w:t xml:space="preserve">The DIIS imposes low to negligible cost to all </w:t>
      </w:r>
      <w:r w:rsidR="00BD4439">
        <w:t>three</w:t>
      </w:r>
      <w:r>
        <w:t xml:space="preserve"> participants, where they are an existing business carrying out these activities.  This is because so much of the DIIS’s requirements are already in place as ‘business as usual’ activities for these companies.</w:t>
      </w:r>
    </w:p>
    <w:p w:rsidR="0043001F" w:rsidRDefault="0043001F" w:rsidP="00235045">
      <w:pPr>
        <w:spacing w:after="120"/>
      </w:pPr>
      <w:r>
        <w:t>While costs to new entrants are much higher (as shown in Table 7), subtracting out those costs of DIIS compliance that can be demonstrated to be ‘business as usual’ for entry into this market, regardless of the presence of the DIIS, reduces new entrant costs to be identical to those for existing service providers (see table above).  These figures are the true costs of DIIS implementation for all providers, i.e. those that can be attributed to DIIS compliance over and above any existing industry norms or legal requirements.</w:t>
      </w:r>
    </w:p>
    <w:p w:rsidR="0043001F" w:rsidRDefault="0043001F" w:rsidP="00235045">
      <w:pPr>
        <w:spacing w:after="120"/>
      </w:pPr>
      <w:r>
        <w:t>Accounting for these as inherent costs of doing business in this sector, which also happen to be required by the DIIS, the DIIS does not pose an unreasonable burden, or provide a financial barrier, to new entrants.</w:t>
      </w:r>
    </w:p>
    <w:p w:rsidR="0043001F" w:rsidRDefault="0043001F" w:rsidP="00235045">
      <w:pPr>
        <w:spacing w:after="120"/>
      </w:pPr>
      <w:r>
        <w:t xml:space="preserve">The requirement for recyclers of certification to a standard such as ISO 14001 is appropriate to maximise the chance of mitigating these risks, which comes at a cost. Because such systems are pre-existing for most current players the estimated additional cost of </w:t>
      </w:r>
      <w:r w:rsidRPr="00634D6C">
        <w:t>$52,000 - $88,000</w:t>
      </w:r>
      <w:r>
        <w:t xml:space="preserve"> per annum can more accurately be seen as only $13,000 per annum for the majority.</w:t>
      </w:r>
    </w:p>
    <w:p w:rsidR="0043001F" w:rsidRDefault="0043001F" w:rsidP="0043001F">
      <w:r>
        <w:lastRenderedPageBreak/>
        <w:t xml:space="preserve">Put another way, even at $88,000 per year, the impact to recyclers is 1% of the potential share of contracts likely to be available to them from the program by the end of year 3. </w:t>
      </w:r>
    </w:p>
    <w:p w:rsidR="003E24B5" w:rsidRDefault="003E24B5" w:rsidP="00EF4104">
      <w:pPr>
        <w:pStyle w:val="KMHNumberheading20"/>
        <w:ind w:left="0" w:firstLine="0"/>
      </w:pPr>
      <w:bookmarkStart w:id="29" w:name="_Toc287018226"/>
      <w:r>
        <w:t>Recommendations - Cost</w:t>
      </w:r>
      <w:bookmarkEnd w:id="23"/>
      <w:bookmarkEnd w:id="24"/>
      <w:bookmarkEnd w:id="25"/>
      <w:bookmarkEnd w:id="26"/>
      <w:bookmarkEnd w:id="27"/>
      <w:bookmarkEnd w:id="28"/>
      <w:bookmarkEnd w:id="29"/>
    </w:p>
    <w:p w:rsidR="003E24B5" w:rsidRPr="00D14924" w:rsidRDefault="003E24B5" w:rsidP="00162446">
      <w:pPr>
        <w:pStyle w:val="ListParagraph"/>
        <w:numPr>
          <w:ilvl w:val="0"/>
          <w:numId w:val="51"/>
        </w:numPr>
        <w:spacing w:after="120"/>
        <w:contextualSpacing w:val="0"/>
      </w:pPr>
      <w:r w:rsidRPr="00EF4104">
        <w:rPr>
          <w:i/>
          <w:u w:val="single"/>
        </w:rPr>
        <w:t>No changes to the DIIS</w:t>
      </w:r>
      <w:r w:rsidRPr="00D14924">
        <w:t xml:space="preserve"> are recommended directly as a result of the cost burdens estimated in</w:t>
      </w:r>
      <w:r>
        <w:t xml:space="preserve"> Section 4 of</w:t>
      </w:r>
      <w:r w:rsidRPr="00D14924">
        <w:t xml:space="preserve"> this report.</w:t>
      </w:r>
    </w:p>
    <w:p w:rsidR="003E24B5" w:rsidRDefault="003E24B5" w:rsidP="00162446">
      <w:pPr>
        <w:pStyle w:val="ListParagraph"/>
        <w:numPr>
          <w:ilvl w:val="0"/>
          <w:numId w:val="51"/>
        </w:numPr>
        <w:spacing w:after="120"/>
        <w:contextualSpacing w:val="0"/>
      </w:pPr>
      <w:r w:rsidRPr="00EF4104">
        <w:rPr>
          <w:i/>
          <w:u w:val="single"/>
        </w:rPr>
        <w:t>ISO 14001 Requirement timing</w:t>
      </w:r>
      <w:r>
        <w:t xml:space="preserve"> </w:t>
      </w:r>
      <w:r w:rsidRPr="00B63FEF">
        <w:t xml:space="preserve">- </w:t>
      </w:r>
      <w:r>
        <w:t>ISO 14001 should be set as a requirement from day one since it is the most effective option to prevent the occurrence of incidents related to environmental or occupational health and safety. However, there may be circumstances where there is a legitimate advantage to contracting a non-ISO 14001-certified recycler, such as to minimise transport costs/ emissions by using a local provider in a remote location, or where the environmental outcome may clearly be more beneficial through using a non-certified supplier over a certified one.  It is recommended to allow for this situation, on the assumption that it will be rare, and that such a decision be subject to:</w:t>
      </w:r>
    </w:p>
    <w:p w:rsidR="003E24B5" w:rsidRDefault="003E24B5" w:rsidP="00162446">
      <w:pPr>
        <w:pStyle w:val="ListParagraph"/>
        <w:numPr>
          <w:ilvl w:val="1"/>
          <w:numId w:val="44"/>
        </w:numPr>
      </w:pPr>
      <w:r>
        <w:t>a risk assessment;</w:t>
      </w:r>
    </w:p>
    <w:p w:rsidR="003E24B5" w:rsidRDefault="003E24B5" w:rsidP="00162446">
      <w:pPr>
        <w:pStyle w:val="ListParagraph"/>
        <w:numPr>
          <w:ilvl w:val="1"/>
          <w:numId w:val="44"/>
        </w:numPr>
      </w:pPr>
      <w:r>
        <w:t xml:space="preserve">the supplier already having a functioning (if not certified) system in place; and </w:t>
      </w:r>
    </w:p>
    <w:p w:rsidR="003E24B5" w:rsidRDefault="003E24B5" w:rsidP="00162446">
      <w:pPr>
        <w:pStyle w:val="ListParagraph"/>
        <w:numPr>
          <w:ilvl w:val="1"/>
          <w:numId w:val="44"/>
        </w:numPr>
      </w:pPr>
      <w:r>
        <w:t>auditing of the supplier be carried out before contracts are established, to satisfy the PSO that it can comply with the DIIS.</w:t>
      </w:r>
    </w:p>
    <w:p w:rsidR="003E24B5" w:rsidRDefault="003E24B5" w:rsidP="00235045">
      <w:pPr>
        <w:pStyle w:val="KMHNumberheading20"/>
        <w:spacing w:before="240"/>
        <w:ind w:left="0" w:firstLine="0"/>
      </w:pPr>
      <w:bookmarkStart w:id="30" w:name="_Toc283987151"/>
      <w:bookmarkStart w:id="31" w:name="_Toc283987219"/>
      <w:bookmarkStart w:id="32" w:name="_Toc283989832"/>
      <w:bookmarkStart w:id="33" w:name="_Toc284149825"/>
      <w:bookmarkStart w:id="34" w:name="_Toc284150877"/>
      <w:bookmarkStart w:id="35" w:name="_Toc284232018"/>
      <w:bookmarkStart w:id="36" w:name="_Toc287018227"/>
      <w:r>
        <w:t>Recommendations - Other</w:t>
      </w:r>
      <w:bookmarkEnd w:id="30"/>
      <w:bookmarkEnd w:id="31"/>
      <w:bookmarkEnd w:id="32"/>
      <w:bookmarkEnd w:id="33"/>
      <w:bookmarkEnd w:id="34"/>
      <w:bookmarkEnd w:id="35"/>
      <w:bookmarkEnd w:id="36"/>
    </w:p>
    <w:p w:rsidR="003E24B5" w:rsidRDefault="003E24B5" w:rsidP="00235045">
      <w:pPr>
        <w:spacing w:after="120"/>
      </w:pPr>
      <w:r>
        <w:t>A number of other recommendations arising from stakeholder comments and our general review of the document are suggested.  These are:</w:t>
      </w:r>
    </w:p>
    <w:p w:rsidR="003E24B5" w:rsidRDefault="003E24B5" w:rsidP="00162446">
      <w:pPr>
        <w:pStyle w:val="ListParagraph"/>
        <w:numPr>
          <w:ilvl w:val="0"/>
          <w:numId w:val="62"/>
        </w:numPr>
        <w:spacing w:after="120"/>
        <w:contextualSpacing w:val="0"/>
      </w:pPr>
      <w:r>
        <w:rPr>
          <w:i/>
          <w:u w:val="single"/>
        </w:rPr>
        <w:t xml:space="preserve">Clarification amendments to the document:- </w:t>
      </w:r>
      <w:r w:rsidRPr="005144C0">
        <w:t>Improve the</w:t>
      </w:r>
      <w:r w:rsidRPr="005E1590">
        <w:t xml:space="preserve"> </w:t>
      </w:r>
      <w:r>
        <w:rPr>
          <w:color w:val="000000"/>
        </w:rPr>
        <w:t xml:space="preserve">purpose and accuracy of the </w:t>
      </w:r>
      <w:r w:rsidRPr="00EF136A">
        <w:rPr>
          <w:color w:val="000000"/>
        </w:rPr>
        <w:t>DIIS</w:t>
      </w:r>
      <w:r w:rsidRPr="00EF136A">
        <w:t xml:space="preserve"> </w:t>
      </w:r>
      <w:r>
        <w:t>by making the following editorial changes:</w:t>
      </w:r>
    </w:p>
    <w:p w:rsidR="003E24B5" w:rsidRDefault="003E24B5" w:rsidP="00162446">
      <w:pPr>
        <w:pStyle w:val="ListParagraph"/>
        <w:numPr>
          <w:ilvl w:val="1"/>
          <w:numId w:val="47"/>
        </w:numPr>
        <w:spacing w:after="120"/>
        <w:contextualSpacing w:val="0"/>
        <w:rPr>
          <w:color w:val="000000"/>
        </w:rPr>
      </w:pPr>
      <w:r w:rsidRPr="00EF136A">
        <w:rPr>
          <w:b/>
        </w:rPr>
        <w:t>Section 1. “Scope</w:t>
      </w:r>
      <w:r>
        <w:t xml:space="preserve">”: </w:t>
      </w:r>
      <w:r w:rsidRPr="00EF136A">
        <w:rPr>
          <w:i/>
          <w:color w:val="000000"/>
        </w:rPr>
        <w:t xml:space="preserve">“This Interim Industry Standard applies to the </w:t>
      </w:r>
      <w:r>
        <w:rPr>
          <w:i/>
          <w:color w:val="FF0000"/>
        </w:rPr>
        <w:t xml:space="preserve">drop-off, </w:t>
      </w:r>
      <w:r>
        <w:rPr>
          <w:i/>
          <w:color w:val="000000"/>
        </w:rPr>
        <w:t xml:space="preserve">collection, transport </w:t>
      </w:r>
      <w:r w:rsidRPr="00EF136A">
        <w:rPr>
          <w:i/>
          <w:color w:val="FF0000"/>
        </w:rPr>
        <w:t>and</w:t>
      </w:r>
      <w:r w:rsidRPr="00EF136A">
        <w:rPr>
          <w:i/>
          <w:color w:val="000000"/>
        </w:rPr>
        <w:t xml:space="preserve"> recycling</w:t>
      </w:r>
      <w:r w:rsidRPr="00EF136A">
        <w:rPr>
          <w:rFonts w:ascii="Arial (W1)" w:hAnsi="Arial (W1)"/>
          <w:i/>
          <w:strike/>
          <w:color w:val="FF0000"/>
        </w:rPr>
        <w:t>, and disposal</w:t>
      </w:r>
      <w:r w:rsidRPr="00EF136A">
        <w:rPr>
          <w:i/>
          <w:color w:val="000000"/>
        </w:rPr>
        <w:t xml:space="preserve"> of products covered under the National Television and Computer Product Stewardship Scheme ie End of Life (EOL) Televisions and Computers</w:t>
      </w:r>
      <w:r w:rsidRPr="00EF136A">
        <w:rPr>
          <w:color w:val="000000"/>
        </w:rPr>
        <w:t>.”</w:t>
      </w:r>
    </w:p>
    <w:p w:rsidR="003E24B5" w:rsidRPr="00EF136A" w:rsidRDefault="003E24B5" w:rsidP="00162446">
      <w:pPr>
        <w:pStyle w:val="ListParagraph"/>
        <w:numPr>
          <w:ilvl w:val="1"/>
          <w:numId w:val="47"/>
        </w:numPr>
        <w:spacing w:after="120"/>
        <w:contextualSpacing w:val="0"/>
        <w:rPr>
          <w:color w:val="000000"/>
        </w:rPr>
      </w:pPr>
      <w:r w:rsidRPr="00EF136A">
        <w:rPr>
          <w:b/>
        </w:rPr>
        <w:t xml:space="preserve">Section </w:t>
      </w:r>
      <w:r>
        <w:rPr>
          <w:b/>
        </w:rPr>
        <w:t>2</w:t>
      </w:r>
      <w:r w:rsidRPr="00EF136A">
        <w:rPr>
          <w:b/>
        </w:rPr>
        <w:t>. “</w:t>
      </w:r>
      <w:r>
        <w:rPr>
          <w:b/>
        </w:rPr>
        <w:t>Application”</w:t>
      </w:r>
      <w:r>
        <w:t>: Include a paragraph clarifying situations where the DIIS must be followed and where it strongly suggested as guidance in non-PSO contracts, ie:</w:t>
      </w:r>
    </w:p>
    <w:p w:rsidR="003E24B5" w:rsidRDefault="003E24B5" w:rsidP="002E76D1">
      <w:pPr>
        <w:spacing w:after="120"/>
        <w:ind w:left="1800"/>
        <w:rPr>
          <w:color w:val="000000"/>
        </w:rPr>
      </w:pPr>
      <w:r>
        <w:rPr>
          <w:color w:val="000000"/>
        </w:rPr>
        <w:t>“The Interim Industry Standard applies to contracts between the PSO and service providers it contracts with.  While not specifically subject to this standard, arrangements between direct service providers and their sub contractors (i.e. downstream processors) should be guided by this standard.”</w:t>
      </w:r>
    </w:p>
    <w:p w:rsidR="003E24B5" w:rsidRPr="00D61CD5" w:rsidRDefault="003E24B5" w:rsidP="00162446">
      <w:pPr>
        <w:pStyle w:val="ListParagraph"/>
        <w:numPr>
          <w:ilvl w:val="1"/>
          <w:numId w:val="47"/>
        </w:numPr>
        <w:spacing w:after="120"/>
        <w:contextualSpacing w:val="0"/>
        <w:rPr>
          <w:b/>
        </w:rPr>
      </w:pPr>
      <w:r w:rsidRPr="00EF136A">
        <w:rPr>
          <w:b/>
        </w:rPr>
        <w:t xml:space="preserve">Section </w:t>
      </w:r>
      <w:r>
        <w:rPr>
          <w:b/>
        </w:rPr>
        <w:t>2</w:t>
      </w:r>
      <w:r w:rsidRPr="00EF136A">
        <w:rPr>
          <w:b/>
        </w:rPr>
        <w:t>. “</w:t>
      </w:r>
      <w:r>
        <w:rPr>
          <w:b/>
        </w:rPr>
        <w:t>Application, Note 1”</w:t>
      </w:r>
      <w:r>
        <w:t xml:space="preserve">:  </w:t>
      </w:r>
      <w:r w:rsidRPr="00EF136A">
        <w:rPr>
          <w:i/>
          <w:color w:val="000000"/>
        </w:rPr>
        <w:t>“</w:t>
      </w:r>
      <w:r>
        <w:rPr>
          <w:i/>
          <w:color w:val="000000"/>
        </w:rPr>
        <w:t xml:space="preserve">However it is expected that an auditing regime will need to be in place under the National Television and Computer Product Stewardship Program to monitor compliance of collection locations </w:t>
      </w:r>
      <w:r w:rsidRPr="00D61CD5">
        <w:rPr>
          <w:i/>
          <w:color w:val="FF0000"/>
        </w:rPr>
        <w:t>and transporters</w:t>
      </w:r>
      <w:r>
        <w:rPr>
          <w:i/>
          <w:color w:val="000000"/>
        </w:rPr>
        <w:t>.”</w:t>
      </w:r>
      <w:r>
        <w:rPr>
          <w:color w:val="000000"/>
        </w:rPr>
        <w:t xml:space="preserve">  While noted that “periodic random audits” would more likely be weighted towards collection locations, leaving transporters subject to no checking mechanism at all is not acceptable.</w:t>
      </w:r>
    </w:p>
    <w:p w:rsidR="003E24B5" w:rsidRPr="003A44AF" w:rsidRDefault="003E24B5" w:rsidP="00162446">
      <w:pPr>
        <w:pStyle w:val="ListParagraph"/>
        <w:numPr>
          <w:ilvl w:val="1"/>
          <w:numId w:val="47"/>
        </w:numPr>
        <w:spacing w:after="120"/>
        <w:contextualSpacing w:val="0"/>
        <w:rPr>
          <w:b/>
        </w:rPr>
      </w:pPr>
      <w:r w:rsidRPr="00EF136A">
        <w:rPr>
          <w:b/>
        </w:rPr>
        <w:t xml:space="preserve">Section </w:t>
      </w:r>
      <w:r>
        <w:rPr>
          <w:b/>
        </w:rPr>
        <w:t>4.1</w:t>
      </w:r>
      <w:r w:rsidRPr="00EF136A">
        <w:rPr>
          <w:b/>
        </w:rPr>
        <w:t>. “</w:t>
      </w:r>
      <w:r>
        <w:rPr>
          <w:b/>
        </w:rPr>
        <w:t>Risk Management, Note 2”</w:t>
      </w:r>
      <w:r>
        <w:t xml:space="preserve">:  </w:t>
      </w:r>
      <w:r w:rsidRPr="00EF136A">
        <w:rPr>
          <w:i/>
          <w:color w:val="000000"/>
        </w:rPr>
        <w:t>“</w:t>
      </w:r>
      <w:r>
        <w:rPr>
          <w:i/>
          <w:color w:val="000000"/>
        </w:rPr>
        <w:t>Information on Exposure Standards is available from Safe Work Australia</w:t>
      </w:r>
      <w:r>
        <w:rPr>
          <w:i/>
          <w:color w:val="FF0000"/>
        </w:rPr>
        <w:t>’s</w:t>
      </w:r>
      <w:r>
        <w:rPr>
          <w:i/>
          <w:color w:val="000000"/>
        </w:rPr>
        <w:t xml:space="preserve"> Hazardous Substances Information System </w:t>
      </w:r>
      <w:r>
        <w:rPr>
          <w:i/>
          <w:color w:val="FF0000"/>
        </w:rPr>
        <w:t xml:space="preserve">(available at </w:t>
      </w:r>
      <w:hyperlink r:id="rId18" w:history="1">
        <w:r w:rsidRPr="00110118">
          <w:rPr>
            <w:rStyle w:val="Hyperlink"/>
            <w:i/>
          </w:rPr>
          <w:t>www.safeworkaustralia.gov.au</w:t>
        </w:r>
      </w:hyperlink>
      <w:r>
        <w:rPr>
          <w:i/>
          <w:color w:val="FF0000"/>
        </w:rPr>
        <w:t xml:space="preserve">) </w:t>
      </w:r>
    </w:p>
    <w:p w:rsidR="003E24B5" w:rsidRPr="003A44AF" w:rsidRDefault="003E24B5" w:rsidP="00162446">
      <w:pPr>
        <w:pStyle w:val="ListParagraph"/>
        <w:numPr>
          <w:ilvl w:val="1"/>
          <w:numId w:val="47"/>
        </w:numPr>
        <w:spacing w:after="120"/>
        <w:contextualSpacing w:val="0"/>
        <w:rPr>
          <w:b/>
        </w:rPr>
      </w:pPr>
      <w:r>
        <w:rPr>
          <w:b/>
        </w:rPr>
        <w:t>Section 4.6. “Reporting”</w:t>
      </w:r>
      <w:r>
        <w:t xml:space="preserve">: </w:t>
      </w:r>
    </w:p>
    <w:p w:rsidR="003E24B5" w:rsidRPr="003A44AF" w:rsidRDefault="003E24B5" w:rsidP="00162446">
      <w:pPr>
        <w:pStyle w:val="ListParagraph"/>
        <w:numPr>
          <w:ilvl w:val="2"/>
          <w:numId w:val="47"/>
        </w:numPr>
        <w:spacing w:after="120"/>
        <w:contextualSpacing w:val="0"/>
        <w:rPr>
          <w:b/>
        </w:rPr>
      </w:pPr>
      <w:r w:rsidRPr="003A44AF">
        <w:rPr>
          <w:i/>
        </w:rPr>
        <w:t>“Collection Locations</w:t>
      </w:r>
      <w:r w:rsidRPr="003A44AF">
        <w:rPr>
          <w:i/>
          <w:color w:val="FF0000"/>
        </w:rPr>
        <w:t>, Transporters</w:t>
      </w:r>
      <w:r w:rsidRPr="003A44AF">
        <w:rPr>
          <w:i/>
        </w:rPr>
        <w:t xml:space="preserve"> and Recyclers shall provide reports to the Product Stewardship Organisation as follows:”</w:t>
      </w:r>
      <w:r>
        <w:t xml:space="preserve">  </w:t>
      </w:r>
    </w:p>
    <w:p w:rsidR="003E24B5" w:rsidRPr="003A44AF" w:rsidRDefault="003E24B5" w:rsidP="00162446">
      <w:pPr>
        <w:pStyle w:val="ListParagraph"/>
        <w:numPr>
          <w:ilvl w:val="2"/>
          <w:numId w:val="47"/>
        </w:numPr>
        <w:spacing w:after="120"/>
        <w:contextualSpacing w:val="0"/>
        <w:rPr>
          <w:b/>
        </w:rPr>
      </w:pPr>
      <w:r>
        <w:t xml:space="preserve">Insert heading before section 4.6 a as follows: </w:t>
      </w:r>
      <w:r>
        <w:rPr>
          <w:i/>
        </w:rPr>
        <w:t>“</w:t>
      </w:r>
      <w:r w:rsidRPr="003A44AF">
        <w:rPr>
          <w:i/>
        </w:rPr>
        <w:t>For Collection Locations, Transporters and Recyclers”</w:t>
      </w:r>
    </w:p>
    <w:p w:rsidR="003E24B5" w:rsidRPr="003A44AF" w:rsidRDefault="003E24B5" w:rsidP="00162446">
      <w:pPr>
        <w:pStyle w:val="ListParagraph"/>
        <w:numPr>
          <w:ilvl w:val="2"/>
          <w:numId w:val="47"/>
        </w:numPr>
        <w:spacing w:after="120"/>
        <w:contextualSpacing w:val="0"/>
        <w:rPr>
          <w:b/>
        </w:rPr>
      </w:pPr>
      <w:r>
        <w:t xml:space="preserve">Insert heading before section 4.6 b as follows: </w:t>
      </w:r>
      <w:r>
        <w:rPr>
          <w:i/>
        </w:rPr>
        <w:t xml:space="preserve">“For Collection </w:t>
      </w:r>
      <w:r w:rsidRPr="003A44AF">
        <w:rPr>
          <w:i/>
        </w:rPr>
        <w:t>Locations</w:t>
      </w:r>
      <w:r>
        <w:rPr>
          <w:i/>
        </w:rPr>
        <w:t xml:space="preserve"> </w:t>
      </w:r>
      <w:r w:rsidRPr="003A44AF">
        <w:rPr>
          <w:i/>
        </w:rPr>
        <w:t>and Recyclers</w:t>
      </w:r>
      <w:r>
        <w:rPr>
          <w:i/>
        </w:rPr>
        <w:t>”</w:t>
      </w:r>
    </w:p>
    <w:p w:rsidR="003E24B5" w:rsidRPr="00C11690" w:rsidRDefault="003E24B5" w:rsidP="00162446">
      <w:pPr>
        <w:pStyle w:val="ListParagraph"/>
        <w:numPr>
          <w:ilvl w:val="1"/>
          <w:numId w:val="47"/>
        </w:numPr>
        <w:spacing w:after="120"/>
        <w:contextualSpacing w:val="0"/>
        <w:rPr>
          <w:b/>
        </w:rPr>
      </w:pPr>
      <w:r w:rsidRPr="00EF136A">
        <w:rPr>
          <w:b/>
        </w:rPr>
        <w:t xml:space="preserve">Section </w:t>
      </w:r>
      <w:r>
        <w:rPr>
          <w:b/>
        </w:rPr>
        <w:t>4.7</w:t>
      </w:r>
      <w:r w:rsidRPr="00EF136A">
        <w:rPr>
          <w:b/>
        </w:rPr>
        <w:t>. “</w:t>
      </w:r>
      <w:r>
        <w:rPr>
          <w:b/>
        </w:rPr>
        <w:t>Records Management”</w:t>
      </w:r>
      <w:r>
        <w:t xml:space="preserve">: </w:t>
      </w:r>
      <w:r w:rsidRPr="00EF136A">
        <w:rPr>
          <w:i/>
          <w:color w:val="000000"/>
        </w:rPr>
        <w:t>“</w:t>
      </w:r>
      <w:r w:rsidRPr="00C11690">
        <w:rPr>
          <w:rFonts w:ascii="Arial (W1)" w:hAnsi="Arial (W1)"/>
          <w:i/>
          <w:strike/>
          <w:color w:val="FF0000"/>
        </w:rPr>
        <w:t xml:space="preserve">The </w:t>
      </w:r>
      <w:r w:rsidRPr="00C11690">
        <w:rPr>
          <w:i/>
          <w:color w:val="FF0000"/>
        </w:rPr>
        <w:t>R</w:t>
      </w:r>
      <w:r>
        <w:rPr>
          <w:i/>
          <w:color w:val="000000"/>
        </w:rPr>
        <w:t>ecycler</w:t>
      </w:r>
      <w:r>
        <w:rPr>
          <w:i/>
          <w:color w:val="FF0000"/>
        </w:rPr>
        <w:t>s, Collection Locations and Transporters</w:t>
      </w:r>
      <w:r>
        <w:rPr>
          <w:i/>
          <w:color w:val="000000"/>
        </w:rPr>
        <w:t xml:space="preserve"> shall maintain and make available for audit documentation evidencing compliance with this Interim Standard.”</w:t>
      </w:r>
    </w:p>
    <w:p w:rsidR="003E24B5" w:rsidRPr="005B4729" w:rsidRDefault="003E24B5" w:rsidP="00162446">
      <w:pPr>
        <w:pStyle w:val="ListParagraph"/>
        <w:numPr>
          <w:ilvl w:val="1"/>
          <w:numId w:val="47"/>
        </w:numPr>
        <w:spacing w:after="120"/>
        <w:contextualSpacing w:val="0"/>
        <w:rPr>
          <w:b/>
        </w:rPr>
      </w:pPr>
      <w:r>
        <w:rPr>
          <w:b/>
        </w:rPr>
        <w:t>Section 6.2.  “Export Transport Requirements”</w:t>
      </w:r>
      <w:r>
        <w:t>: Is the reference to “Road and Rail Transport Acts” appropriate to export requirements?  If so it should be made more specific.</w:t>
      </w:r>
    </w:p>
    <w:p w:rsidR="003E24B5" w:rsidRPr="002E76D1" w:rsidRDefault="003E24B5" w:rsidP="00162446">
      <w:pPr>
        <w:pStyle w:val="ListParagraph"/>
        <w:numPr>
          <w:ilvl w:val="0"/>
          <w:numId w:val="62"/>
        </w:numPr>
        <w:spacing w:after="120"/>
        <w:contextualSpacing w:val="0"/>
        <w:rPr>
          <w:i/>
          <w:u w:val="single"/>
        </w:rPr>
      </w:pPr>
      <w:r w:rsidRPr="005B4729">
        <w:rPr>
          <w:i/>
          <w:u w:val="single"/>
        </w:rPr>
        <w:lastRenderedPageBreak/>
        <w:t xml:space="preserve">Promotion of the Waste Hierarchy:- </w:t>
      </w:r>
      <w:r w:rsidRPr="002E76D1">
        <w:t>Include mechanisms to ensure legitimate reuse opportunities are not wasted, such as stating that items should be collected/ handled/ transported so they are not damaged before they are assessed for reuse possibilities, or including the amount of equipment reused as part of recycler reporting requirements. (It is noted that the DIIS explicitly excludes reuse from the standard.)</w:t>
      </w:r>
    </w:p>
    <w:p w:rsidR="003E24B5" w:rsidRPr="005B4729" w:rsidRDefault="003E24B5" w:rsidP="00162446">
      <w:pPr>
        <w:pStyle w:val="ListParagraph"/>
        <w:numPr>
          <w:ilvl w:val="0"/>
          <w:numId w:val="63"/>
        </w:numPr>
        <w:spacing w:after="120"/>
        <w:contextualSpacing w:val="0"/>
      </w:pPr>
      <w:r w:rsidRPr="005B4729">
        <w:rPr>
          <w:i/>
          <w:u w:val="single"/>
        </w:rPr>
        <w:t>Pr</w:t>
      </w:r>
      <w:r>
        <w:rPr>
          <w:i/>
          <w:u w:val="single"/>
        </w:rPr>
        <w:t>ison labour</w:t>
      </w:r>
      <w:r w:rsidRPr="005B4729">
        <w:rPr>
          <w:i/>
          <w:u w:val="single"/>
        </w:rPr>
        <w:t xml:space="preserve">:- </w:t>
      </w:r>
      <w:r>
        <w:t>Anecdotally prison labour is not routinely used in the Australian recycling industry.  Delete references to it as it appears to have been more of an issue in overseas schemes</w:t>
      </w:r>
      <w:r w:rsidRPr="005B4729">
        <w:t>.</w:t>
      </w:r>
    </w:p>
    <w:p w:rsidR="003E24B5" w:rsidRDefault="003E24B5" w:rsidP="00162446">
      <w:pPr>
        <w:pStyle w:val="ListParagraph"/>
        <w:numPr>
          <w:ilvl w:val="0"/>
          <w:numId w:val="64"/>
        </w:numPr>
        <w:spacing w:after="120"/>
        <w:contextualSpacing w:val="0"/>
      </w:pPr>
      <w:r w:rsidRPr="005B4729">
        <w:rPr>
          <w:i/>
          <w:u w:val="single"/>
        </w:rPr>
        <w:t>Signage guidelines:-</w:t>
      </w:r>
      <w:r>
        <w:t xml:space="preserve">  While not required as part of the DIIS, it is recommended that signage guidelines for collection locations are developed as a linked document referenced by the DIIS, to promote safe drop-off practices and to ensure consistency of message and branding for the program.</w:t>
      </w:r>
    </w:p>
    <w:p w:rsidR="003E24B5" w:rsidRDefault="003E24B5" w:rsidP="00EF4104"/>
    <w:p w:rsidR="003E24B5" w:rsidRDefault="003E24B5" w:rsidP="00E45096"/>
    <w:p w:rsidR="003E24B5" w:rsidRDefault="003E24B5" w:rsidP="00E45096"/>
    <w:p w:rsidR="003E24B5" w:rsidRDefault="003E24B5" w:rsidP="00F72662">
      <w:pPr>
        <w:pStyle w:val="KMHNumberHeading1"/>
        <w:ind w:left="142" w:firstLine="0"/>
        <w:jc w:val="center"/>
      </w:pPr>
      <w:r>
        <w:br w:type="page"/>
      </w:r>
    </w:p>
    <w:p w:rsidR="003E24B5" w:rsidRPr="0097266D" w:rsidRDefault="003E24B5" w:rsidP="00162446">
      <w:pPr>
        <w:pStyle w:val="KMHNumberHeading1"/>
        <w:numPr>
          <w:ilvl w:val="0"/>
          <w:numId w:val="56"/>
        </w:numPr>
      </w:pPr>
      <w:bookmarkStart w:id="37" w:name="_Toc287018228"/>
      <w:r w:rsidRPr="00C13CA1">
        <w:lastRenderedPageBreak/>
        <w:t>Introduction</w:t>
      </w:r>
      <w:bookmarkEnd w:id="37"/>
    </w:p>
    <w:p w:rsidR="003E24B5" w:rsidRPr="00C13CA1" w:rsidRDefault="003E24B5" w:rsidP="00162446">
      <w:pPr>
        <w:pStyle w:val="KMHNumberheading20"/>
        <w:numPr>
          <w:ilvl w:val="1"/>
          <w:numId w:val="56"/>
        </w:numPr>
      </w:pPr>
      <w:bookmarkStart w:id="38" w:name="_Toc287018229"/>
      <w:r>
        <w:t>Scope of work</w:t>
      </w:r>
      <w:bookmarkEnd w:id="38"/>
    </w:p>
    <w:p w:rsidR="003E24B5" w:rsidRPr="00A22DBF" w:rsidRDefault="003E24B5" w:rsidP="00043F95">
      <w:pPr>
        <w:rPr>
          <w:lang w:val="en-US"/>
        </w:rPr>
      </w:pPr>
      <w:r w:rsidRPr="00A22DBF">
        <w:rPr>
          <w:lang w:val="en-US"/>
        </w:rPr>
        <w:t>The Draft Interim Industry Standard</w:t>
      </w:r>
      <w:r>
        <w:rPr>
          <w:lang w:val="en-US"/>
        </w:rPr>
        <w:t xml:space="preserve"> </w:t>
      </w:r>
      <w:r w:rsidRPr="00043F95">
        <w:rPr>
          <w:lang w:val="en-US"/>
        </w:rPr>
        <w:t>for the Collection, Transport and Recycling of End of Life Televisions and Computers</w:t>
      </w:r>
      <w:r>
        <w:rPr>
          <w:lang w:val="en-US"/>
        </w:rPr>
        <w:t xml:space="preserve"> (DIIS)</w:t>
      </w:r>
      <w:r w:rsidRPr="00A22DBF">
        <w:rPr>
          <w:lang w:val="en-US"/>
        </w:rPr>
        <w:t xml:space="preserve"> is intended for the guidance of organisations seeking to participate as collection locations, transporters, recyclers and processors for the industry-managed </w:t>
      </w:r>
      <w:r>
        <w:rPr>
          <w:lang w:val="en-US"/>
        </w:rPr>
        <w:t xml:space="preserve">product stewardship arrangements </w:t>
      </w:r>
      <w:r w:rsidRPr="00A22DBF">
        <w:rPr>
          <w:lang w:val="en-US"/>
        </w:rPr>
        <w:t>under the National Television and Computer Product Stewardship Scheme. It will be used as the required minimum practice standard in the auditing and, where applicable, certification of participating organisations.</w:t>
      </w:r>
      <w:r w:rsidRPr="009F5784">
        <w:rPr>
          <w:vertAlign w:val="superscript"/>
        </w:rPr>
        <w:footnoteReference w:id="1"/>
      </w:r>
      <w:r w:rsidRPr="00A22DBF">
        <w:rPr>
          <w:lang w:val="en-US"/>
        </w:rPr>
        <w:t xml:space="preserve">  </w:t>
      </w:r>
    </w:p>
    <w:p w:rsidR="003E24B5" w:rsidRPr="00A22DBF" w:rsidRDefault="003E24B5" w:rsidP="00A22DBF">
      <w:pPr>
        <w:rPr>
          <w:lang w:val="en-US"/>
        </w:rPr>
      </w:pPr>
      <w:r w:rsidRPr="00A22DBF">
        <w:rPr>
          <w:lang w:val="en-US"/>
        </w:rPr>
        <w:t xml:space="preserve">The DIIS will act as an interim measure while an official Australian and New Zealand Standard is being prepared through the Standards Australia/Standards New Zealand consensus process. The DIIS has been prepared by </w:t>
      </w:r>
      <w:r w:rsidRPr="00DA619D">
        <w:t xml:space="preserve">the industry peak bodies, </w:t>
      </w:r>
      <w:r>
        <w:t>Australian Information Industry Association (</w:t>
      </w:r>
      <w:r w:rsidRPr="00DA619D">
        <w:t>AIIA</w:t>
      </w:r>
      <w:r>
        <w:t>)</w:t>
      </w:r>
      <w:r w:rsidRPr="00DA619D">
        <w:t xml:space="preserve"> and the P</w:t>
      </w:r>
      <w:r>
        <w:t>roduct Stewardship Australia Limited (P</w:t>
      </w:r>
      <w:r w:rsidRPr="00DA619D">
        <w:t>SA</w:t>
      </w:r>
      <w:r>
        <w:t>)</w:t>
      </w:r>
      <w:r w:rsidRPr="00A22DBF">
        <w:rPr>
          <w:lang w:val="en-US"/>
        </w:rPr>
        <w:t xml:space="preserve"> and has been the subject of consultation with a broad group of stakeholders with a view to creating an interim standard that is broadly acceptable to most stakeholders.</w:t>
      </w:r>
      <w:r w:rsidRPr="00A22DBF">
        <w:rPr>
          <w:vertAlign w:val="superscript"/>
          <w:lang w:val="en-US"/>
        </w:rPr>
        <w:footnoteReference w:id="2"/>
      </w:r>
      <w:r w:rsidRPr="00A22DBF">
        <w:rPr>
          <w:lang w:val="en-US"/>
        </w:rPr>
        <w:t xml:space="preserve">   </w:t>
      </w:r>
    </w:p>
    <w:p w:rsidR="003E24B5" w:rsidRDefault="003E24B5" w:rsidP="00DA619D">
      <w:r>
        <w:t>T</w:t>
      </w:r>
      <w:r w:rsidRPr="00DA619D">
        <w:t xml:space="preserve">he Department </w:t>
      </w:r>
      <w:r>
        <w:t xml:space="preserve">of Sustainability, Environment, Water, Population and Communities (DSEWPaC) engaged KMH Environmental to undertake </w:t>
      </w:r>
      <w:r w:rsidRPr="00DA619D">
        <w:t xml:space="preserve">a consultancy to independently review the </w:t>
      </w:r>
      <w:r>
        <w:t xml:space="preserve">DIIS </w:t>
      </w:r>
      <w:r w:rsidRPr="00DA619D">
        <w:t xml:space="preserve">to describe associated risks and costs. </w:t>
      </w:r>
    </w:p>
    <w:p w:rsidR="003E24B5" w:rsidRPr="00DA619D" w:rsidRDefault="003E24B5" w:rsidP="00DA619D">
      <w:r w:rsidRPr="00DA619D">
        <w:t xml:space="preserve">Through a desktop review and a face to face inception meeting, this </w:t>
      </w:r>
      <w:r>
        <w:t>has</w:t>
      </w:r>
      <w:r w:rsidRPr="00DA619D">
        <w:t xml:space="preserve"> involve</w:t>
      </w:r>
      <w:r>
        <w:t>d</w:t>
      </w:r>
      <w:r w:rsidRPr="00DA619D">
        <w:t>:</w:t>
      </w:r>
    </w:p>
    <w:p w:rsidR="003E24B5" w:rsidRPr="00DA619D" w:rsidRDefault="003E24B5" w:rsidP="00DA619D">
      <w:r w:rsidRPr="00DA619D">
        <w:t>1) Undertak</w:t>
      </w:r>
      <w:r>
        <w:t>ing</w:t>
      </w:r>
      <w:r w:rsidRPr="00DA619D">
        <w:t xml:space="preserve"> a robust risk analysis and assessment of the </w:t>
      </w:r>
      <w:r>
        <w:t>DIIS</w:t>
      </w:r>
      <w:r w:rsidRPr="00DA619D">
        <w:t xml:space="preserve"> and stakeholder submissions, including identifying and rating risks as well as developing a risk treatment plan, in accordance with the international risk management standard </w:t>
      </w:r>
      <w:r w:rsidRPr="00DA619D">
        <w:rPr>
          <w:i/>
          <w:iCs/>
        </w:rPr>
        <w:t>ISO 31000:2009 - Risk Management Principles and Guidelines</w:t>
      </w:r>
      <w:r w:rsidRPr="00DA619D">
        <w:t xml:space="preserve">.  The analysis </w:t>
      </w:r>
      <w:r>
        <w:t>identifies</w:t>
      </w:r>
      <w:r w:rsidRPr="00DA619D">
        <w:t xml:space="preserve"> occupational, health and safety risks and environmental risks associated with the </w:t>
      </w:r>
      <w:r>
        <w:t>DIIS</w:t>
      </w:r>
      <w:r w:rsidRPr="00DA619D">
        <w:t xml:space="preserve"> proposed methods for collection, handling, storage, transport and treatment of end-of-life televisions, computers and computer peripherals. Th</w:t>
      </w:r>
      <w:r>
        <w:t xml:space="preserve">is </w:t>
      </w:r>
      <w:r w:rsidRPr="00DA619D">
        <w:t>review include</w:t>
      </w:r>
      <w:r>
        <w:t>s</w:t>
      </w:r>
      <w:r w:rsidRPr="00DA619D">
        <w:t xml:space="preserve"> consideration of whether:</w:t>
      </w:r>
    </w:p>
    <w:p w:rsidR="003E24B5" w:rsidRPr="00DA619D" w:rsidRDefault="003E24B5" w:rsidP="00DA619D">
      <w:pPr>
        <w:ind w:left="720"/>
      </w:pPr>
      <w:r w:rsidRPr="00DA619D">
        <w:t xml:space="preserve">a) required occupational health and safety and environmental performance are appropriately incorporated, including as defined by Commonwealth, state and territory laws, including the </w:t>
      </w:r>
      <w:r w:rsidRPr="00DA619D">
        <w:rPr>
          <w:i/>
          <w:iCs/>
        </w:rPr>
        <w:t xml:space="preserve">Hazardous Waste (Regulation of Exports and Imports) Act 1989 </w:t>
      </w:r>
      <w:r w:rsidRPr="00DA619D">
        <w:t xml:space="preserve">(Cth), and as identified in relevant international standards; and </w:t>
      </w:r>
    </w:p>
    <w:p w:rsidR="003E24B5" w:rsidRPr="00DA619D" w:rsidRDefault="003E24B5" w:rsidP="00DA619D">
      <w:pPr>
        <w:ind w:left="720"/>
      </w:pPr>
      <w:r w:rsidRPr="00DA619D">
        <w:t>b) Australia’s international obligations are met, including requirements under the Basel Convention on the Control of Transboundary Movements of Hazardous Wastes and their Disposal and the Stockholm Convention on Persistent Organic Pollutants.</w:t>
      </w:r>
    </w:p>
    <w:p w:rsidR="003E24B5" w:rsidRDefault="003E24B5" w:rsidP="00DA619D">
      <w:r w:rsidRPr="00DA619D">
        <w:t>2) In addition, the risk assessment consider</w:t>
      </w:r>
      <w:r>
        <w:t>s</w:t>
      </w:r>
      <w:r w:rsidRPr="00DA619D">
        <w:t xml:space="preserve"> whether the </w:t>
      </w:r>
      <w:r>
        <w:t>DIIS</w:t>
      </w:r>
      <w:r w:rsidRPr="00DA619D">
        <w:t xml:space="preserve"> would provide for adequate auditing and validation requirements in any contracts between the industry-led Television and Computer Scheme and service providers, and whether these arrangements align with international best practice.</w:t>
      </w:r>
    </w:p>
    <w:p w:rsidR="003E24B5" w:rsidRPr="003F7720" w:rsidRDefault="003E24B5" w:rsidP="00A22DBF">
      <w:pPr>
        <w:jc w:val="left"/>
        <w:rPr>
          <w:lang w:val="en-US"/>
        </w:rPr>
      </w:pPr>
      <w:r w:rsidRPr="003F7720">
        <w:rPr>
          <w:lang w:val="en-US"/>
        </w:rPr>
        <w:t>The objectives against which the risk assessment was conducted include:</w:t>
      </w:r>
    </w:p>
    <w:p w:rsidR="003E24B5" w:rsidRPr="003F7720" w:rsidRDefault="003E24B5" w:rsidP="00162446">
      <w:pPr>
        <w:pStyle w:val="ListParagraph"/>
        <w:numPr>
          <w:ilvl w:val="0"/>
          <w:numId w:val="49"/>
        </w:numPr>
        <w:jc w:val="left"/>
      </w:pPr>
      <w:r w:rsidRPr="003F7720">
        <w:rPr>
          <w:i/>
          <w:lang w:val="en-US"/>
        </w:rPr>
        <w:t xml:space="preserve">to </w:t>
      </w:r>
      <w:r w:rsidRPr="003F7720">
        <w:rPr>
          <w:i/>
        </w:rPr>
        <w:t>ensure EOL Television and Computers are managed safely and in an environmentally sound manner at the end of their useful life</w:t>
      </w:r>
      <w:r w:rsidRPr="003F7720">
        <w:rPr>
          <w:rStyle w:val="FootnoteReference"/>
          <w:i/>
        </w:rPr>
        <w:footnoteReference w:id="3"/>
      </w:r>
      <w:r w:rsidRPr="003F7720">
        <w:rPr>
          <w:i/>
        </w:rPr>
        <w:t xml:space="preserve"> , and;</w:t>
      </w:r>
    </w:p>
    <w:p w:rsidR="003E24B5" w:rsidRPr="003F7720" w:rsidRDefault="003E24B5" w:rsidP="00162446">
      <w:pPr>
        <w:pStyle w:val="ListParagraph"/>
        <w:numPr>
          <w:ilvl w:val="0"/>
          <w:numId w:val="49"/>
        </w:numPr>
        <w:jc w:val="left"/>
        <w:rPr>
          <w:i/>
        </w:rPr>
      </w:pPr>
      <w:r w:rsidRPr="003F7720">
        <w:t xml:space="preserve">“ </w:t>
      </w:r>
      <w:r w:rsidRPr="003F7720">
        <w:rPr>
          <w:i/>
        </w:rPr>
        <w:t>to establish and implement a cost effective, environmentally sound national Program for the collection and recycling of EOL computer and television equipment, consistent with community and industry objectives, and complying with the Australian Government’s National Product Stewardship Framework Legislation and any subordinate regulatory instruments.”</w:t>
      </w:r>
      <w:r w:rsidRPr="003F7720">
        <w:rPr>
          <w:rStyle w:val="FootnoteReference"/>
          <w:i/>
        </w:rPr>
        <w:footnoteReference w:id="4"/>
      </w:r>
      <w:r w:rsidRPr="003F7720">
        <w:rPr>
          <w:i/>
        </w:rPr>
        <w:t xml:space="preserve"> </w:t>
      </w:r>
    </w:p>
    <w:p w:rsidR="003E24B5" w:rsidRPr="003F7720" w:rsidRDefault="003E24B5" w:rsidP="00A22DBF">
      <w:pPr>
        <w:jc w:val="left"/>
      </w:pPr>
      <w:r w:rsidRPr="003F7720">
        <w:t>More specific objectives proposed for the Product Stewardship Organisation in this discussion paper include:</w:t>
      </w:r>
    </w:p>
    <w:p w:rsidR="003E24B5" w:rsidRPr="003F7720" w:rsidRDefault="003E24B5" w:rsidP="00162446">
      <w:pPr>
        <w:pStyle w:val="ListParagraph"/>
        <w:numPr>
          <w:ilvl w:val="0"/>
          <w:numId w:val="43"/>
        </w:numPr>
        <w:jc w:val="left"/>
      </w:pPr>
      <w:r w:rsidRPr="003F7720">
        <w:t xml:space="preserve">Reduce the impact on the environment from end of life televisions and computers. </w:t>
      </w:r>
    </w:p>
    <w:p w:rsidR="003E24B5" w:rsidRPr="003F7720" w:rsidRDefault="003E24B5" w:rsidP="00162446">
      <w:pPr>
        <w:pStyle w:val="ListParagraph"/>
        <w:numPr>
          <w:ilvl w:val="0"/>
          <w:numId w:val="43"/>
        </w:numPr>
        <w:autoSpaceDE w:val="0"/>
        <w:autoSpaceDN w:val="0"/>
        <w:adjustRightInd w:val="0"/>
      </w:pPr>
      <w:r w:rsidRPr="003F7720">
        <w:lastRenderedPageBreak/>
        <w:t xml:space="preserve">Reduce television and computer waste going to landfill. </w:t>
      </w:r>
    </w:p>
    <w:p w:rsidR="003E24B5" w:rsidRPr="003F7720" w:rsidRDefault="003E24B5" w:rsidP="00162446">
      <w:pPr>
        <w:pStyle w:val="ListParagraph"/>
        <w:numPr>
          <w:ilvl w:val="0"/>
          <w:numId w:val="43"/>
        </w:numPr>
        <w:autoSpaceDE w:val="0"/>
        <w:autoSpaceDN w:val="0"/>
        <w:adjustRightInd w:val="0"/>
      </w:pPr>
      <w:r w:rsidRPr="003F7720">
        <w:t xml:space="preserve">Increase recovery and recycling of televisions and computers. </w:t>
      </w:r>
    </w:p>
    <w:p w:rsidR="003E24B5" w:rsidRPr="003F7720" w:rsidRDefault="003E24B5" w:rsidP="00162446">
      <w:pPr>
        <w:pStyle w:val="ListParagraph"/>
        <w:numPr>
          <w:ilvl w:val="0"/>
          <w:numId w:val="43"/>
        </w:numPr>
        <w:autoSpaceDE w:val="0"/>
        <w:autoSpaceDN w:val="0"/>
        <w:adjustRightInd w:val="0"/>
      </w:pPr>
      <w:r w:rsidRPr="003F7720">
        <w:t xml:space="preserve">Increase target audience awareness of television and computer recycling. </w:t>
      </w:r>
    </w:p>
    <w:p w:rsidR="003E24B5" w:rsidRPr="003F7720" w:rsidRDefault="003E24B5" w:rsidP="00162446">
      <w:pPr>
        <w:pStyle w:val="ListParagraph"/>
        <w:numPr>
          <w:ilvl w:val="0"/>
          <w:numId w:val="43"/>
        </w:numPr>
        <w:autoSpaceDE w:val="0"/>
        <w:autoSpaceDN w:val="0"/>
        <w:adjustRightInd w:val="0"/>
      </w:pPr>
      <w:r w:rsidRPr="003F7720">
        <w:t xml:space="preserve">Achieve manufacturer and importer compliance with television and computer recovery and recycling regulations. </w:t>
      </w:r>
      <w:r w:rsidRPr="003F7720">
        <w:rPr>
          <w:rStyle w:val="FootnoteReference"/>
        </w:rPr>
        <w:footnoteReference w:id="5"/>
      </w:r>
    </w:p>
    <w:p w:rsidR="003E24B5" w:rsidRPr="00DA619D" w:rsidRDefault="003E24B5" w:rsidP="00DA619D">
      <w:r w:rsidRPr="00DA619D">
        <w:t>3) Identify</w:t>
      </w:r>
      <w:r>
        <w:t>ing</w:t>
      </w:r>
      <w:r w:rsidRPr="00DA619D">
        <w:t xml:space="preserve"> costs associated with implementing the </w:t>
      </w:r>
      <w:r>
        <w:t>DIIS</w:t>
      </w:r>
      <w:r w:rsidRPr="00DA619D">
        <w:t xml:space="preserve">, including estimating cost burdens. Costs </w:t>
      </w:r>
      <w:r>
        <w:t>include</w:t>
      </w:r>
      <w:r w:rsidRPr="00DA619D">
        <w:t>:</w:t>
      </w:r>
    </w:p>
    <w:p w:rsidR="003E24B5" w:rsidRPr="00DA619D" w:rsidRDefault="003E24B5" w:rsidP="00DA619D">
      <w:pPr>
        <w:ind w:left="720"/>
      </w:pPr>
      <w:r w:rsidRPr="00DA619D">
        <w:t>a) the cost to the television and computer industry or a third party to certify recyclers or other parties involved in the collection, handling, storage, transport and treatment of the items; and</w:t>
      </w:r>
    </w:p>
    <w:p w:rsidR="003E24B5" w:rsidRPr="00DA619D" w:rsidRDefault="003E24B5" w:rsidP="00DA619D">
      <w:pPr>
        <w:ind w:left="720"/>
      </w:pPr>
      <w:r w:rsidRPr="00DA619D">
        <w:t xml:space="preserve">b) costs to recyclers or other parties to comply with the </w:t>
      </w:r>
      <w:r>
        <w:t>DIIS</w:t>
      </w:r>
      <w:r w:rsidRPr="00DA619D">
        <w:t>.</w:t>
      </w:r>
    </w:p>
    <w:p w:rsidR="003E24B5" w:rsidRPr="00DA619D" w:rsidRDefault="003E24B5" w:rsidP="00DA619D">
      <w:r w:rsidRPr="00DA619D">
        <w:t>4) Consider</w:t>
      </w:r>
      <w:r>
        <w:t xml:space="preserve">ation of </w:t>
      </w:r>
      <w:r w:rsidRPr="00DA619D">
        <w:t xml:space="preserve">key stakeholder feedback on the </w:t>
      </w:r>
      <w:r>
        <w:t>DIIS</w:t>
      </w:r>
      <w:r w:rsidRPr="00DA619D">
        <w:t xml:space="preserve"> an</w:t>
      </w:r>
      <w:r>
        <w:t>d provision of</w:t>
      </w:r>
      <w:r w:rsidRPr="00DA619D">
        <w:t xml:space="preserve"> recommendation/s on how the </w:t>
      </w:r>
      <w:r>
        <w:t>DIIS</w:t>
      </w:r>
      <w:r w:rsidRPr="00DA619D">
        <w:t xml:space="preserve"> might reasonably be altered to address stakeholder concerns</w:t>
      </w:r>
      <w:r>
        <w:t xml:space="preserve"> (with respect to risk and cost)</w:t>
      </w:r>
      <w:r w:rsidRPr="00DA619D">
        <w:t>; and</w:t>
      </w:r>
    </w:p>
    <w:p w:rsidR="003E24B5" w:rsidRPr="00DA619D" w:rsidRDefault="003E24B5" w:rsidP="00DA619D">
      <w:r>
        <w:t>5) Providing</w:t>
      </w:r>
      <w:r w:rsidRPr="00DA619D">
        <w:t xml:space="preserve"> recommendations on how the </w:t>
      </w:r>
      <w:r>
        <w:t>DIIS</w:t>
      </w:r>
      <w:r w:rsidRPr="00DA619D">
        <w:t xml:space="preserve"> may be amended to meet the above objectives.</w:t>
      </w:r>
    </w:p>
    <w:p w:rsidR="003E24B5" w:rsidRPr="00B031FA" w:rsidRDefault="003E24B5" w:rsidP="00B031FA">
      <w:pPr>
        <w:spacing w:after="0"/>
        <w:jc w:val="left"/>
        <w:rPr>
          <w:highlight w:val="yellow"/>
          <w:lang w:val="en-US"/>
        </w:rPr>
      </w:pPr>
    </w:p>
    <w:p w:rsidR="003E24B5" w:rsidRPr="00B031FA" w:rsidRDefault="003E24B5" w:rsidP="00B031FA">
      <w:pPr>
        <w:spacing w:after="0"/>
        <w:jc w:val="left"/>
        <w:rPr>
          <w:highlight w:val="yellow"/>
          <w:lang w:val="en-US"/>
        </w:rPr>
      </w:pPr>
    </w:p>
    <w:p w:rsidR="003E24B5" w:rsidRDefault="003E24B5" w:rsidP="00B031FA">
      <w:pPr>
        <w:spacing w:before="120" w:after="120"/>
        <w:sectPr w:rsidR="003E24B5" w:rsidSect="00651BB0">
          <w:headerReference w:type="even" r:id="rId19"/>
          <w:headerReference w:type="default" r:id="rId20"/>
          <w:footerReference w:type="default" r:id="rId21"/>
          <w:headerReference w:type="first" r:id="rId22"/>
          <w:footerReference w:type="first" r:id="rId23"/>
          <w:pgSz w:w="11907" w:h="16839" w:code="9"/>
          <w:pgMar w:top="851" w:right="1134" w:bottom="851" w:left="1701" w:header="425" w:footer="425" w:gutter="0"/>
          <w:pgNumType w:start="1"/>
          <w:cols w:space="708"/>
          <w:docGrid w:linePitch="360"/>
        </w:sectPr>
      </w:pPr>
    </w:p>
    <w:p w:rsidR="003E24B5" w:rsidRDefault="003E24B5" w:rsidP="00162446">
      <w:pPr>
        <w:pStyle w:val="KMHNumberheading20"/>
        <w:numPr>
          <w:ilvl w:val="1"/>
          <w:numId w:val="56"/>
        </w:numPr>
      </w:pPr>
      <w:bookmarkStart w:id="39" w:name="_Toc287018230"/>
      <w:r>
        <w:lastRenderedPageBreak/>
        <w:t>Scheme participants</w:t>
      </w:r>
      <w:bookmarkEnd w:id="39"/>
    </w:p>
    <w:p w:rsidR="003E24B5" w:rsidRDefault="003E24B5" w:rsidP="00223466">
      <w:r>
        <w:t>The scheme participant organisations, or parties impacted by the DIIS, are represented in Figure 1 below.  Note that the Product Stewardship Organisation (PSO), previously known as the Producer Responsibility Organisation (PRO), may establish operational contracts with collection locations, transporters and/ or recyclers.  Contracts between the primary recycler and subsequent downstream processors will not formally involve the PSO.</w:t>
      </w:r>
    </w:p>
    <w:p w:rsidR="003E24B5" w:rsidRPr="000F567E" w:rsidRDefault="00BC5396" w:rsidP="00C37543">
      <w:pPr>
        <w:tabs>
          <w:tab w:val="left" w:pos="4695"/>
          <w:tab w:val="left" w:pos="11595"/>
        </w:tabs>
      </w:pPr>
      <w:r>
        <w:rPr>
          <w:noProof/>
          <w:lang w:eastAsia="en-AU"/>
        </w:rPr>
        <w:pict>
          <v:shapetype id="_x0000_t202" coordsize="21600,21600" o:spt="202" path="m,l,21600r21600,l21600,xe">
            <v:stroke joinstyle="miter"/>
            <v:path gradientshapeok="t" o:connecttype="rect"/>
          </v:shapetype>
          <v:shape id="Text Box 6" o:spid="_x0000_s1029" type="#_x0000_t202" style="position:absolute;left:0;text-align:left;margin-left:629.25pt;margin-top:15.2pt;width:117pt;height:2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" fillcolor="window" stroked="f" strokeweight=".5pt">
            <v:path arrowok="t"/>
            <v:textbox style="mso-next-textbox:#Text Box 6">
              <w:txbxContent>
                <w:p w:rsidR="00A33FF2" w:rsidRPr="008E5549" w:rsidRDefault="00A33FF2" w:rsidP="00C37543">
                  <w:pPr>
                    <w:jc w:val="center"/>
                    <w:rPr>
                      <w:b/>
                      <w:noProof/>
                      <w:color w:val="000000"/>
                      <w:sz w:val="24"/>
                      <w:lang w:eastAsia="en-AU"/>
                    </w:rPr>
                  </w:pPr>
                  <w:r w:rsidRPr="008E5549">
                    <w:rPr>
                      <w:b/>
                      <w:noProof/>
                      <w:color w:val="000000"/>
                      <w:sz w:val="24"/>
                      <w:lang w:eastAsia="en-AU"/>
                    </w:rPr>
                    <w:t>Downstream processors</w:t>
                  </w:r>
                </w:p>
                <w:p w:rsidR="00A33FF2" w:rsidRPr="008E5549" w:rsidRDefault="00A33FF2" w:rsidP="00C37543">
                  <w:pPr>
                    <w:jc w:val="center"/>
                    <w:rPr>
                      <w:b/>
                      <w:noProof/>
                      <w:color w:val="000000"/>
                      <w:sz w:val="24"/>
                      <w:lang w:eastAsia="en-AU"/>
                    </w:rPr>
                  </w:pPr>
                </w:p>
                <w:p w:rsidR="00A33FF2" w:rsidRPr="008E5549" w:rsidRDefault="00A33FF2" w:rsidP="00C37543">
                  <w:pPr>
                    <w:jc w:val="center"/>
                    <w:rPr>
                      <w:color w:val="000000"/>
                    </w:rPr>
                  </w:pPr>
                  <w:r>
                    <w:rPr>
                      <w:noProof/>
                      <w:color w:val="000000"/>
                      <w:lang w:eastAsia="en-AU"/>
                    </w:rPr>
                    <w:drawing>
                      <wp:inline distT="0" distB="0" distL="0" distR="0">
                        <wp:extent cx="626110" cy="626110"/>
                        <wp:effectExtent l="0" t="0" r="254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626110" cy="626110"/>
                                </a:xfrm>
                                <a:prstGeom prst="rect">
                                  <a:avLst/>
                                </a:prstGeom>
                                <a:noFill/>
                                <a:ln w="9525">
                                  <a:noFill/>
                                  <a:miter lim="800000"/>
                                  <a:headEnd/>
                                  <a:tailEnd/>
                                </a:ln>
                              </pic:spPr>
                            </pic:pic>
                          </a:graphicData>
                        </a:graphic>
                      </wp:inline>
                    </w:drawing>
                  </w:r>
                </w:p>
                <w:p w:rsidR="00A33FF2" w:rsidRPr="008E5549" w:rsidRDefault="00A33FF2" w:rsidP="00C37543">
                  <w:pPr>
                    <w:jc w:val="center"/>
                    <w:rPr>
                      <w:color w:val="000000"/>
                    </w:rPr>
                  </w:pPr>
                </w:p>
                <w:p w:rsidR="00A33FF2" w:rsidRPr="008E5549" w:rsidRDefault="00A33FF2" w:rsidP="00C37543">
                  <w:pPr>
                    <w:jc w:val="center"/>
                    <w:rPr>
                      <w:color w:val="000000"/>
                    </w:rPr>
                  </w:pPr>
                  <w:r w:rsidRPr="008E5549">
                    <w:rPr>
                      <w:color w:val="000000"/>
                    </w:rPr>
                    <w:t>Dedicated re-processors of;</w:t>
                  </w:r>
                </w:p>
                <w:p w:rsidR="00A33FF2" w:rsidRPr="008E5549" w:rsidRDefault="00A33FF2" w:rsidP="00162446">
                  <w:pPr>
                    <w:pStyle w:val="ListParagraph"/>
                    <w:numPr>
                      <w:ilvl w:val="0"/>
                      <w:numId w:val="8"/>
                    </w:numPr>
                    <w:spacing w:after="200" w:line="276" w:lineRule="auto"/>
                    <w:jc w:val="left"/>
                    <w:rPr>
                      <w:color w:val="000000"/>
                    </w:rPr>
                  </w:pPr>
                  <w:r w:rsidRPr="008E5549">
                    <w:rPr>
                      <w:color w:val="000000"/>
                    </w:rPr>
                    <w:t>Steel</w:t>
                  </w:r>
                </w:p>
                <w:p w:rsidR="00A33FF2" w:rsidRPr="008E5549" w:rsidRDefault="00A33FF2" w:rsidP="00162446">
                  <w:pPr>
                    <w:pStyle w:val="ListParagraph"/>
                    <w:numPr>
                      <w:ilvl w:val="0"/>
                      <w:numId w:val="8"/>
                    </w:numPr>
                    <w:spacing w:after="200" w:line="276" w:lineRule="auto"/>
                    <w:jc w:val="left"/>
                    <w:rPr>
                      <w:color w:val="000000"/>
                    </w:rPr>
                  </w:pPr>
                  <w:r w:rsidRPr="008E5549">
                    <w:rPr>
                      <w:color w:val="000000"/>
                    </w:rPr>
                    <w:t>Plastics</w:t>
                  </w:r>
                </w:p>
                <w:p w:rsidR="00A33FF2" w:rsidRPr="008E5549" w:rsidRDefault="00A33FF2" w:rsidP="00162446">
                  <w:pPr>
                    <w:pStyle w:val="ListParagraph"/>
                    <w:numPr>
                      <w:ilvl w:val="0"/>
                      <w:numId w:val="8"/>
                    </w:numPr>
                    <w:spacing w:after="200" w:line="276" w:lineRule="auto"/>
                    <w:jc w:val="left"/>
                    <w:rPr>
                      <w:color w:val="000000"/>
                    </w:rPr>
                  </w:pPr>
                  <w:r w:rsidRPr="008E5549">
                    <w:rPr>
                      <w:color w:val="000000"/>
                    </w:rPr>
                    <w:t>Glass</w:t>
                  </w:r>
                </w:p>
                <w:p w:rsidR="00A33FF2" w:rsidRPr="008E5549" w:rsidRDefault="00A33FF2" w:rsidP="00162446">
                  <w:pPr>
                    <w:pStyle w:val="ListParagraph"/>
                    <w:numPr>
                      <w:ilvl w:val="0"/>
                      <w:numId w:val="8"/>
                    </w:numPr>
                    <w:spacing w:after="200" w:line="276" w:lineRule="auto"/>
                    <w:jc w:val="left"/>
                    <w:rPr>
                      <w:color w:val="000000"/>
                    </w:rPr>
                  </w:pPr>
                  <w:r w:rsidRPr="008E5549">
                    <w:rPr>
                      <w:color w:val="000000"/>
                    </w:rPr>
                    <w:t>Metals</w:t>
                  </w:r>
                </w:p>
                <w:p w:rsidR="00A33FF2" w:rsidRPr="008E5549" w:rsidRDefault="00A33FF2" w:rsidP="00162446">
                  <w:pPr>
                    <w:pStyle w:val="ListParagraph"/>
                    <w:numPr>
                      <w:ilvl w:val="0"/>
                      <w:numId w:val="8"/>
                    </w:numPr>
                    <w:spacing w:after="200" w:line="276" w:lineRule="auto"/>
                    <w:jc w:val="left"/>
                    <w:rPr>
                      <w:color w:val="000000"/>
                    </w:rPr>
                  </w:pPr>
                  <w:r w:rsidRPr="008E5549">
                    <w:rPr>
                      <w:color w:val="000000"/>
                    </w:rPr>
                    <w:t>Sub components</w:t>
                  </w:r>
                </w:p>
              </w:txbxContent>
            </v:textbox>
          </v:shape>
        </w:pict>
      </w:r>
      <w:r>
        <w:rPr>
          <w:noProof/>
          <w:lang w:eastAsia="en-AU"/>
        </w:rPr>
        <w:pict>
          <v:shape id="Text Box 5" o:spid="_x0000_s1028" type="#_x0000_t202" style="position:absolute;left:0;text-align:left;margin-left:421.5pt;margin-top:5.45pt;width:122.25pt;height:282.3pt;z-index:-251655168;visibility:visible" wrapcoords="-133 0 -133 21543 21600 21543 21600 0 -1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" fillcolor="window" stroked="f" strokeweight=".5pt">
            <v:path arrowok="t"/>
            <v:textbox style="mso-next-textbox:#Text Box 5">
              <w:txbxContent>
                <w:p w:rsidR="00A33FF2" w:rsidRPr="008E5549" w:rsidRDefault="00A33FF2" w:rsidP="00C37543">
                  <w:pPr>
                    <w:rPr>
                      <w:color w:val="000000"/>
                    </w:rPr>
                  </w:pPr>
                </w:p>
                <w:p w:rsidR="00A33FF2" w:rsidRPr="008E5549" w:rsidRDefault="00A33FF2" w:rsidP="00C37543">
                  <w:pPr>
                    <w:jc w:val="center"/>
                    <w:rPr>
                      <w:b/>
                      <w:color w:val="000000"/>
                      <w:sz w:val="24"/>
                    </w:rPr>
                  </w:pPr>
                  <w:r w:rsidRPr="008E5549">
                    <w:rPr>
                      <w:b/>
                      <w:color w:val="000000"/>
                      <w:sz w:val="24"/>
                    </w:rPr>
                    <w:t xml:space="preserve">   Primary recycler</w:t>
                  </w:r>
                </w:p>
                <w:p w:rsidR="00A33FF2" w:rsidRPr="008E5549" w:rsidRDefault="00A33FF2" w:rsidP="00C37543">
                  <w:pPr>
                    <w:jc w:val="center"/>
                    <w:rPr>
                      <w:b/>
                      <w:color w:val="000000"/>
                      <w:sz w:val="24"/>
                    </w:rPr>
                  </w:pPr>
                </w:p>
                <w:p w:rsidR="00A33FF2" w:rsidRPr="008E5549" w:rsidRDefault="00A33FF2" w:rsidP="00C37543">
                  <w:pPr>
                    <w:jc w:val="center"/>
                    <w:rPr>
                      <w:color w:val="000000"/>
                    </w:rPr>
                  </w:pPr>
                  <w:r>
                    <w:rPr>
                      <w:noProof/>
                      <w:color w:val="000000"/>
                      <w:lang w:eastAsia="en-AU"/>
                    </w:rPr>
                    <w:drawing>
                      <wp:inline distT="0" distB="0" distL="0" distR="0">
                        <wp:extent cx="626110" cy="626110"/>
                        <wp:effectExtent l="0" t="0" r="254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626110" cy="626110"/>
                                </a:xfrm>
                                <a:prstGeom prst="rect">
                                  <a:avLst/>
                                </a:prstGeom>
                                <a:noFill/>
                                <a:ln w="9525">
                                  <a:noFill/>
                                  <a:miter lim="800000"/>
                                  <a:headEnd/>
                                  <a:tailEnd/>
                                </a:ln>
                              </pic:spPr>
                            </pic:pic>
                          </a:graphicData>
                        </a:graphic>
                      </wp:inline>
                    </w:drawing>
                  </w:r>
                </w:p>
                <w:p w:rsidR="00A33FF2" w:rsidRPr="008E5549" w:rsidRDefault="00A33FF2" w:rsidP="00C37543">
                  <w:pPr>
                    <w:jc w:val="center"/>
                    <w:rPr>
                      <w:color w:val="000000"/>
                    </w:rPr>
                  </w:pPr>
                </w:p>
                <w:p w:rsidR="00A33FF2" w:rsidRPr="008E5549" w:rsidRDefault="00A33FF2" w:rsidP="00C37543">
                  <w:pPr>
                    <w:jc w:val="center"/>
                    <w:rPr>
                      <w:color w:val="000000"/>
                    </w:rPr>
                  </w:pPr>
                </w:p>
                <w:p w:rsidR="00A33FF2" w:rsidRPr="008E5549" w:rsidRDefault="00A33FF2" w:rsidP="00162446">
                  <w:pPr>
                    <w:pStyle w:val="ListParagraph"/>
                    <w:numPr>
                      <w:ilvl w:val="0"/>
                      <w:numId w:val="7"/>
                    </w:numPr>
                    <w:spacing w:after="200" w:line="276" w:lineRule="auto"/>
                    <w:jc w:val="left"/>
                    <w:rPr>
                      <w:color w:val="000000"/>
                    </w:rPr>
                  </w:pPr>
                  <w:r w:rsidRPr="008E5549">
                    <w:rPr>
                      <w:color w:val="000000"/>
                    </w:rPr>
                    <w:t>Disassembly</w:t>
                  </w:r>
                </w:p>
                <w:p w:rsidR="00A33FF2" w:rsidRPr="008E5549" w:rsidRDefault="00A33FF2" w:rsidP="00162446">
                  <w:pPr>
                    <w:pStyle w:val="ListParagraph"/>
                    <w:numPr>
                      <w:ilvl w:val="0"/>
                      <w:numId w:val="7"/>
                    </w:numPr>
                    <w:spacing w:after="200" w:line="276" w:lineRule="auto"/>
                    <w:jc w:val="left"/>
                    <w:rPr>
                      <w:color w:val="000000"/>
                    </w:rPr>
                  </w:pPr>
                  <w:r w:rsidRPr="008E5549">
                    <w:rPr>
                      <w:color w:val="000000"/>
                    </w:rPr>
                    <w:t>Shredding</w:t>
                  </w:r>
                </w:p>
                <w:p w:rsidR="00A33FF2" w:rsidRPr="008E5549" w:rsidRDefault="00A33FF2" w:rsidP="00162446">
                  <w:pPr>
                    <w:pStyle w:val="ListParagraph"/>
                    <w:numPr>
                      <w:ilvl w:val="0"/>
                      <w:numId w:val="7"/>
                    </w:numPr>
                    <w:spacing w:after="200" w:line="276" w:lineRule="auto"/>
                    <w:jc w:val="left"/>
                    <w:rPr>
                      <w:color w:val="000000"/>
                    </w:rPr>
                  </w:pPr>
                  <w:r w:rsidRPr="008E5549">
                    <w:rPr>
                      <w:color w:val="000000"/>
                    </w:rPr>
                    <w:t>Segregation</w:t>
                  </w:r>
                </w:p>
                <w:p w:rsidR="00A33FF2" w:rsidRPr="008E5549" w:rsidRDefault="00A33FF2" w:rsidP="00162446">
                  <w:pPr>
                    <w:pStyle w:val="ListParagraph"/>
                    <w:numPr>
                      <w:ilvl w:val="0"/>
                      <w:numId w:val="7"/>
                    </w:numPr>
                    <w:spacing w:after="200" w:line="276" w:lineRule="auto"/>
                    <w:jc w:val="left"/>
                    <w:rPr>
                      <w:color w:val="000000"/>
                    </w:rPr>
                  </w:pPr>
                  <w:r w:rsidRPr="008E5549">
                    <w:rPr>
                      <w:color w:val="000000"/>
                    </w:rPr>
                    <w:t>Reprocessing</w:t>
                  </w:r>
                </w:p>
              </w:txbxContent>
            </v:textbox>
            <w10:wrap type="tight"/>
          </v:shape>
        </w:pict>
      </w:r>
      <w:r>
        <w:rPr>
          <w:noProof/>
          <w:lang w:eastAsia="en-AU"/>
        </w:rPr>
        <w:pict>
          <v:shape id="Text Box 4" o:spid="_x0000_s1027" type="#_x0000_t202" style="position:absolute;left:0;text-align:left;margin-left:205.5pt;margin-top:5.45pt;width:130.7pt;height:282pt;z-index:-251656192;visibility:visible" wrapcoords="-124 0 -124 21543 21600 21543 21600 0 -12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" fillcolor="window" stroked="f" strokeweight=".5pt">
            <v:path arrowok="t"/>
            <v:textbox style="mso-next-textbox:#Text Box 4">
              <w:txbxContent>
                <w:p w:rsidR="00A33FF2" w:rsidRPr="008E5549" w:rsidRDefault="00A33FF2" w:rsidP="00C37543">
                  <w:pPr>
                    <w:rPr>
                      <w:color w:val="000000"/>
                    </w:rPr>
                  </w:pPr>
                </w:p>
                <w:p w:rsidR="00A33FF2" w:rsidRPr="008E5549" w:rsidRDefault="00A33FF2" w:rsidP="00C37543">
                  <w:pPr>
                    <w:rPr>
                      <w:b/>
                      <w:color w:val="000000"/>
                      <w:sz w:val="24"/>
                    </w:rPr>
                  </w:pPr>
                  <w:r w:rsidRPr="008E5549">
                    <w:rPr>
                      <w:b/>
                      <w:color w:val="000000"/>
                      <w:sz w:val="24"/>
                    </w:rPr>
                    <w:t>Collection location</w:t>
                  </w:r>
                </w:p>
                <w:p w:rsidR="00A33FF2" w:rsidRPr="008E5549" w:rsidRDefault="00A33FF2" w:rsidP="00C37543">
                  <w:pPr>
                    <w:rPr>
                      <w:color w:val="000000"/>
                    </w:rPr>
                  </w:pPr>
                </w:p>
                <w:p w:rsidR="00A33FF2" w:rsidRPr="008E5549" w:rsidRDefault="00A33FF2" w:rsidP="00C37543">
                  <w:pPr>
                    <w:rPr>
                      <w:color w:val="000000"/>
                    </w:rPr>
                  </w:pPr>
                </w:p>
                <w:p w:rsidR="00A33FF2" w:rsidRPr="008E5549" w:rsidRDefault="00A33FF2" w:rsidP="00C37543">
                  <w:pPr>
                    <w:rPr>
                      <w:color w:val="000000"/>
                    </w:rPr>
                  </w:pPr>
                </w:p>
                <w:p w:rsidR="00A33FF2" w:rsidRDefault="00A33FF2" w:rsidP="00C37543">
                  <w:pPr>
                    <w:jc w:val="center"/>
                  </w:pPr>
                  <w:r>
                    <w:rPr>
                      <w:noProof/>
                      <w:lang w:eastAsia="en-AU"/>
                    </w:rPr>
                    <w:drawing>
                      <wp:inline distT="0" distB="0" distL="0" distR="0">
                        <wp:extent cx="683895" cy="634365"/>
                        <wp:effectExtent l="19050" t="0" r="1905" b="0"/>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683895" cy="634365"/>
                                </a:xfrm>
                                <a:prstGeom prst="rect">
                                  <a:avLst/>
                                </a:prstGeom>
                                <a:noFill/>
                                <a:ln w="9525">
                                  <a:noFill/>
                                  <a:miter lim="800000"/>
                                  <a:headEnd/>
                                  <a:tailEnd/>
                                </a:ln>
                              </pic:spPr>
                            </pic:pic>
                          </a:graphicData>
                        </a:graphic>
                      </wp:inline>
                    </w:drawing>
                  </w:r>
                  <w:r>
                    <w:rPr>
                      <w:noProof/>
                      <w:lang w:eastAsia="en-AU"/>
                    </w:rPr>
                    <w:drawing>
                      <wp:inline distT="0" distB="0" distL="0" distR="0">
                        <wp:extent cx="683895" cy="634365"/>
                        <wp:effectExtent l="19050" t="0" r="1905"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683895" cy="634365"/>
                                </a:xfrm>
                                <a:prstGeom prst="rect">
                                  <a:avLst/>
                                </a:prstGeom>
                                <a:noFill/>
                                <a:ln w="9525">
                                  <a:noFill/>
                                  <a:miter lim="800000"/>
                                  <a:headEnd/>
                                  <a:tailEnd/>
                                </a:ln>
                              </pic:spPr>
                            </pic:pic>
                          </a:graphicData>
                        </a:graphic>
                      </wp:inline>
                    </w:drawing>
                  </w:r>
                </w:p>
              </w:txbxContent>
            </v:textbox>
            <w10:wrap type="tight"/>
          </v:shape>
        </w:pict>
      </w:r>
      <w:r w:rsidR="003E24B5">
        <w:rPr>
          <w:b/>
          <w:sz w:val="28"/>
        </w:rPr>
        <w:tab/>
      </w:r>
      <w:r w:rsidR="003E24B5">
        <w:rPr>
          <w:b/>
          <w:sz w:val="28"/>
        </w:rPr>
        <w:tab/>
      </w:r>
      <w:r w:rsidR="003E24B5">
        <w:rPr>
          <w:b/>
          <w:sz w:val="24"/>
        </w:rPr>
        <w:tab/>
      </w:r>
      <w:r w:rsidR="003E24B5">
        <w:rPr>
          <w:b/>
          <w:sz w:val="24"/>
        </w:rPr>
        <w:tab/>
        <w:t xml:space="preserve">                 </w:t>
      </w:r>
      <w:r w:rsidR="003E24B5" w:rsidRPr="00453030">
        <w:rPr>
          <w:b/>
          <w:sz w:val="28"/>
        </w:rPr>
        <w:t>Processers</w:t>
      </w:r>
      <w:r w:rsidR="003E24B5" w:rsidRPr="00453030">
        <w:rPr>
          <w:b/>
          <w:sz w:val="24"/>
        </w:rPr>
        <w:tab/>
      </w:r>
      <w:r w:rsidR="003E24B5">
        <w:rPr>
          <w:sz w:val="24"/>
        </w:rPr>
        <w:t xml:space="preserve">                       </w:t>
      </w:r>
      <w:r w:rsidR="003E24B5">
        <w:tab/>
        <w:t xml:space="preserve">                                               </w:t>
      </w:r>
      <w:r w:rsidR="003E24B5">
        <w:tab/>
      </w:r>
      <w:r w:rsidR="003E24B5">
        <w:tab/>
      </w:r>
      <w:r w:rsidR="003E24B5">
        <w:tab/>
      </w:r>
      <w:r w:rsidR="003E24B5">
        <w:tab/>
      </w:r>
      <w:r>
        <w:rPr>
          <w:noProof/>
          <w:lang w:eastAsia="en-AU"/>
        </w:rPr>
        <w:pict>
          <v:shape id="Text Box 2" o:spid="_x0000_s1026" type="#_x0000_t202" style="position:absolute;left:0;text-align:left;margin-left:1.5pt;margin-top:5.75pt;width:130.5pt;height:282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" stroked="f" strokeweight=".5pt">
            <v:path arrowok="t"/>
            <v:textbox style="mso-next-textbox:#Text Box 2">
              <w:txbxContent>
                <w:p w:rsidR="00A33FF2" w:rsidRDefault="00A33FF2" w:rsidP="00C37543"/>
                <w:p w:rsidR="00A33FF2" w:rsidRPr="008E5549" w:rsidRDefault="00A33FF2" w:rsidP="00C37543">
                  <w:pPr>
                    <w:jc w:val="center"/>
                    <w:rPr>
                      <w:b/>
                      <w:color w:val="000000"/>
                      <w:sz w:val="24"/>
                    </w:rPr>
                  </w:pPr>
                  <w:r>
                    <w:rPr>
                      <w:b/>
                    </w:rPr>
                    <w:t xml:space="preserve"> </w:t>
                  </w:r>
                  <w:r w:rsidRPr="008E5549">
                    <w:rPr>
                      <w:b/>
                      <w:color w:val="000000"/>
                      <w:sz w:val="24"/>
                    </w:rPr>
                    <w:t>Household and small business drop off</w:t>
                  </w:r>
                </w:p>
                <w:p w:rsidR="00A33FF2" w:rsidRDefault="00A33FF2" w:rsidP="00C37543"/>
                <w:p w:rsidR="00A33FF2" w:rsidRDefault="00A33FF2" w:rsidP="00C37543"/>
                <w:p w:rsidR="00A33FF2" w:rsidRDefault="00A33FF2" w:rsidP="00C37543">
                  <w:pPr>
                    <w:jc w:val="center"/>
                  </w:pPr>
                  <w:r>
                    <w:rPr>
                      <w:noProof/>
                      <w:lang w:eastAsia="en-AU"/>
                    </w:rPr>
                    <w:drawing>
                      <wp:inline distT="0" distB="0" distL="0" distR="0">
                        <wp:extent cx="831850" cy="502285"/>
                        <wp:effectExtent l="19050" t="0" r="6350" b="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831850" cy="502285"/>
                                </a:xfrm>
                                <a:prstGeom prst="rect">
                                  <a:avLst/>
                                </a:prstGeom>
                                <a:noFill/>
                                <a:ln w="9525">
                                  <a:noFill/>
                                  <a:miter lim="800000"/>
                                  <a:headEnd/>
                                  <a:tailEnd/>
                                </a:ln>
                              </pic:spPr>
                            </pic:pic>
                          </a:graphicData>
                        </a:graphic>
                      </wp:inline>
                    </w:drawing>
                  </w:r>
                  <w:r>
                    <w:rPr>
                      <w:noProof/>
                      <w:lang w:eastAsia="en-AU"/>
                    </w:rPr>
                    <w:drawing>
                      <wp:inline distT="0" distB="0" distL="0" distR="0">
                        <wp:extent cx="831850" cy="502285"/>
                        <wp:effectExtent l="19050" t="0" r="6350"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831850" cy="502285"/>
                                </a:xfrm>
                                <a:prstGeom prst="rect">
                                  <a:avLst/>
                                </a:prstGeom>
                                <a:noFill/>
                                <a:ln w="9525">
                                  <a:noFill/>
                                  <a:miter lim="800000"/>
                                  <a:headEnd/>
                                  <a:tailEnd/>
                                </a:ln>
                              </pic:spPr>
                            </pic:pic>
                          </a:graphicData>
                        </a:graphic>
                      </wp:inline>
                    </w:drawing>
                  </w:r>
                  <w:r>
                    <w:rPr>
                      <w:noProof/>
                      <w:lang w:eastAsia="en-AU"/>
                    </w:rPr>
                    <w:drawing>
                      <wp:inline distT="0" distB="0" distL="0" distR="0">
                        <wp:extent cx="831850" cy="502285"/>
                        <wp:effectExtent l="19050" t="0" r="6350" b="0"/>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831850" cy="502285"/>
                                </a:xfrm>
                                <a:prstGeom prst="rect">
                                  <a:avLst/>
                                </a:prstGeom>
                                <a:noFill/>
                                <a:ln w="9525">
                                  <a:noFill/>
                                  <a:miter lim="800000"/>
                                  <a:headEnd/>
                                  <a:tailEnd/>
                                </a:ln>
                              </pic:spPr>
                            </pic:pic>
                          </a:graphicData>
                        </a:graphic>
                      </wp:inline>
                    </w:drawing>
                  </w:r>
                </w:p>
              </w:txbxContent>
            </v:textbox>
          </v:shape>
        </w:pict>
      </w:r>
    </w:p>
    <w:p w:rsidR="003E24B5" w:rsidRPr="000F567E" w:rsidRDefault="003E24B5" w:rsidP="00C37543"/>
    <w:p w:rsidR="003E24B5" w:rsidRPr="000F567E" w:rsidRDefault="00BC5396" w:rsidP="00C37543">
      <w:r>
        <w:rPr>
          <w:noProof/>
          <w:lang w:eastAsia="en-AU"/>
        </w:rPr>
        <w:pict>
          <v:shape id="Text Box 25" o:spid="_x0000_s1031" type="#_x0000_t202" style="position:absolute;left:0;text-align:left;margin-left:543.75pt;margin-top:2.85pt;width:85.5pt;height:21.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" stroked="f" strokeweight=".5pt">
            <v:path arrowok="t"/>
            <v:textbox style="mso-next-textbox:#Text Box 25">
              <w:txbxContent>
                <w:p w:rsidR="00A33FF2" w:rsidRPr="008E5549" w:rsidRDefault="00A33FF2" w:rsidP="00C37543">
                  <w:pPr>
                    <w:rPr>
                      <w:b/>
                      <w:color w:val="000000"/>
                      <w:sz w:val="24"/>
                    </w:rPr>
                  </w:pPr>
                  <w:r w:rsidRPr="008E5549">
                    <w:rPr>
                      <w:b/>
                      <w:color w:val="000000"/>
                      <w:sz w:val="24"/>
                    </w:rPr>
                    <w:t>Transport</w:t>
                  </w:r>
                </w:p>
              </w:txbxContent>
            </v:textbox>
          </v:shape>
        </w:pict>
      </w:r>
      <w:r>
        <w:rPr>
          <w:noProof/>
          <w:lang w:eastAsia="en-AU"/>
        </w:rPr>
        <w:pict>
          <v:shape id="Text Box 24" o:spid="_x0000_s1030" type="#_x0000_t202" style="position:absolute;left:0;text-align:left;margin-left:331.7pt;margin-top:2.85pt;width:74.8pt;height:21.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" stroked="f" strokeweight=".5pt">
            <v:path arrowok="t"/>
            <v:textbox style="mso-next-textbox:#Text Box 24">
              <w:txbxContent>
                <w:p w:rsidR="00A33FF2" w:rsidRPr="008E5549" w:rsidRDefault="00A33FF2" w:rsidP="00C37543">
                  <w:pPr>
                    <w:rPr>
                      <w:b/>
                      <w:color w:val="000000"/>
                      <w:sz w:val="24"/>
                    </w:rPr>
                  </w:pPr>
                  <w:r w:rsidRPr="008E5549">
                    <w:rPr>
                      <w:b/>
                      <w:color w:val="000000"/>
                      <w:sz w:val="24"/>
                    </w:rPr>
                    <w:t>Transport</w:t>
                  </w:r>
                </w:p>
              </w:txbxContent>
            </v:textbox>
          </v:shape>
        </w:pict>
      </w:r>
      <w:r w:rsidR="00C51BAA">
        <w:rPr>
          <w:noProof/>
          <w:lang w:eastAsia="en-AU"/>
        </w:rPr>
        <w:drawing>
          <wp:anchor distT="0" distB="0" distL="114300" distR="114300" simplePos="0" relativeHeight="251658240" behindDoc="0" locked="0" layoutInCell="1" allowOverlap="1">
            <wp:simplePos x="0" y="0"/>
            <wp:positionH relativeFrom="column">
              <wp:posOffset>7124065</wp:posOffset>
            </wp:positionH>
            <wp:positionV relativeFrom="paragraph">
              <wp:posOffset>182245</wp:posOffset>
            </wp:positionV>
            <wp:extent cx="552450" cy="552450"/>
            <wp:effectExtent l="19050" t="0" r="0" b="0"/>
            <wp:wrapSquare wrapText="bothSides"/>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552450" cy="552450"/>
                    </a:xfrm>
                    <a:prstGeom prst="rect">
                      <a:avLst/>
                    </a:prstGeom>
                    <a:noFill/>
                  </pic:spPr>
                </pic:pic>
              </a:graphicData>
            </a:graphic>
          </wp:anchor>
        </w:drawing>
      </w:r>
      <w:r w:rsidR="00C51BAA">
        <w:rPr>
          <w:noProof/>
          <w:lang w:eastAsia="en-AU"/>
        </w:rPr>
        <w:drawing>
          <wp:anchor distT="0" distB="0" distL="114300" distR="114300" simplePos="0" relativeHeight="251657216" behindDoc="0" locked="0" layoutInCell="1" allowOverlap="1">
            <wp:simplePos x="0" y="0"/>
            <wp:positionH relativeFrom="column">
              <wp:posOffset>4533900</wp:posOffset>
            </wp:positionH>
            <wp:positionV relativeFrom="paragraph">
              <wp:posOffset>177165</wp:posOffset>
            </wp:positionV>
            <wp:extent cx="552450" cy="552450"/>
            <wp:effectExtent l="19050" t="0" r="0" b="0"/>
            <wp:wrapSquare wrapText="bothSides"/>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552450" cy="552450"/>
                    </a:xfrm>
                    <a:prstGeom prst="rect">
                      <a:avLst/>
                    </a:prstGeom>
                    <a:noFill/>
                  </pic:spPr>
                </pic:pic>
              </a:graphicData>
            </a:graphic>
          </wp:anchor>
        </w:drawing>
      </w:r>
      <w:r w:rsidR="003E24B5">
        <w:tab/>
      </w:r>
      <w:r w:rsidR="003E24B5">
        <w:tab/>
      </w:r>
      <w:r w:rsidR="003E24B5">
        <w:tab/>
      </w:r>
      <w:r w:rsidR="003E24B5">
        <w:tab/>
      </w:r>
      <w:r w:rsidR="003E24B5">
        <w:tab/>
      </w:r>
      <w:r w:rsidR="003E24B5">
        <w:tab/>
      </w:r>
      <w:r w:rsidR="003E24B5">
        <w:tab/>
      </w:r>
      <w:r w:rsidR="003E24B5">
        <w:tab/>
      </w:r>
      <w:r w:rsidR="003E24B5">
        <w:tab/>
      </w:r>
      <w:r w:rsidR="003E24B5">
        <w:tab/>
      </w:r>
      <w:r w:rsidR="003E24B5">
        <w:tab/>
      </w:r>
      <w:r w:rsidR="003E24B5">
        <w:tab/>
      </w:r>
      <w:r w:rsidR="003E24B5">
        <w:tab/>
      </w:r>
      <w:r w:rsidR="003E24B5">
        <w:tab/>
      </w:r>
    </w:p>
    <w:p w:rsidR="003E24B5" w:rsidRPr="000F567E" w:rsidRDefault="003E24B5" w:rsidP="00C37543"/>
    <w:p w:rsidR="003E24B5" w:rsidRDefault="00C51BAA" w:rsidP="00C37543">
      <w:r>
        <w:rPr>
          <w:noProof/>
          <w:lang w:eastAsia="en-AU"/>
        </w:rPr>
        <w:drawing>
          <wp:anchor distT="0" distB="0" distL="114300" distR="114300" simplePos="0" relativeHeight="251652096" behindDoc="1" locked="0" layoutInCell="1" allowOverlap="1">
            <wp:simplePos x="0" y="0"/>
            <wp:positionH relativeFrom="column">
              <wp:posOffset>4533900</wp:posOffset>
            </wp:positionH>
            <wp:positionV relativeFrom="paragraph">
              <wp:posOffset>422275</wp:posOffset>
            </wp:positionV>
            <wp:extent cx="628650" cy="398145"/>
            <wp:effectExtent l="19050" t="0" r="0" b="0"/>
            <wp:wrapTight wrapText="bothSides">
              <wp:wrapPolygon edited="0">
                <wp:start x="10473" y="0"/>
                <wp:lineTo x="-655" y="5167"/>
                <wp:lineTo x="-655" y="14469"/>
                <wp:lineTo x="11127" y="16536"/>
                <wp:lineTo x="11127" y="20670"/>
                <wp:lineTo x="13745" y="20670"/>
                <wp:lineTo x="14400" y="20670"/>
                <wp:lineTo x="17018" y="17569"/>
                <wp:lineTo x="17018" y="16536"/>
                <wp:lineTo x="21600" y="9301"/>
                <wp:lineTo x="21600" y="8268"/>
                <wp:lineTo x="14400" y="0"/>
                <wp:lineTo x="10473" y="0"/>
              </wp:wrapPolygon>
            </wp:wrapTight>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628650" cy="398145"/>
                    </a:xfrm>
                    <a:prstGeom prst="rect">
                      <a:avLst/>
                    </a:prstGeom>
                    <a:noFill/>
                  </pic:spPr>
                </pic:pic>
              </a:graphicData>
            </a:graphic>
          </wp:anchor>
        </w:drawing>
      </w:r>
    </w:p>
    <w:p w:rsidR="003E24B5" w:rsidRDefault="00C51BAA" w:rsidP="00C37543">
      <w:pPr>
        <w:tabs>
          <w:tab w:val="left" w:pos="3225"/>
        </w:tabs>
      </w:pPr>
      <w:r>
        <w:rPr>
          <w:noProof/>
          <w:lang w:eastAsia="en-AU"/>
        </w:rPr>
        <w:drawing>
          <wp:anchor distT="0" distB="0" distL="114300" distR="114300" simplePos="0" relativeHeight="251656192" behindDoc="1" locked="0" layoutInCell="1" allowOverlap="1">
            <wp:simplePos x="0" y="0"/>
            <wp:positionH relativeFrom="column">
              <wp:posOffset>7124700</wp:posOffset>
            </wp:positionH>
            <wp:positionV relativeFrom="paragraph">
              <wp:posOffset>95250</wp:posOffset>
            </wp:positionV>
            <wp:extent cx="628650" cy="398145"/>
            <wp:effectExtent l="19050" t="0" r="0" b="0"/>
            <wp:wrapTight wrapText="bothSides">
              <wp:wrapPolygon edited="0">
                <wp:start x="10473" y="0"/>
                <wp:lineTo x="-655" y="5167"/>
                <wp:lineTo x="-655" y="14469"/>
                <wp:lineTo x="11127" y="16536"/>
                <wp:lineTo x="11127" y="20670"/>
                <wp:lineTo x="13745" y="20670"/>
                <wp:lineTo x="14400" y="20670"/>
                <wp:lineTo x="17018" y="17569"/>
                <wp:lineTo x="17018" y="16536"/>
                <wp:lineTo x="21600" y="9301"/>
                <wp:lineTo x="21600" y="8268"/>
                <wp:lineTo x="14400" y="0"/>
                <wp:lineTo x="10473" y="0"/>
              </wp:wrapPolygon>
            </wp:wrapTight>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628650" cy="398145"/>
                    </a:xfrm>
                    <a:prstGeom prst="rect">
                      <a:avLst/>
                    </a:prstGeom>
                    <a:noFill/>
                  </pic:spPr>
                </pic:pic>
              </a:graphicData>
            </a:graphic>
          </wp:anchor>
        </w:drawing>
      </w:r>
      <w:r>
        <w:rPr>
          <w:noProof/>
          <w:lang w:eastAsia="en-AU"/>
        </w:rPr>
        <w:drawing>
          <wp:anchor distT="0" distB="0" distL="114300" distR="114300" simplePos="0" relativeHeight="251651072" behindDoc="1" locked="0" layoutInCell="1" allowOverlap="1">
            <wp:simplePos x="0" y="0"/>
            <wp:positionH relativeFrom="column">
              <wp:posOffset>1781175</wp:posOffset>
            </wp:positionH>
            <wp:positionV relativeFrom="paragraph">
              <wp:posOffset>85725</wp:posOffset>
            </wp:positionV>
            <wp:extent cx="628650" cy="398145"/>
            <wp:effectExtent l="19050" t="0" r="0" b="0"/>
            <wp:wrapTight wrapText="bothSides">
              <wp:wrapPolygon edited="0">
                <wp:start x="10473" y="0"/>
                <wp:lineTo x="-655" y="5167"/>
                <wp:lineTo x="-655" y="14469"/>
                <wp:lineTo x="11127" y="16536"/>
                <wp:lineTo x="11127" y="20670"/>
                <wp:lineTo x="13745" y="20670"/>
                <wp:lineTo x="14400" y="20670"/>
                <wp:lineTo x="17018" y="17569"/>
                <wp:lineTo x="17018" y="16536"/>
                <wp:lineTo x="21600" y="9301"/>
                <wp:lineTo x="21600" y="8268"/>
                <wp:lineTo x="14400" y="0"/>
                <wp:lineTo x="10473" y="0"/>
              </wp:wrapPolygon>
            </wp:wrapTight>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628650" cy="398145"/>
                    </a:xfrm>
                    <a:prstGeom prst="rect">
                      <a:avLst/>
                    </a:prstGeom>
                    <a:noFill/>
                  </pic:spPr>
                </pic:pic>
              </a:graphicData>
            </a:graphic>
          </wp:anchor>
        </w:drawing>
      </w:r>
      <w:r w:rsidR="003E24B5">
        <w:tab/>
      </w:r>
    </w:p>
    <w:p w:rsidR="003E24B5" w:rsidRDefault="003E24B5" w:rsidP="00C37543">
      <w:pPr>
        <w:jc w:val="center"/>
      </w:pPr>
    </w:p>
    <w:p w:rsidR="003E24B5" w:rsidRPr="00F8315C" w:rsidRDefault="003E24B5" w:rsidP="00C37543"/>
    <w:p w:rsidR="003E24B5" w:rsidRPr="00F8315C" w:rsidRDefault="003E24B5" w:rsidP="00C37543"/>
    <w:p w:rsidR="003E24B5" w:rsidRPr="00F8315C" w:rsidRDefault="003E24B5" w:rsidP="00C37543"/>
    <w:p w:rsidR="003E24B5" w:rsidRPr="00F8315C" w:rsidRDefault="003E24B5" w:rsidP="00C37543"/>
    <w:p w:rsidR="003E24B5" w:rsidRPr="00F8315C" w:rsidRDefault="003E24B5" w:rsidP="00C37543"/>
    <w:p w:rsidR="003E24B5" w:rsidRPr="00C37543" w:rsidRDefault="003E24B5" w:rsidP="00C37543">
      <w:pPr>
        <w:pStyle w:val="Caption"/>
      </w:pPr>
      <w:bookmarkStart w:id="40" w:name="_Toc284232050"/>
      <w:r>
        <w:t xml:space="preserve">Figure </w:t>
      </w:r>
      <w:fldSimple w:instr=" SEQ Figure \* ARABIC ">
        <w:r w:rsidR="00235045">
          <w:rPr>
            <w:noProof/>
          </w:rPr>
          <w:t>1</w:t>
        </w:r>
      </w:fldSimple>
      <w:r>
        <w:t xml:space="preserve">: </w:t>
      </w:r>
      <w:r w:rsidRPr="00F8315C">
        <w:t xml:space="preserve"> Parties </w:t>
      </w:r>
      <w:r>
        <w:t>involved in the scheme</w:t>
      </w:r>
      <w:bookmarkEnd w:id="40"/>
    </w:p>
    <w:p w:rsidR="003E24B5" w:rsidRDefault="003E24B5" w:rsidP="002C1A32">
      <w:pPr>
        <w:jc w:val="left"/>
        <w:sectPr w:rsidR="003E24B5" w:rsidSect="00651BB0">
          <w:pgSz w:w="16839" w:h="11907" w:orient="landscape" w:code="9"/>
          <w:pgMar w:top="1701" w:right="851" w:bottom="1134" w:left="851" w:header="425" w:footer="425" w:gutter="0"/>
          <w:cols w:space="708"/>
          <w:docGrid w:linePitch="360"/>
        </w:sectPr>
      </w:pPr>
      <w:r w:rsidRPr="00607979">
        <w:rPr>
          <w:u w:val="single"/>
        </w:rPr>
        <w:t>Note:</w:t>
      </w:r>
      <w:r>
        <w:t xml:space="preserve"> While collection locations will be designed to store TV and computer waste, it is possible that</w:t>
      </w:r>
      <w:r w:rsidRPr="00607979">
        <w:t xml:space="preserve"> </w:t>
      </w:r>
      <w:r>
        <w:t xml:space="preserve">some </w:t>
      </w:r>
      <w:r w:rsidRPr="00607979">
        <w:t xml:space="preserve">storage </w:t>
      </w:r>
      <w:r>
        <w:t xml:space="preserve">may also occur at </w:t>
      </w:r>
      <w:r w:rsidRPr="00607979">
        <w:t>collection location</w:t>
      </w:r>
      <w:r>
        <w:t>s</w:t>
      </w:r>
      <w:r w:rsidRPr="00607979">
        <w:t>, transport</w:t>
      </w:r>
      <w:r>
        <w:t>er depots</w:t>
      </w:r>
      <w:r w:rsidRPr="00607979">
        <w:t>, primary recycler</w:t>
      </w:r>
      <w:r>
        <w:t xml:space="preserve">s and </w:t>
      </w:r>
      <w:r w:rsidRPr="00607979">
        <w:t>downstream processors.</w:t>
      </w:r>
    </w:p>
    <w:p w:rsidR="003E24B5" w:rsidRDefault="003E24B5" w:rsidP="00162446">
      <w:pPr>
        <w:pStyle w:val="KMHNumberheading20"/>
        <w:numPr>
          <w:ilvl w:val="1"/>
          <w:numId w:val="56"/>
        </w:numPr>
      </w:pPr>
      <w:bookmarkStart w:id="41" w:name="_Toc287018231"/>
      <w:r>
        <w:lastRenderedPageBreak/>
        <w:t>Stakeholder consultation</w:t>
      </w:r>
      <w:bookmarkEnd w:id="41"/>
    </w:p>
    <w:p w:rsidR="003E24B5" w:rsidRDefault="003E24B5" w:rsidP="00E67BB1">
      <w:r>
        <w:t>Stakeholder views were sought on the DIIS, using a structured questioning approach, designed to target the following key areas relating to the DIIS:</w:t>
      </w:r>
    </w:p>
    <w:p w:rsidR="003E24B5" w:rsidRDefault="003E24B5" w:rsidP="00162446">
      <w:pPr>
        <w:pStyle w:val="ListParagraph"/>
        <w:numPr>
          <w:ilvl w:val="0"/>
          <w:numId w:val="4"/>
        </w:numPr>
      </w:pPr>
      <w:r>
        <w:t>Best Practice</w:t>
      </w:r>
    </w:p>
    <w:p w:rsidR="003E24B5" w:rsidRDefault="003E24B5" w:rsidP="00162446">
      <w:pPr>
        <w:pStyle w:val="ListParagraph"/>
        <w:numPr>
          <w:ilvl w:val="0"/>
          <w:numId w:val="4"/>
        </w:numPr>
      </w:pPr>
      <w:r>
        <w:t>Occupational health and safety</w:t>
      </w:r>
    </w:p>
    <w:p w:rsidR="003E24B5" w:rsidRDefault="003E24B5" w:rsidP="00162446">
      <w:pPr>
        <w:pStyle w:val="ListParagraph"/>
        <w:numPr>
          <w:ilvl w:val="0"/>
          <w:numId w:val="4"/>
        </w:numPr>
      </w:pPr>
      <w:r>
        <w:t>Provision of an adequate auditing regime</w:t>
      </w:r>
    </w:p>
    <w:p w:rsidR="003E24B5" w:rsidRDefault="003E24B5" w:rsidP="00162446">
      <w:pPr>
        <w:pStyle w:val="ListParagraph"/>
        <w:numPr>
          <w:ilvl w:val="0"/>
          <w:numId w:val="4"/>
        </w:numPr>
      </w:pPr>
      <w:r>
        <w:t>A</w:t>
      </w:r>
      <w:r w:rsidRPr="004330CF">
        <w:t>ppropriate</w:t>
      </w:r>
      <w:r>
        <w:t>ness</w:t>
      </w:r>
      <w:r w:rsidRPr="004330CF">
        <w:t xml:space="preserve"> for an Australian context</w:t>
      </w:r>
    </w:p>
    <w:p w:rsidR="003E24B5" w:rsidRDefault="003E24B5" w:rsidP="00162446">
      <w:pPr>
        <w:pStyle w:val="ListParagraph"/>
        <w:numPr>
          <w:ilvl w:val="0"/>
          <w:numId w:val="4"/>
        </w:numPr>
      </w:pPr>
      <w:r>
        <w:t>International obligations</w:t>
      </w:r>
    </w:p>
    <w:p w:rsidR="003E24B5" w:rsidRDefault="003E24B5" w:rsidP="00162446">
      <w:pPr>
        <w:pStyle w:val="ListParagraph"/>
        <w:numPr>
          <w:ilvl w:val="0"/>
          <w:numId w:val="4"/>
        </w:numPr>
      </w:pPr>
      <w:r>
        <w:t>Costs for implementation</w:t>
      </w:r>
    </w:p>
    <w:p w:rsidR="003E24B5" w:rsidRDefault="003E24B5" w:rsidP="00E67BB1">
      <w:r>
        <w:t>Stakeholders consulted were sourced from the membership of the Stakeholder Reference Group (SRG) for the National Television and Computer Product Stewardship Scheme, and can be broadly categorised as representing:</w:t>
      </w:r>
    </w:p>
    <w:p w:rsidR="003E24B5" w:rsidRDefault="003E24B5" w:rsidP="00162446">
      <w:pPr>
        <w:pStyle w:val="ListParagraph"/>
        <w:numPr>
          <w:ilvl w:val="0"/>
          <w:numId w:val="5"/>
        </w:numPr>
      </w:pPr>
      <w:r>
        <w:t>Jurisdictional governments;</w:t>
      </w:r>
    </w:p>
    <w:p w:rsidR="003E24B5" w:rsidRDefault="003E24B5" w:rsidP="00162446">
      <w:pPr>
        <w:pStyle w:val="ListParagraph"/>
        <w:numPr>
          <w:ilvl w:val="0"/>
          <w:numId w:val="5"/>
        </w:numPr>
      </w:pPr>
      <w:r>
        <w:t>Local government;</w:t>
      </w:r>
    </w:p>
    <w:p w:rsidR="003E24B5" w:rsidRDefault="003E24B5" w:rsidP="00162446">
      <w:pPr>
        <w:pStyle w:val="ListParagraph"/>
        <w:numPr>
          <w:ilvl w:val="0"/>
          <w:numId w:val="5"/>
        </w:numPr>
      </w:pPr>
      <w:r>
        <w:t>Industry Associations;</w:t>
      </w:r>
    </w:p>
    <w:p w:rsidR="003E24B5" w:rsidRDefault="003E24B5" w:rsidP="00162446">
      <w:pPr>
        <w:pStyle w:val="ListParagraph"/>
        <w:numPr>
          <w:ilvl w:val="0"/>
          <w:numId w:val="5"/>
        </w:numPr>
      </w:pPr>
      <w:r>
        <w:t>Non-government Organisations (NGO’s); and</w:t>
      </w:r>
    </w:p>
    <w:p w:rsidR="003E24B5" w:rsidRDefault="003E24B5" w:rsidP="00162446">
      <w:pPr>
        <w:pStyle w:val="ListParagraph"/>
        <w:numPr>
          <w:ilvl w:val="0"/>
          <w:numId w:val="5"/>
        </w:numPr>
      </w:pPr>
      <w:r>
        <w:t>The recycling industry.</w:t>
      </w:r>
    </w:p>
    <w:p w:rsidR="003E24B5" w:rsidRPr="00DA619D" w:rsidRDefault="003E24B5" w:rsidP="00E67BB1">
      <w:r w:rsidRPr="00CF2356">
        <w:t xml:space="preserve">These comments are provided in Appendix </w:t>
      </w:r>
      <w:r>
        <w:t>A</w:t>
      </w:r>
      <w:r w:rsidRPr="00CF2356">
        <w:t>.</w:t>
      </w:r>
    </w:p>
    <w:p w:rsidR="003E24B5" w:rsidRDefault="003E24B5" w:rsidP="009A5453">
      <w:pPr>
        <w:ind w:left="720"/>
      </w:pPr>
    </w:p>
    <w:p w:rsidR="003E24B5" w:rsidRPr="00285EA9" w:rsidRDefault="003E24B5" w:rsidP="009A5453">
      <w:pPr>
        <w:ind w:left="720"/>
      </w:pPr>
    </w:p>
    <w:p w:rsidR="003E24B5" w:rsidRDefault="003E24B5">
      <w:pPr>
        <w:spacing w:after="200" w:line="276" w:lineRule="auto"/>
        <w:jc w:val="left"/>
      </w:pPr>
      <w:r>
        <w:br w:type="page"/>
      </w:r>
    </w:p>
    <w:p w:rsidR="003E24B5" w:rsidRDefault="003E24B5" w:rsidP="00162446">
      <w:pPr>
        <w:pStyle w:val="KMHNumberHeading1"/>
        <w:numPr>
          <w:ilvl w:val="0"/>
          <w:numId w:val="56"/>
        </w:numPr>
      </w:pPr>
      <w:bookmarkStart w:id="42" w:name="_Toc287018232"/>
      <w:r>
        <w:lastRenderedPageBreak/>
        <w:t>Methodology</w:t>
      </w:r>
      <w:bookmarkEnd w:id="42"/>
    </w:p>
    <w:p w:rsidR="003E24B5" w:rsidRPr="00C13CA1" w:rsidRDefault="003E24B5" w:rsidP="00651BB0">
      <w:r>
        <w:t>The following section provides a detailed explanation of the methodology undertaken to complete the required analysis and assessment of the risks and costs associated with the adoption and implementation of the DIIS.</w:t>
      </w:r>
    </w:p>
    <w:p w:rsidR="003E24B5" w:rsidRDefault="003E24B5" w:rsidP="00162446">
      <w:pPr>
        <w:pStyle w:val="KMHNumberheading20"/>
        <w:numPr>
          <w:ilvl w:val="1"/>
          <w:numId w:val="56"/>
        </w:numPr>
      </w:pPr>
      <w:bookmarkStart w:id="43" w:name="_Toc287018233"/>
      <w:r w:rsidRPr="00DA619D">
        <w:t xml:space="preserve">Risk assessment of the </w:t>
      </w:r>
      <w:r>
        <w:t>DIIS</w:t>
      </w:r>
      <w:r w:rsidRPr="00DA619D">
        <w:t>, from an OH&amp;S and environmental perspective</w:t>
      </w:r>
      <w:bookmarkEnd w:id="43"/>
    </w:p>
    <w:p w:rsidR="003E24B5" w:rsidRDefault="003E24B5" w:rsidP="00F62800">
      <w:r>
        <w:t xml:space="preserve">In performing the risk assessment and developing the risk treatment plan, KMH has adopted the process outlined in </w:t>
      </w:r>
      <w:r w:rsidRPr="00DA619D">
        <w:t xml:space="preserve">the international risk management standard </w:t>
      </w:r>
      <w:r w:rsidRPr="00DA619D">
        <w:rPr>
          <w:i/>
          <w:iCs/>
        </w:rPr>
        <w:t>ISO 31000:2009 - Risk Management Principles and Guidelines</w:t>
      </w:r>
      <w:r>
        <w:t xml:space="preserve"> and summarised in the following diagram. The DSEWPaC Risk Management Guidelines were also adhered to in conducting the risk assessment. </w:t>
      </w:r>
    </w:p>
    <w:p w:rsidR="003E24B5" w:rsidRDefault="00C51BAA" w:rsidP="00F62800">
      <w:pPr>
        <w:jc w:val="center"/>
      </w:pPr>
      <w:r>
        <w:rPr>
          <w:noProof/>
          <w:lang w:eastAsia="en-AU"/>
        </w:rPr>
        <w:drawing>
          <wp:inline distT="0" distB="0" distL="0" distR="0">
            <wp:extent cx="3311525" cy="3402330"/>
            <wp:effectExtent l="19050" t="0" r="3175" b="0"/>
            <wp:docPr id="15" name="Picture 0" descr="iso 31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so 31000.gif"/>
                    <pic:cNvPicPr>
                      <a:picLocks noChangeAspect="1" noChangeArrowheads="1"/>
                    </pic:cNvPicPr>
                  </pic:nvPicPr>
                  <pic:blipFill>
                    <a:blip r:embed="rId30"/>
                    <a:srcRect/>
                    <a:stretch>
                      <a:fillRect/>
                    </a:stretch>
                  </pic:blipFill>
                  <pic:spPr bwMode="auto">
                    <a:xfrm>
                      <a:off x="0" y="0"/>
                      <a:ext cx="3311525" cy="3402330"/>
                    </a:xfrm>
                    <a:prstGeom prst="rect">
                      <a:avLst/>
                    </a:prstGeom>
                    <a:noFill/>
                    <a:ln w="9525">
                      <a:noFill/>
                      <a:miter lim="800000"/>
                      <a:headEnd/>
                      <a:tailEnd/>
                    </a:ln>
                  </pic:spPr>
                </pic:pic>
              </a:graphicData>
            </a:graphic>
          </wp:inline>
        </w:drawing>
      </w:r>
    </w:p>
    <w:p w:rsidR="003E24B5" w:rsidRDefault="003E24B5" w:rsidP="00EC70FC">
      <w:pPr>
        <w:pStyle w:val="Caption"/>
      </w:pPr>
      <w:bookmarkStart w:id="44" w:name="_Toc284232051"/>
      <w:r>
        <w:t xml:space="preserve">Figure </w:t>
      </w:r>
      <w:fldSimple w:instr=" SEQ Figure \* ARABIC ">
        <w:r w:rsidR="00235045">
          <w:rPr>
            <w:noProof/>
          </w:rPr>
          <w:t>2</w:t>
        </w:r>
      </w:fldSimple>
      <w:r>
        <w:t>:  Summary of the Risk Management Process</w:t>
      </w:r>
      <w:bookmarkEnd w:id="44"/>
    </w:p>
    <w:p w:rsidR="003E24B5" w:rsidRDefault="003E24B5" w:rsidP="00162446">
      <w:pPr>
        <w:pStyle w:val="KMHNumberHeading3"/>
        <w:numPr>
          <w:ilvl w:val="2"/>
          <w:numId w:val="56"/>
        </w:numPr>
      </w:pPr>
      <w:r>
        <w:t>Context Statement</w:t>
      </w:r>
    </w:p>
    <w:p w:rsidR="003E24B5" w:rsidRDefault="003E24B5" w:rsidP="00CA0BC7">
      <w:r>
        <w:t>The context statement has been prepared following a desktop review of a number of key documents provided by DSEWPaC, including:</w:t>
      </w:r>
    </w:p>
    <w:p w:rsidR="003E24B5" w:rsidRDefault="003E24B5" w:rsidP="00162446">
      <w:pPr>
        <w:pStyle w:val="ListParagraph"/>
        <w:numPr>
          <w:ilvl w:val="0"/>
          <w:numId w:val="11"/>
        </w:numPr>
      </w:pPr>
      <w:r>
        <w:t>The DIIS</w:t>
      </w:r>
    </w:p>
    <w:p w:rsidR="003E24B5" w:rsidRDefault="003E24B5" w:rsidP="00162446">
      <w:pPr>
        <w:pStyle w:val="ListParagraph"/>
        <w:numPr>
          <w:ilvl w:val="0"/>
          <w:numId w:val="11"/>
        </w:numPr>
      </w:pPr>
      <w:r>
        <w:t>S</w:t>
      </w:r>
      <w:r w:rsidRPr="00DA619D">
        <w:t xml:space="preserve">takeholder feedback on the </w:t>
      </w:r>
      <w:r>
        <w:t>DIIS provided by DSEWPaC (see Appendix A)</w:t>
      </w:r>
    </w:p>
    <w:p w:rsidR="003E24B5" w:rsidRDefault="003E24B5" w:rsidP="00162446">
      <w:pPr>
        <w:pStyle w:val="ListParagraph"/>
        <w:numPr>
          <w:ilvl w:val="0"/>
          <w:numId w:val="11"/>
        </w:numPr>
        <w:rPr>
          <w:bCs/>
          <w:lang w:val="en-US"/>
        </w:rPr>
      </w:pPr>
      <w:r>
        <w:rPr>
          <w:bCs/>
          <w:lang w:val="en-US"/>
        </w:rPr>
        <w:t xml:space="preserve">DSEWPaC - </w:t>
      </w:r>
      <w:r w:rsidRPr="00143464">
        <w:rPr>
          <w:bCs/>
          <w:lang w:val="en-US"/>
        </w:rPr>
        <w:t>Risk Management Guidelines</w:t>
      </w:r>
    </w:p>
    <w:p w:rsidR="003E24B5" w:rsidRDefault="003E24B5" w:rsidP="00162446">
      <w:pPr>
        <w:pStyle w:val="ListParagraph"/>
        <w:numPr>
          <w:ilvl w:val="0"/>
          <w:numId w:val="11"/>
        </w:numPr>
        <w:rPr>
          <w:bCs/>
          <w:lang w:val="en-US"/>
        </w:rPr>
      </w:pPr>
      <w:r w:rsidRPr="00143464">
        <w:rPr>
          <w:bCs/>
          <w:lang w:val="en-US"/>
        </w:rPr>
        <w:t xml:space="preserve">National TV and Computer Product Stewardship Scheme Implementation Working Group </w:t>
      </w:r>
      <w:r>
        <w:rPr>
          <w:bCs/>
          <w:lang w:val="en-US"/>
        </w:rPr>
        <w:t xml:space="preserve"> - </w:t>
      </w:r>
      <w:r w:rsidRPr="00143464">
        <w:rPr>
          <w:bCs/>
          <w:lang w:val="en-US"/>
        </w:rPr>
        <w:t>Stakeholder Risk Analysis Workshop Outcomes</w:t>
      </w:r>
    </w:p>
    <w:p w:rsidR="003E24B5" w:rsidRDefault="003E24B5" w:rsidP="00162446">
      <w:pPr>
        <w:pStyle w:val="ListParagraph"/>
        <w:numPr>
          <w:ilvl w:val="0"/>
          <w:numId w:val="11"/>
        </w:numPr>
        <w:rPr>
          <w:bCs/>
          <w:lang w:val="en-US"/>
        </w:rPr>
      </w:pPr>
      <w:bookmarkStart w:id="45" w:name="_Toc259546962"/>
      <w:bookmarkStart w:id="46" w:name="_Toc260839018"/>
      <w:bookmarkStart w:id="47" w:name="_Toc260839151"/>
      <w:bookmarkStart w:id="48" w:name="_Toc260839340"/>
      <w:bookmarkStart w:id="49" w:name="_Toc262816348"/>
      <w:bookmarkStart w:id="50" w:name="_Toc263778789"/>
      <w:bookmarkStart w:id="51" w:name="_Toc263779229"/>
      <w:r w:rsidRPr="00667B68">
        <w:rPr>
          <w:bCs/>
          <w:lang w:val="en-US"/>
        </w:rPr>
        <w:t>A</w:t>
      </w:r>
      <w:r>
        <w:rPr>
          <w:bCs/>
          <w:lang w:val="en-US"/>
        </w:rPr>
        <w:t>IIA</w:t>
      </w:r>
      <w:r w:rsidRPr="00667B68">
        <w:rPr>
          <w:bCs/>
          <w:lang w:val="en-US"/>
        </w:rPr>
        <w:t xml:space="preserve"> E-Sig</w:t>
      </w:r>
      <w:bookmarkEnd w:id="45"/>
      <w:bookmarkEnd w:id="46"/>
      <w:bookmarkEnd w:id="47"/>
      <w:bookmarkEnd w:id="48"/>
      <w:r w:rsidRPr="00667B68">
        <w:rPr>
          <w:bCs/>
          <w:lang w:val="en-US"/>
        </w:rPr>
        <w:t>/P</w:t>
      </w:r>
      <w:bookmarkEnd w:id="49"/>
      <w:bookmarkEnd w:id="50"/>
      <w:bookmarkEnd w:id="51"/>
      <w:r>
        <w:rPr>
          <w:bCs/>
          <w:lang w:val="en-US"/>
        </w:rPr>
        <w:t>SA</w:t>
      </w:r>
      <w:r w:rsidRPr="00667B68">
        <w:rPr>
          <w:bCs/>
          <w:lang w:val="en-US"/>
        </w:rPr>
        <w:t xml:space="preserve"> </w:t>
      </w:r>
      <w:bookmarkStart w:id="52" w:name="_Toc259546963"/>
      <w:bookmarkStart w:id="53" w:name="_Toc260839019"/>
      <w:bookmarkStart w:id="54" w:name="_Toc260839152"/>
      <w:bookmarkStart w:id="55" w:name="_Toc260839341"/>
      <w:bookmarkStart w:id="56" w:name="_Toc262816349"/>
      <w:bookmarkStart w:id="57" w:name="_Toc263778790"/>
      <w:bookmarkStart w:id="58" w:name="_Toc263779230"/>
      <w:r w:rsidRPr="00667B68">
        <w:rPr>
          <w:bCs/>
          <w:lang w:val="en-US"/>
        </w:rPr>
        <w:t>National Televisions And Computers Product Stewardship Program</w:t>
      </w:r>
      <w:bookmarkEnd w:id="52"/>
      <w:bookmarkEnd w:id="53"/>
      <w:bookmarkEnd w:id="54"/>
      <w:bookmarkEnd w:id="55"/>
      <w:bookmarkEnd w:id="56"/>
      <w:bookmarkEnd w:id="57"/>
      <w:bookmarkEnd w:id="58"/>
      <w:r w:rsidRPr="00667B68">
        <w:rPr>
          <w:bCs/>
          <w:lang w:val="en-US"/>
        </w:rPr>
        <w:t xml:space="preserve"> </w:t>
      </w:r>
      <w:bookmarkStart w:id="59" w:name="_Toc262816350"/>
      <w:bookmarkStart w:id="60" w:name="_Toc263778791"/>
      <w:bookmarkStart w:id="61" w:name="_Toc263779231"/>
      <w:r w:rsidRPr="00667B68">
        <w:rPr>
          <w:bCs/>
          <w:lang w:val="en-US"/>
        </w:rPr>
        <w:t>(Including P</w:t>
      </w:r>
      <w:r>
        <w:rPr>
          <w:bCs/>
          <w:lang w:val="en-US"/>
        </w:rPr>
        <w:t>RO</w:t>
      </w:r>
      <w:r w:rsidRPr="00667B68">
        <w:rPr>
          <w:bCs/>
          <w:lang w:val="en-US"/>
        </w:rPr>
        <w:t xml:space="preserve"> Plans)</w:t>
      </w:r>
      <w:bookmarkEnd w:id="59"/>
      <w:bookmarkEnd w:id="60"/>
      <w:bookmarkEnd w:id="61"/>
      <w:r w:rsidRPr="00667B68">
        <w:rPr>
          <w:bCs/>
          <w:lang w:val="en-US"/>
        </w:rPr>
        <w:t xml:space="preserve"> Discussion Paper For Planning Purposes</w:t>
      </w:r>
      <w:bookmarkStart w:id="62" w:name="_Toc259546964"/>
      <w:bookmarkStart w:id="63" w:name="_Toc260839020"/>
      <w:bookmarkStart w:id="64" w:name="_Toc260839153"/>
      <w:bookmarkStart w:id="65" w:name="_Toc260839342"/>
      <w:bookmarkStart w:id="66" w:name="_Toc260841888"/>
      <w:bookmarkStart w:id="67" w:name="_Toc262816351"/>
      <w:bookmarkStart w:id="68" w:name="_Toc263778792"/>
      <w:bookmarkStart w:id="69" w:name="_Toc263779232"/>
      <w:r w:rsidRPr="00667B68">
        <w:rPr>
          <w:bCs/>
          <w:lang w:val="en-US"/>
        </w:rPr>
        <w:t xml:space="preserve"> Draft </w:t>
      </w:r>
      <w:bookmarkEnd w:id="62"/>
      <w:bookmarkEnd w:id="63"/>
      <w:bookmarkEnd w:id="64"/>
      <w:bookmarkEnd w:id="65"/>
      <w:bookmarkEnd w:id="66"/>
      <w:bookmarkEnd w:id="67"/>
      <w:bookmarkEnd w:id="68"/>
      <w:bookmarkEnd w:id="69"/>
      <w:r w:rsidRPr="00667B68">
        <w:rPr>
          <w:bCs/>
          <w:lang w:val="en-US"/>
        </w:rPr>
        <w:t>5 December 2010</w:t>
      </w:r>
    </w:p>
    <w:p w:rsidR="003E24B5" w:rsidRPr="00667B68" w:rsidRDefault="003E24B5" w:rsidP="00162446">
      <w:pPr>
        <w:pStyle w:val="ListParagraph"/>
        <w:numPr>
          <w:ilvl w:val="0"/>
          <w:numId w:val="11"/>
        </w:numPr>
        <w:rPr>
          <w:bCs/>
          <w:lang w:val="en-US"/>
        </w:rPr>
      </w:pPr>
      <w:r>
        <w:t>WEEELABEX</w:t>
      </w:r>
      <w:r w:rsidRPr="00AF267B">
        <w:t xml:space="preserve"> </w:t>
      </w:r>
      <w:r>
        <w:t>normative requirements on Collection</w:t>
      </w:r>
    </w:p>
    <w:p w:rsidR="003E24B5" w:rsidRPr="00126003" w:rsidRDefault="003E24B5" w:rsidP="00162446">
      <w:pPr>
        <w:pStyle w:val="ListParagraph"/>
        <w:numPr>
          <w:ilvl w:val="0"/>
          <w:numId w:val="11"/>
        </w:numPr>
        <w:rPr>
          <w:bCs/>
          <w:lang w:val="en-US"/>
        </w:rPr>
      </w:pPr>
      <w:r>
        <w:t>WEEELABEX</w:t>
      </w:r>
      <w:r w:rsidRPr="00AF267B">
        <w:t xml:space="preserve"> </w:t>
      </w:r>
      <w:r>
        <w:t>normative requirements on Logistics</w:t>
      </w:r>
      <w:r w:rsidRPr="00126003">
        <w:t xml:space="preserve"> </w:t>
      </w:r>
    </w:p>
    <w:p w:rsidR="003E24B5" w:rsidRPr="00126003" w:rsidRDefault="003E24B5" w:rsidP="00162446">
      <w:pPr>
        <w:pStyle w:val="ListParagraph"/>
        <w:numPr>
          <w:ilvl w:val="0"/>
          <w:numId w:val="11"/>
        </w:numPr>
        <w:rPr>
          <w:bCs/>
          <w:lang w:val="en-US"/>
        </w:rPr>
      </w:pPr>
      <w:r>
        <w:t>WEEELABEX</w:t>
      </w:r>
      <w:r w:rsidRPr="00AF267B">
        <w:t xml:space="preserve"> </w:t>
      </w:r>
      <w:r>
        <w:t>normative requirements on Treatment</w:t>
      </w:r>
    </w:p>
    <w:p w:rsidR="003E24B5" w:rsidRDefault="003E24B5" w:rsidP="00143464">
      <w:pPr>
        <w:rPr>
          <w:bCs/>
          <w:lang w:val="en-US"/>
        </w:rPr>
      </w:pPr>
      <w:r>
        <w:rPr>
          <w:bCs/>
          <w:lang w:val="en-US"/>
        </w:rPr>
        <w:t xml:space="preserve">In addition KMH referred to the scope of works for our engagement which focused the risk assessment to OH&amp;S and environmental risks.  </w:t>
      </w:r>
    </w:p>
    <w:p w:rsidR="003E24B5" w:rsidRPr="00143464" w:rsidRDefault="003E24B5" w:rsidP="00162446">
      <w:pPr>
        <w:pStyle w:val="KMHNumberHeading3"/>
        <w:keepNext/>
        <w:keepLines/>
        <w:numPr>
          <w:ilvl w:val="2"/>
          <w:numId w:val="56"/>
        </w:numPr>
        <w:ind w:left="851" w:hanging="851"/>
      </w:pPr>
      <w:r w:rsidRPr="00143464">
        <w:lastRenderedPageBreak/>
        <w:t>Risk Identification and Analysis</w:t>
      </w:r>
    </w:p>
    <w:p w:rsidR="003E24B5" w:rsidRDefault="003E24B5" w:rsidP="002C1A32">
      <w:pPr>
        <w:keepNext/>
        <w:keepLines/>
      </w:pPr>
      <w:r>
        <w:t>KMH used the structure of the DIIS as a guide to developing the framework for risk identification. The following key areas were chosen for risk identification:</w:t>
      </w:r>
    </w:p>
    <w:p w:rsidR="003E24B5" w:rsidRDefault="003E24B5" w:rsidP="00162446">
      <w:pPr>
        <w:pStyle w:val="ListParagraph"/>
        <w:keepNext/>
        <w:keepLines/>
        <w:numPr>
          <w:ilvl w:val="0"/>
          <w:numId w:val="12"/>
        </w:numPr>
      </w:pPr>
      <w:r w:rsidRPr="00466358">
        <w:rPr>
          <w:b/>
          <w:i/>
        </w:rPr>
        <w:t>General Requirements</w:t>
      </w:r>
      <w:r>
        <w:t xml:space="preserve"> – Risks identified in this category relate to operational requirements of collection locations, transporters and recyclers and include the sub headings of Section 4 of the DIIS namely;</w:t>
      </w:r>
    </w:p>
    <w:p w:rsidR="003E24B5" w:rsidRDefault="003E24B5" w:rsidP="00162446">
      <w:pPr>
        <w:pStyle w:val="ListParagraph"/>
        <w:keepNext/>
        <w:keepLines/>
        <w:numPr>
          <w:ilvl w:val="1"/>
          <w:numId w:val="12"/>
        </w:numPr>
      </w:pPr>
      <w:r>
        <w:t>Risk Management</w:t>
      </w:r>
    </w:p>
    <w:p w:rsidR="003E24B5" w:rsidRDefault="003E24B5" w:rsidP="00162446">
      <w:pPr>
        <w:pStyle w:val="ListParagraph"/>
        <w:keepNext/>
        <w:keepLines/>
        <w:numPr>
          <w:ilvl w:val="1"/>
          <w:numId w:val="12"/>
        </w:numPr>
      </w:pPr>
      <w:r>
        <w:t>Legal Compliance</w:t>
      </w:r>
    </w:p>
    <w:p w:rsidR="003E24B5" w:rsidRDefault="003E24B5" w:rsidP="00162446">
      <w:pPr>
        <w:pStyle w:val="ListParagraph"/>
        <w:keepNext/>
        <w:keepLines/>
        <w:numPr>
          <w:ilvl w:val="1"/>
          <w:numId w:val="12"/>
        </w:numPr>
      </w:pPr>
      <w:r>
        <w:t>Emergency Response</w:t>
      </w:r>
    </w:p>
    <w:p w:rsidR="003E24B5" w:rsidRDefault="003E24B5" w:rsidP="00162446">
      <w:pPr>
        <w:pStyle w:val="ListParagraph"/>
        <w:keepNext/>
        <w:keepLines/>
        <w:numPr>
          <w:ilvl w:val="1"/>
          <w:numId w:val="12"/>
        </w:numPr>
      </w:pPr>
      <w:r>
        <w:t>Receiving Handling and Storage</w:t>
      </w:r>
    </w:p>
    <w:p w:rsidR="003E24B5" w:rsidRDefault="003E24B5" w:rsidP="00162446">
      <w:pPr>
        <w:pStyle w:val="ListParagraph"/>
        <w:keepNext/>
        <w:keepLines/>
        <w:numPr>
          <w:ilvl w:val="1"/>
          <w:numId w:val="12"/>
        </w:numPr>
      </w:pPr>
      <w:r>
        <w:t>Data Security</w:t>
      </w:r>
    </w:p>
    <w:p w:rsidR="003E24B5" w:rsidRDefault="003E24B5" w:rsidP="00162446">
      <w:pPr>
        <w:pStyle w:val="ListParagraph"/>
        <w:keepNext/>
        <w:keepLines/>
        <w:numPr>
          <w:ilvl w:val="1"/>
          <w:numId w:val="12"/>
        </w:numPr>
      </w:pPr>
      <w:r>
        <w:t>Reporting</w:t>
      </w:r>
    </w:p>
    <w:p w:rsidR="003E24B5" w:rsidRDefault="003E24B5" w:rsidP="00162446">
      <w:pPr>
        <w:pStyle w:val="ListParagraph"/>
        <w:keepNext/>
        <w:keepLines/>
        <w:numPr>
          <w:ilvl w:val="1"/>
          <w:numId w:val="12"/>
        </w:numPr>
      </w:pPr>
      <w:r>
        <w:t>Records Management</w:t>
      </w:r>
    </w:p>
    <w:p w:rsidR="003E24B5" w:rsidRDefault="003E24B5" w:rsidP="00162446">
      <w:pPr>
        <w:pStyle w:val="ListParagraph"/>
        <w:numPr>
          <w:ilvl w:val="1"/>
          <w:numId w:val="12"/>
        </w:numPr>
      </w:pPr>
      <w:r>
        <w:t>Disposal to Landfill</w:t>
      </w:r>
    </w:p>
    <w:p w:rsidR="003E24B5" w:rsidRPr="00693930" w:rsidRDefault="003E24B5" w:rsidP="00162446">
      <w:pPr>
        <w:pStyle w:val="ListParagraph"/>
        <w:numPr>
          <w:ilvl w:val="0"/>
          <w:numId w:val="12"/>
        </w:numPr>
      </w:pPr>
      <w:r w:rsidRPr="00B5306B">
        <w:rPr>
          <w:b/>
          <w:i/>
        </w:rPr>
        <w:t xml:space="preserve">Requirements for Collection Locations </w:t>
      </w:r>
      <w:r>
        <w:rPr>
          <w:b/>
          <w:i/>
        </w:rPr>
        <w:t xml:space="preserve">– </w:t>
      </w:r>
      <w:r w:rsidRPr="00693930">
        <w:t xml:space="preserve">This includes risks associated with storage of </w:t>
      </w:r>
      <w:r>
        <w:t>end of life (</w:t>
      </w:r>
      <w:r w:rsidRPr="00693930">
        <w:t>EOL</w:t>
      </w:r>
      <w:r>
        <w:t>)</w:t>
      </w:r>
      <w:r w:rsidRPr="00693930">
        <w:t xml:space="preserve"> televisions and computers</w:t>
      </w:r>
    </w:p>
    <w:p w:rsidR="003E24B5" w:rsidRPr="00693930" w:rsidRDefault="003E24B5" w:rsidP="00162446">
      <w:pPr>
        <w:pStyle w:val="ListParagraph"/>
        <w:numPr>
          <w:ilvl w:val="0"/>
          <w:numId w:val="12"/>
        </w:numPr>
      </w:pPr>
      <w:r>
        <w:rPr>
          <w:b/>
          <w:i/>
        </w:rPr>
        <w:t xml:space="preserve">Transport Requirements </w:t>
      </w:r>
      <w:r w:rsidRPr="00693930">
        <w:t xml:space="preserve">– including waste tracking and traceability of waste to its ultimate point of disposal </w:t>
      </w:r>
    </w:p>
    <w:p w:rsidR="003E24B5" w:rsidRDefault="003E24B5" w:rsidP="00162446">
      <w:pPr>
        <w:pStyle w:val="ListParagraph"/>
        <w:numPr>
          <w:ilvl w:val="0"/>
          <w:numId w:val="12"/>
        </w:numPr>
        <w:rPr>
          <w:b/>
          <w:i/>
        </w:rPr>
      </w:pPr>
      <w:r>
        <w:rPr>
          <w:b/>
          <w:i/>
        </w:rPr>
        <w:t xml:space="preserve">Requirements for Recyclers </w:t>
      </w:r>
      <w:r w:rsidRPr="00693930">
        <w:t>– processing and handling related risks</w:t>
      </w:r>
    </w:p>
    <w:p w:rsidR="003E24B5" w:rsidRPr="00693930" w:rsidRDefault="003E24B5" w:rsidP="00162446">
      <w:pPr>
        <w:pStyle w:val="ListParagraph"/>
        <w:numPr>
          <w:ilvl w:val="0"/>
          <w:numId w:val="12"/>
        </w:numPr>
      </w:pPr>
      <w:r>
        <w:rPr>
          <w:b/>
          <w:i/>
        </w:rPr>
        <w:t xml:space="preserve">Reprocessing and Reuse Applications – </w:t>
      </w:r>
      <w:r w:rsidRPr="00693930">
        <w:t>Secondary usage risks</w:t>
      </w:r>
    </w:p>
    <w:p w:rsidR="003E24B5" w:rsidRPr="00B5306B" w:rsidRDefault="003E24B5" w:rsidP="00162446">
      <w:pPr>
        <w:pStyle w:val="ListParagraph"/>
        <w:numPr>
          <w:ilvl w:val="0"/>
          <w:numId w:val="12"/>
        </w:numPr>
        <w:rPr>
          <w:b/>
          <w:i/>
        </w:rPr>
      </w:pPr>
      <w:r>
        <w:rPr>
          <w:b/>
          <w:i/>
        </w:rPr>
        <w:t xml:space="preserve">Labour </w:t>
      </w:r>
    </w:p>
    <w:p w:rsidR="003E24B5" w:rsidRDefault="003E24B5" w:rsidP="00CA0BC7">
      <w:r>
        <w:t>Following the identification of risks in each of the above areas and focussing on OH&amp;S and environment, KMH reviewed any existing controls already in place, documented the associated controls and rated them in terms of their effectiveness, using the Risk Control Ratings scale provided in the DSEWPaC Risk Management Guidelines i.e.;</w:t>
      </w:r>
    </w:p>
    <w:tbl>
      <w:tblPr>
        <w:tblW w:w="8640" w:type="dxa"/>
        <w:jc w:val="center"/>
        <w:tblInd w:w="1188" w:type="dxa"/>
        <w:tblBorders>
          <w:top w:val="single" w:sz="4" w:space="0" w:color="auto"/>
          <w:left w:val="single" w:sz="4" w:space="0" w:color="auto"/>
          <w:bottom w:val="single" w:sz="4" w:space="0" w:color="auto"/>
          <w:right w:val="single" w:sz="4" w:space="0" w:color="auto"/>
        </w:tblBorders>
        <w:tblLayout w:type="fixed"/>
        <w:tblLook w:val="0000"/>
      </w:tblPr>
      <w:tblGrid>
        <w:gridCol w:w="1800"/>
        <w:gridCol w:w="6840"/>
      </w:tblGrid>
      <w:tr w:rsidR="003E24B5" w:rsidTr="006875F9">
        <w:trPr>
          <w:jc w:val="center"/>
        </w:trPr>
        <w:tc>
          <w:tcPr>
            <w:tcW w:w="1800" w:type="dxa"/>
            <w:tcBorders>
              <w:top w:val="single" w:sz="4" w:space="0" w:color="auto"/>
              <w:bottom w:val="single" w:sz="4" w:space="0" w:color="auto"/>
              <w:right w:val="single" w:sz="4" w:space="0" w:color="auto"/>
            </w:tcBorders>
            <w:shd w:val="pct20" w:color="auto" w:fill="auto"/>
          </w:tcPr>
          <w:p w:rsidR="003E24B5" w:rsidRDefault="003E24B5" w:rsidP="00B552AA">
            <w:pPr>
              <w:pStyle w:val="ListBullet"/>
              <w:numPr>
                <w:ilvl w:val="0"/>
                <w:numId w:val="0"/>
              </w:numPr>
              <w:spacing w:before="60" w:after="60"/>
              <w:jc w:val="left"/>
              <w:rPr>
                <w:rFonts w:ascii="Calibri" w:hAnsi="Calibri"/>
                <w:b/>
                <w:szCs w:val="22"/>
              </w:rPr>
            </w:pPr>
            <w:r>
              <w:rPr>
                <w:rFonts w:ascii="Calibri" w:hAnsi="Calibri"/>
                <w:b/>
                <w:szCs w:val="22"/>
              </w:rPr>
              <w:t>Ranking</w:t>
            </w:r>
          </w:p>
        </w:tc>
        <w:tc>
          <w:tcPr>
            <w:tcW w:w="6840" w:type="dxa"/>
            <w:tcBorders>
              <w:top w:val="single" w:sz="4" w:space="0" w:color="auto"/>
              <w:left w:val="single" w:sz="4" w:space="0" w:color="auto"/>
              <w:bottom w:val="single" w:sz="4" w:space="0" w:color="auto"/>
            </w:tcBorders>
            <w:shd w:val="pct20" w:color="auto" w:fill="auto"/>
          </w:tcPr>
          <w:p w:rsidR="003E24B5" w:rsidRDefault="003E24B5" w:rsidP="00B552AA">
            <w:pPr>
              <w:pStyle w:val="ListBullet"/>
              <w:numPr>
                <w:ilvl w:val="0"/>
                <w:numId w:val="0"/>
              </w:numPr>
              <w:spacing w:before="60" w:after="60"/>
              <w:jc w:val="center"/>
              <w:rPr>
                <w:rFonts w:ascii="Calibri" w:hAnsi="Calibri"/>
                <w:b/>
                <w:szCs w:val="22"/>
              </w:rPr>
            </w:pPr>
            <w:r>
              <w:rPr>
                <w:rFonts w:ascii="Calibri" w:hAnsi="Calibri"/>
                <w:b/>
                <w:szCs w:val="22"/>
              </w:rPr>
              <w:t>Guidance</w:t>
            </w:r>
          </w:p>
        </w:tc>
      </w:tr>
      <w:tr w:rsidR="003E24B5" w:rsidTr="006875F9">
        <w:trPr>
          <w:jc w:val="center"/>
        </w:trPr>
        <w:tc>
          <w:tcPr>
            <w:tcW w:w="1800" w:type="dxa"/>
            <w:tcBorders>
              <w:top w:val="single" w:sz="4" w:space="0" w:color="auto"/>
              <w:bottom w:val="single" w:sz="4" w:space="0" w:color="auto"/>
              <w:right w:val="single" w:sz="4" w:space="0" w:color="auto"/>
            </w:tcBorders>
          </w:tcPr>
          <w:p w:rsidR="003E24B5" w:rsidRDefault="003E24B5" w:rsidP="00B552AA">
            <w:pPr>
              <w:pStyle w:val="ListBullet"/>
              <w:numPr>
                <w:ilvl w:val="0"/>
                <w:numId w:val="0"/>
              </w:numPr>
              <w:spacing w:before="60" w:after="60"/>
              <w:jc w:val="left"/>
              <w:rPr>
                <w:rFonts w:ascii="Calibri" w:hAnsi="Calibri"/>
                <w:szCs w:val="22"/>
              </w:rPr>
            </w:pPr>
            <w:r>
              <w:rPr>
                <w:rFonts w:ascii="Calibri" w:hAnsi="Calibri"/>
                <w:szCs w:val="22"/>
              </w:rPr>
              <w:t>Weak</w:t>
            </w:r>
          </w:p>
        </w:tc>
        <w:tc>
          <w:tcPr>
            <w:tcW w:w="6840" w:type="dxa"/>
            <w:tcBorders>
              <w:top w:val="single" w:sz="4" w:space="0" w:color="auto"/>
              <w:left w:val="single" w:sz="4" w:space="0" w:color="auto"/>
              <w:bottom w:val="single" w:sz="4" w:space="0" w:color="auto"/>
            </w:tcBorders>
          </w:tcPr>
          <w:p w:rsidR="003E24B5" w:rsidRPr="00B552AA" w:rsidRDefault="003E24B5" w:rsidP="00B552AA">
            <w:pPr>
              <w:pStyle w:val="ListBullet"/>
              <w:numPr>
                <w:ilvl w:val="0"/>
                <w:numId w:val="0"/>
              </w:numPr>
              <w:spacing w:before="40" w:after="40"/>
              <w:jc w:val="left"/>
              <w:rPr>
                <w:rFonts w:ascii="Calibri" w:hAnsi="Calibri" w:cs="Arial"/>
                <w:sz w:val="20"/>
              </w:rPr>
            </w:pPr>
            <w:r w:rsidRPr="00B552AA">
              <w:rPr>
                <w:rFonts w:ascii="Calibri" w:hAnsi="Calibri" w:cs="Arial"/>
                <w:sz w:val="20"/>
              </w:rPr>
              <w:t>Control of risk low  e.g. significant improvement required on newly identified issues</w:t>
            </w:r>
          </w:p>
        </w:tc>
      </w:tr>
      <w:tr w:rsidR="003E24B5" w:rsidTr="006875F9">
        <w:trPr>
          <w:jc w:val="center"/>
        </w:trPr>
        <w:tc>
          <w:tcPr>
            <w:tcW w:w="1800" w:type="dxa"/>
            <w:tcBorders>
              <w:top w:val="single" w:sz="4" w:space="0" w:color="auto"/>
              <w:bottom w:val="single" w:sz="4" w:space="0" w:color="auto"/>
              <w:right w:val="single" w:sz="4" w:space="0" w:color="auto"/>
            </w:tcBorders>
            <w:vAlign w:val="center"/>
          </w:tcPr>
          <w:p w:rsidR="003E24B5" w:rsidRDefault="003E24B5" w:rsidP="00B552AA">
            <w:pPr>
              <w:pStyle w:val="ListBullet"/>
              <w:numPr>
                <w:ilvl w:val="0"/>
                <w:numId w:val="0"/>
              </w:numPr>
              <w:spacing w:before="60" w:after="60"/>
              <w:jc w:val="left"/>
              <w:rPr>
                <w:rFonts w:ascii="Calibri" w:hAnsi="Calibri"/>
                <w:szCs w:val="22"/>
              </w:rPr>
            </w:pPr>
            <w:r>
              <w:rPr>
                <w:rFonts w:ascii="Calibri" w:hAnsi="Calibri"/>
                <w:szCs w:val="22"/>
              </w:rPr>
              <w:t>Incomplete</w:t>
            </w:r>
          </w:p>
        </w:tc>
        <w:tc>
          <w:tcPr>
            <w:tcW w:w="6840" w:type="dxa"/>
            <w:tcBorders>
              <w:top w:val="single" w:sz="4" w:space="0" w:color="auto"/>
              <w:left w:val="single" w:sz="4" w:space="0" w:color="auto"/>
              <w:bottom w:val="single" w:sz="4" w:space="0" w:color="auto"/>
            </w:tcBorders>
          </w:tcPr>
          <w:p w:rsidR="003E24B5" w:rsidRPr="00B552AA" w:rsidRDefault="003E24B5" w:rsidP="00B552AA">
            <w:pPr>
              <w:pStyle w:val="ListBullet"/>
              <w:numPr>
                <w:ilvl w:val="0"/>
                <w:numId w:val="0"/>
              </w:numPr>
              <w:spacing w:after="0"/>
              <w:jc w:val="left"/>
              <w:rPr>
                <w:rFonts w:ascii="Calibri" w:hAnsi="Calibri" w:cs="Arial"/>
                <w:sz w:val="20"/>
              </w:rPr>
            </w:pPr>
            <w:r w:rsidRPr="00B552AA">
              <w:rPr>
                <w:rFonts w:ascii="Calibri" w:hAnsi="Calibri" w:cs="Arial"/>
                <w:sz w:val="20"/>
              </w:rPr>
              <w:t>Actions have already been established to address control weaknesses, but not fully implemented OR exposures not controllable but actively monitored</w:t>
            </w:r>
          </w:p>
        </w:tc>
      </w:tr>
      <w:tr w:rsidR="003E24B5" w:rsidTr="006875F9">
        <w:trPr>
          <w:jc w:val="center"/>
        </w:trPr>
        <w:tc>
          <w:tcPr>
            <w:tcW w:w="1800" w:type="dxa"/>
            <w:tcBorders>
              <w:top w:val="single" w:sz="4" w:space="0" w:color="auto"/>
              <w:bottom w:val="single" w:sz="4" w:space="0" w:color="auto"/>
              <w:right w:val="single" w:sz="4" w:space="0" w:color="auto"/>
            </w:tcBorders>
          </w:tcPr>
          <w:p w:rsidR="003E24B5" w:rsidRDefault="003E24B5" w:rsidP="00B552AA">
            <w:pPr>
              <w:pStyle w:val="ListBullet"/>
              <w:numPr>
                <w:ilvl w:val="0"/>
                <w:numId w:val="0"/>
              </w:numPr>
              <w:spacing w:before="60" w:after="60"/>
              <w:jc w:val="left"/>
              <w:rPr>
                <w:rFonts w:ascii="Calibri" w:hAnsi="Calibri"/>
                <w:szCs w:val="22"/>
              </w:rPr>
            </w:pPr>
            <w:r>
              <w:rPr>
                <w:rFonts w:ascii="Calibri" w:hAnsi="Calibri"/>
                <w:szCs w:val="22"/>
              </w:rPr>
              <w:t>Adequate</w:t>
            </w:r>
          </w:p>
        </w:tc>
        <w:tc>
          <w:tcPr>
            <w:tcW w:w="6840" w:type="dxa"/>
            <w:tcBorders>
              <w:top w:val="single" w:sz="4" w:space="0" w:color="auto"/>
              <w:left w:val="single" w:sz="4" w:space="0" w:color="auto"/>
              <w:bottom w:val="single" w:sz="4" w:space="0" w:color="auto"/>
            </w:tcBorders>
          </w:tcPr>
          <w:p w:rsidR="003E24B5" w:rsidRPr="00B552AA" w:rsidRDefault="003E24B5" w:rsidP="00B552AA">
            <w:pPr>
              <w:pStyle w:val="ListBullet"/>
              <w:numPr>
                <w:ilvl w:val="0"/>
                <w:numId w:val="0"/>
              </w:numPr>
              <w:spacing w:before="40" w:after="40"/>
              <w:jc w:val="left"/>
              <w:rPr>
                <w:rFonts w:ascii="Calibri" w:hAnsi="Calibri" w:cs="Arial"/>
                <w:sz w:val="20"/>
              </w:rPr>
            </w:pPr>
            <w:r w:rsidRPr="00B552AA">
              <w:rPr>
                <w:rFonts w:ascii="Calibri" w:hAnsi="Calibri" w:cs="Arial"/>
                <w:sz w:val="20"/>
              </w:rPr>
              <w:t>Some improvements to controls desirable</w:t>
            </w:r>
          </w:p>
        </w:tc>
      </w:tr>
      <w:tr w:rsidR="003E24B5" w:rsidTr="006875F9">
        <w:trPr>
          <w:jc w:val="center"/>
        </w:trPr>
        <w:tc>
          <w:tcPr>
            <w:tcW w:w="1800" w:type="dxa"/>
            <w:tcBorders>
              <w:top w:val="single" w:sz="4" w:space="0" w:color="auto"/>
              <w:bottom w:val="single" w:sz="4" w:space="0" w:color="auto"/>
              <w:right w:val="single" w:sz="4" w:space="0" w:color="auto"/>
            </w:tcBorders>
          </w:tcPr>
          <w:p w:rsidR="003E24B5" w:rsidRDefault="003E24B5" w:rsidP="00B552AA">
            <w:pPr>
              <w:pStyle w:val="ListBullet"/>
              <w:numPr>
                <w:ilvl w:val="0"/>
                <w:numId w:val="0"/>
              </w:numPr>
              <w:spacing w:before="60" w:after="60"/>
              <w:jc w:val="left"/>
              <w:rPr>
                <w:rFonts w:ascii="Calibri" w:hAnsi="Calibri"/>
                <w:szCs w:val="22"/>
              </w:rPr>
            </w:pPr>
            <w:r>
              <w:rPr>
                <w:rFonts w:ascii="Calibri" w:hAnsi="Calibri"/>
                <w:szCs w:val="22"/>
              </w:rPr>
              <w:t>Strong</w:t>
            </w:r>
          </w:p>
        </w:tc>
        <w:tc>
          <w:tcPr>
            <w:tcW w:w="6840" w:type="dxa"/>
            <w:tcBorders>
              <w:top w:val="single" w:sz="4" w:space="0" w:color="auto"/>
              <w:left w:val="single" w:sz="4" w:space="0" w:color="auto"/>
              <w:bottom w:val="single" w:sz="4" w:space="0" w:color="auto"/>
            </w:tcBorders>
          </w:tcPr>
          <w:p w:rsidR="003E24B5" w:rsidRPr="00B552AA" w:rsidRDefault="003E24B5" w:rsidP="00B552AA">
            <w:pPr>
              <w:pStyle w:val="ListBullet"/>
              <w:numPr>
                <w:ilvl w:val="0"/>
                <w:numId w:val="0"/>
              </w:numPr>
              <w:spacing w:before="40" w:after="40"/>
              <w:jc w:val="left"/>
              <w:rPr>
                <w:rFonts w:ascii="Calibri" w:hAnsi="Calibri" w:cs="Arial"/>
                <w:sz w:val="20"/>
              </w:rPr>
            </w:pPr>
            <w:r w:rsidRPr="00B552AA">
              <w:rPr>
                <w:rFonts w:ascii="Calibri" w:hAnsi="Calibri" w:cs="Arial"/>
                <w:sz w:val="20"/>
              </w:rPr>
              <w:t>Controls are believed to be operating and highly effective</w:t>
            </w:r>
          </w:p>
        </w:tc>
      </w:tr>
      <w:tr w:rsidR="003E24B5" w:rsidTr="006875F9">
        <w:trPr>
          <w:jc w:val="center"/>
        </w:trPr>
        <w:tc>
          <w:tcPr>
            <w:tcW w:w="1800" w:type="dxa"/>
            <w:tcBorders>
              <w:top w:val="single" w:sz="4" w:space="0" w:color="auto"/>
              <w:bottom w:val="single" w:sz="4" w:space="0" w:color="auto"/>
              <w:right w:val="single" w:sz="4" w:space="0" w:color="auto"/>
            </w:tcBorders>
          </w:tcPr>
          <w:p w:rsidR="003E24B5" w:rsidRDefault="003E24B5" w:rsidP="00B552AA">
            <w:pPr>
              <w:pStyle w:val="ListBullet"/>
              <w:numPr>
                <w:ilvl w:val="0"/>
                <w:numId w:val="0"/>
              </w:numPr>
              <w:spacing w:before="60" w:after="60"/>
              <w:jc w:val="left"/>
              <w:rPr>
                <w:rFonts w:ascii="Calibri" w:hAnsi="Calibri"/>
                <w:szCs w:val="22"/>
              </w:rPr>
            </w:pPr>
            <w:r>
              <w:rPr>
                <w:rFonts w:ascii="Calibri" w:hAnsi="Calibri"/>
                <w:szCs w:val="22"/>
              </w:rPr>
              <w:t>Over-controlled</w:t>
            </w:r>
          </w:p>
        </w:tc>
        <w:tc>
          <w:tcPr>
            <w:tcW w:w="6840" w:type="dxa"/>
            <w:tcBorders>
              <w:top w:val="single" w:sz="4" w:space="0" w:color="auto"/>
              <w:left w:val="single" w:sz="4" w:space="0" w:color="auto"/>
              <w:bottom w:val="single" w:sz="4" w:space="0" w:color="auto"/>
            </w:tcBorders>
          </w:tcPr>
          <w:p w:rsidR="003E24B5" w:rsidRPr="00B552AA" w:rsidRDefault="003E24B5" w:rsidP="00B552AA">
            <w:pPr>
              <w:pStyle w:val="ListBullet"/>
              <w:numPr>
                <w:ilvl w:val="0"/>
                <w:numId w:val="0"/>
              </w:numPr>
              <w:spacing w:before="40" w:after="40"/>
              <w:jc w:val="left"/>
              <w:rPr>
                <w:rFonts w:ascii="Calibri" w:hAnsi="Calibri" w:cs="Arial"/>
                <w:sz w:val="20"/>
              </w:rPr>
            </w:pPr>
            <w:r w:rsidRPr="00B552AA">
              <w:rPr>
                <w:rFonts w:ascii="Calibri" w:hAnsi="Calibri" w:cs="Arial"/>
                <w:sz w:val="20"/>
              </w:rPr>
              <w:t>Room for efficiency improvements/ cost reduction opportunities</w:t>
            </w:r>
          </w:p>
        </w:tc>
      </w:tr>
    </w:tbl>
    <w:p w:rsidR="003E24B5" w:rsidRDefault="003E24B5" w:rsidP="00CA0BC7">
      <w:r>
        <w:t xml:space="preserve"> </w:t>
      </w:r>
    </w:p>
    <w:p w:rsidR="003E24B5" w:rsidRDefault="003E24B5" w:rsidP="00CA0BC7">
      <w:r>
        <w:t>Whilst the DIIS is still in draft, and therefore the risk controls have not yet been implemented, KMH ranked the controls according to how effective they would be in managing the risk upon adoption and implementation of the DIIS. All controls would otherwise, have to be rated as “incomplete” based on the above definitions.</w:t>
      </w:r>
    </w:p>
    <w:p w:rsidR="003E24B5" w:rsidRDefault="003E24B5" w:rsidP="006875F9">
      <w:r>
        <w:t>Risks were then assessed in terms of likelihood and consequence again using the ratings scales provided in the DSEWPaC Risk Management Guidelines. These are also included in Appendix B. The risk assessment process produced risk rankings as per DSEWPaC’s Guidelines of Severe, High, Medium and Low as illustrated in the following matrix:</w:t>
      </w:r>
    </w:p>
    <w:p w:rsidR="003E24B5" w:rsidRDefault="003E24B5" w:rsidP="006875F9">
      <w:r>
        <w:br w:type="page"/>
      </w:r>
    </w:p>
    <w:tbl>
      <w:tblPr>
        <w:tblW w:w="8420" w:type="dxa"/>
        <w:tblInd w:w="220" w:type="dxa"/>
        <w:tblLayout w:type="fixed"/>
        <w:tblCellMar>
          <w:left w:w="40" w:type="dxa"/>
          <w:right w:w="40" w:type="dxa"/>
        </w:tblCellMar>
        <w:tblLook w:val="0000"/>
      </w:tblPr>
      <w:tblGrid>
        <w:gridCol w:w="1220"/>
        <w:gridCol w:w="1440"/>
        <w:gridCol w:w="1440"/>
        <w:gridCol w:w="1440"/>
        <w:gridCol w:w="1440"/>
        <w:gridCol w:w="1440"/>
      </w:tblGrid>
      <w:tr w:rsidR="003E24B5" w:rsidTr="0039445E">
        <w:trPr>
          <w:trHeight w:val="360"/>
        </w:trPr>
        <w:tc>
          <w:tcPr>
            <w:tcW w:w="1220" w:type="dxa"/>
            <w:vMerge w:val="restart"/>
            <w:tcBorders>
              <w:top w:val="single" w:sz="4" w:space="0" w:color="auto"/>
              <w:left w:val="single" w:sz="4" w:space="0" w:color="auto"/>
              <w:right w:val="single" w:sz="6" w:space="0" w:color="auto"/>
            </w:tcBorders>
            <w:shd w:val="clear" w:color="auto" w:fill="B2B2B2"/>
            <w:vAlign w:val="center"/>
          </w:tcPr>
          <w:p w:rsidR="003E24B5" w:rsidRDefault="003E24B5" w:rsidP="0039445E">
            <w:pPr>
              <w:jc w:val="center"/>
              <w:rPr>
                <w:rFonts w:ascii="Calibri" w:hAnsi="Calibri" w:cs="Arial"/>
                <w:b/>
                <w:bCs/>
                <w:color w:val="000000"/>
                <w:sz w:val="16"/>
                <w:szCs w:val="16"/>
              </w:rPr>
            </w:pPr>
            <w:r>
              <w:rPr>
                <w:rFonts w:ascii="Calibri" w:hAnsi="Calibri" w:cs="Arial"/>
                <w:b/>
                <w:bCs/>
                <w:color w:val="000000"/>
                <w:sz w:val="16"/>
                <w:szCs w:val="16"/>
              </w:rPr>
              <w:lastRenderedPageBreak/>
              <w:t>LIKELIHOOD</w:t>
            </w:r>
          </w:p>
        </w:tc>
        <w:tc>
          <w:tcPr>
            <w:tcW w:w="7200" w:type="dxa"/>
            <w:gridSpan w:val="5"/>
            <w:tcBorders>
              <w:top w:val="single" w:sz="4" w:space="0" w:color="auto"/>
              <w:left w:val="single" w:sz="6" w:space="0" w:color="auto"/>
              <w:bottom w:val="single" w:sz="6" w:space="0" w:color="auto"/>
              <w:right w:val="single" w:sz="4" w:space="0" w:color="auto"/>
            </w:tcBorders>
            <w:shd w:val="clear" w:color="auto" w:fill="B2B2B2"/>
            <w:vAlign w:val="center"/>
          </w:tcPr>
          <w:p w:rsidR="003E24B5" w:rsidRDefault="003E24B5" w:rsidP="0039445E">
            <w:pPr>
              <w:jc w:val="center"/>
              <w:rPr>
                <w:rFonts w:ascii="Calibri" w:hAnsi="Calibri" w:cs="Arial"/>
                <w:b/>
                <w:bCs/>
                <w:color w:val="000000"/>
                <w:sz w:val="16"/>
                <w:szCs w:val="16"/>
              </w:rPr>
            </w:pPr>
            <w:r>
              <w:rPr>
                <w:rFonts w:ascii="Calibri" w:hAnsi="Calibri" w:cs="Arial"/>
                <w:b/>
                <w:bCs/>
                <w:snapToGrid w:val="0"/>
                <w:color w:val="000000"/>
                <w:sz w:val="16"/>
                <w:szCs w:val="16"/>
              </w:rPr>
              <w:t>CONSEQUENCE</w:t>
            </w:r>
          </w:p>
        </w:tc>
      </w:tr>
      <w:tr w:rsidR="003E24B5" w:rsidTr="0039445E">
        <w:trPr>
          <w:trHeight w:val="345"/>
        </w:trPr>
        <w:tc>
          <w:tcPr>
            <w:tcW w:w="1220" w:type="dxa"/>
            <w:vMerge/>
            <w:tcBorders>
              <w:left w:val="single" w:sz="4" w:space="0" w:color="auto"/>
              <w:bottom w:val="single" w:sz="6" w:space="0" w:color="auto"/>
              <w:right w:val="single" w:sz="6" w:space="0" w:color="auto"/>
            </w:tcBorders>
            <w:shd w:val="clear" w:color="auto" w:fill="C0C0C0"/>
            <w:vAlign w:val="center"/>
          </w:tcPr>
          <w:p w:rsidR="003E24B5" w:rsidRDefault="003E24B5" w:rsidP="0039445E">
            <w:pPr>
              <w:jc w:val="center"/>
              <w:rPr>
                <w:rFonts w:ascii="Calibri" w:hAnsi="Calibri" w:cs="Arial"/>
                <w:b/>
                <w:bCs/>
                <w:color w:val="000000"/>
                <w:sz w:val="16"/>
                <w:szCs w:val="16"/>
              </w:rPr>
            </w:pPr>
          </w:p>
        </w:tc>
        <w:tc>
          <w:tcPr>
            <w:tcW w:w="1440" w:type="dxa"/>
            <w:tcBorders>
              <w:top w:val="single" w:sz="6" w:space="0" w:color="auto"/>
              <w:left w:val="single" w:sz="6" w:space="0" w:color="auto"/>
              <w:bottom w:val="single" w:sz="6" w:space="0" w:color="auto"/>
              <w:right w:val="single" w:sz="6" w:space="0" w:color="auto"/>
            </w:tcBorders>
            <w:shd w:val="clear" w:color="auto" w:fill="DDDDDD"/>
            <w:vAlign w:val="center"/>
          </w:tcPr>
          <w:p w:rsidR="003E24B5" w:rsidRDefault="003E24B5" w:rsidP="0039445E">
            <w:pPr>
              <w:jc w:val="center"/>
              <w:rPr>
                <w:rFonts w:ascii="Calibri" w:hAnsi="Calibri" w:cs="Arial"/>
                <w:b/>
                <w:bCs/>
                <w:color w:val="000000"/>
                <w:sz w:val="18"/>
                <w:szCs w:val="18"/>
              </w:rPr>
            </w:pPr>
            <w:r>
              <w:rPr>
                <w:rFonts w:ascii="Calibri" w:hAnsi="Calibri" w:cs="Arial"/>
                <w:b/>
                <w:bCs/>
                <w:snapToGrid w:val="0"/>
                <w:color w:val="000000"/>
                <w:sz w:val="18"/>
                <w:szCs w:val="18"/>
              </w:rPr>
              <w:t>Insignificant</w:t>
            </w:r>
          </w:p>
        </w:tc>
        <w:tc>
          <w:tcPr>
            <w:tcW w:w="1440" w:type="dxa"/>
            <w:tcBorders>
              <w:top w:val="single" w:sz="6" w:space="0" w:color="auto"/>
              <w:left w:val="single" w:sz="6" w:space="0" w:color="auto"/>
              <w:bottom w:val="single" w:sz="6" w:space="0" w:color="auto"/>
              <w:right w:val="single" w:sz="6" w:space="0" w:color="auto"/>
            </w:tcBorders>
            <w:shd w:val="clear" w:color="auto" w:fill="DDDDDD"/>
            <w:vAlign w:val="center"/>
          </w:tcPr>
          <w:p w:rsidR="003E24B5" w:rsidRDefault="003E24B5" w:rsidP="0039445E">
            <w:pPr>
              <w:jc w:val="center"/>
              <w:rPr>
                <w:rFonts w:ascii="Calibri" w:hAnsi="Calibri" w:cs="Arial"/>
                <w:b/>
                <w:bCs/>
                <w:color w:val="000000"/>
                <w:sz w:val="18"/>
                <w:szCs w:val="18"/>
              </w:rPr>
            </w:pPr>
            <w:r>
              <w:rPr>
                <w:rFonts w:ascii="Calibri" w:hAnsi="Calibri" w:cs="Arial"/>
                <w:b/>
                <w:bCs/>
                <w:snapToGrid w:val="0"/>
                <w:color w:val="000000"/>
                <w:sz w:val="18"/>
                <w:szCs w:val="18"/>
              </w:rPr>
              <w:t>Minor</w:t>
            </w:r>
          </w:p>
        </w:tc>
        <w:tc>
          <w:tcPr>
            <w:tcW w:w="1440" w:type="dxa"/>
            <w:tcBorders>
              <w:top w:val="single" w:sz="6" w:space="0" w:color="auto"/>
              <w:left w:val="single" w:sz="6" w:space="0" w:color="auto"/>
              <w:bottom w:val="single" w:sz="6" w:space="0" w:color="auto"/>
              <w:right w:val="single" w:sz="6" w:space="0" w:color="auto"/>
            </w:tcBorders>
            <w:shd w:val="clear" w:color="auto" w:fill="DDDDDD"/>
            <w:vAlign w:val="center"/>
          </w:tcPr>
          <w:p w:rsidR="003E24B5" w:rsidRDefault="003E24B5" w:rsidP="0039445E">
            <w:pPr>
              <w:jc w:val="center"/>
              <w:rPr>
                <w:rFonts w:ascii="Calibri" w:hAnsi="Calibri" w:cs="Arial"/>
                <w:b/>
                <w:bCs/>
                <w:color w:val="000000"/>
                <w:sz w:val="18"/>
                <w:szCs w:val="18"/>
              </w:rPr>
            </w:pPr>
            <w:r>
              <w:rPr>
                <w:rFonts w:ascii="Calibri" w:hAnsi="Calibri" w:cs="Arial"/>
                <w:b/>
                <w:bCs/>
                <w:snapToGrid w:val="0"/>
                <w:color w:val="000000"/>
                <w:sz w:val="18"/>
                <w:szCs w:val="18"/>
              </w:rPr>
              <w:t>Moderate</w:t>
            </w:r>
          </w:p>
        </w:tc>
        <w:tc>
          <w:tcPr>
            <w:tcW w:w="1440" w:type="dxa"/>
            <w:tcBorders>
              <w:top w:val="single" w:sz="6" w:space="0" w:color="auto"/>
              <w:left w:val="single" w:sz="6" w:space="0" w:color="auto"/>
              <w:bottom w:val="single" w:sz="6" w:space="0" w:color="auto"/>
              <w:right w:val="single" w:sz="6" w:space="0" w:color="auto"/>
            </w:tcBorders>
            <w:shd w:val="clear" w:color="auto" w:fill="DDDDDD"/>
            <w:vAlign w:val="center"/>
          </w:tcPr>
          <w:p w:rsidR="003E24B5" w:rsidRDefault="003E24B5" w:rsidP="0039445E">
            <w:pPr>
              <w:jc w:val="center"/>
              <w:rPr>
                <w:rFonts w:ascii="Calibri" w:hAnsi="Calibri" w:cs="Arial"/>
                <w:b/>
                <w:bCs/>
                <w:color w:val="000000"/>
                <w:sz w:val="18"/>
                <w:szCs w:val="18"/>
              </w:rPr>
            </w:pPr>
            <w:r>
              <w:rPr>
                <w:rFonts w:ascii="Calibri" w:hAnsi="Calibri" w:cs="Arial"/>
                <w:b/>
                <w:bCs/>
                <w:snapToGrid w:val="0"/>
                <w:color w:val="000000"/>
                <w:sz w:val="18"/>
                <w:szCs w:val="18"/>
              </w:rPr>
              <w:t>Major</w:t>
            </w:r>
          </w:p>
        </w:tc>
        <w:tc>
          <w:tcPr>
            <w:tcW w:w="1440" w:type="dxa"/>
            <w:tcBorders>
              <w:top w:val="single" w:sz="6" w:space="0" w:color="auto"/>
              <w:left w:val="single" w:sz="6" w:space="0" w:color="auto"/>
              <w:bottom w:val="single" w:sz="6" w:space="0" w:color="auto"/>
              <w:right w:val="single" w:sz="4" w:space="0" w:color="auto"/>
            </w:tcBorders>
            <w:shd w:val="clear" w:color="auto" w:fill="DDDDDD"/>
            <w:vAlign w:val="center"/>
          </w:tcPr>
          <w:p w:rsidR="003E24B5" w:rsidRDefault="003E24B5" w:rsidP="0039445E">
            <w:pPr>
              <w:jc w:val="center"/>
              <w:rPr>
                <w:rFonts w:ascii="Calibri" w:hAnsi="Calibri" w:cs="Arial"/>
                <w:b/>
                <w:bCs/>
                <w:color w:val="000000"/>
                <w:sz w:val="18"/>
                <w:szCs w:val="18"/>
              </w:rPr>
            </w:pPr>
            <w:r>
              <w:rPr>
                <w:rFonts w:ascii="Calibri" w:hAnsi="Calibri" w:cs="Arial"/>
                <w:b/>
                <w:bCs/>
                <w:snapToGrid w:val="0"/>
                <w:color w:val="000000"/>
                <w:sz w:val="18"/>
                <w:szCs w:val="18"/>
              </w:rPr>
              <w:t>Critical</w:t>
            </w:r>
          </w:p>
        </w:tc>
      </w:tr>
      <w:tr w:rsidR="003E24B5" w:rsidTr="0039445E">
        <w:trPr>
          <w:trHeight w:val="330"/>
        </w:trPr>
        <w:tc>
          <w:tcPr>
            <w:tcW w:w="1220" w:type="dxa"/>
            <w:tcBorders>
              <w:top w:val="single" w:sz="6" w:space="0" w:color="auto"/>
              <w:left w:val="single" w:sz="4" w:space="0" w:color="auto"/>
              <w:bottom w:val="single" w:sz="6" w:space="0" w:color="auto"/>
              <w:right w:val="single" w:sz="6" w:space="0" w:color="auto"/>
            </w:tcBorders>
            <w:shd w:val="clear" w:color="auto" w:fill="DDDDDD"/>
            <w:vAlign w:val="center"/>
          </w:tcPr>
          <w:p w:rsidR="003E24B5" w:rsidRDefault="003E24B5" w:rsidP="0039445E">
            <w:pPr>
              <w:jc w:val="center"/>
              <w:rPr>
                <w:rFonts w:ascii="Calibri" w:hAnsi="Calibri" w:cs="Arial"/>
                <w:b/>
                <w:bCs/>
                <w:color w:val="000000"/>
                <w:sz w:val="18"/>
                <w:szCs w:val="18"/>
              </w:rPr>
            </w:pPr>
            <w:r>
              <w:rPr>
                <w:rFonts w:ascii="Calibri" w:hAnsi="Calibri" w:cs="Arial"/>
                <w:b/>
                <w:bCs/>
                <w:snapToGrid w:val="0"/>
                <w:color w:val="000000"/>
                <w:sz w:val="18"/>
                <w:szCs w:val="18"/>
              </w:rPr>
              <w:t>Almost certain</w:t>
            </w:r>
          </w:p>
        </w:tc>
        <w:tc>
          <w:tcPr>
            <w:tcW w:w="1440" w:type="dxa"/>
            <w:tcBorders>
              <w:top w:val="single" w:sz="6" w:space="0" w:color="auto"/>
              <w:left w:val="single" w:sz="6" w:space="0" w:color="auto"/>
              <w:bottom w:val="single" w:sz="6" w:space="0" w:color="auto"/>
              <w:right w:val="single" w:sz="6" w:space="0" w:color="auto"/>
            </w:tcBorders>
            <w:shd w:val="clear" w:color="auto" w:fill="FFFF99"/>
            <w:vAlign w:val="center"/>
          </w:tcPr>
          <w:p w:rsidR="003E24B5" w:rsidRDefault="003E24B5" w:rsidP="0039445E">
            <w:pPr>
              <w:jc w:val="center"/>
              <w:rPr>
                <w:rFonts w:ascii="Calibri" w:hAnsi="Calibri" w:cs="Arial"/>
                <w:b/>
                <w:color w:val="000000"/>
                <w:sz w:val="18"/>
                <w:szCs w:val="18"/>
              </w:rPr>
            </w:pPr>
            <w:r>
              <w:rPr>
                <w:rFonts w:ascii="Calibri" w:hAnsi="Calibri" w:cs="Arial"/>
                <w:b/>
                <w:snapToGrid w:val="0"/>
                <w:sz w:val="18"/>
                <w:szCs w:val="18"/>
              </w:rPr>
              <w:t>Low</w:t>
            </w:r>
          </w:p>
        </w:tc>
        <w:tc>
          <w:tcPr>
            <w:tcW w:w="1440" w:type="dxa"/>
            <w:tcBorders>
              <w:top w:val="single" w:sz="6" w:space="0" w:color="auto"/>
              <w:left w:val="single" w:sz="6" w:space="0" w:color="auto"/>
              <w:bottom w:val="single" w:sz="6" w:space="0" w:color="auto"/>
              <w:right w:val="single" w:sz="6" w:space="0" w:color="auto"/>
            </w:tcBorders>
            <w:shd w:val="clear" w:color="auto" w:fill="FFFF00"/>
            <w:vAlign w:val="center"/>
          </w:tcPr>
          <w:p w:rsidR="003E24B5" w:rsidRDefault="003E24B5" w:rsidP="0039445E">
            <w:pPr>
              <w:jc w:val="center"/>
              <w:rPr>
                <w:rFonts w:ascii="Calibri" w:hAnsi="Calibri" w:cs="Arial"/>
                <w:b/>
                <w:color w:val="000000"/>
                <w:sz w:val="18"/>
                <w:szCs w:val="18"/>
              </w:rPr>
            </w:pPr>
            <w:r>
              <w:rPr>
                <w:rFonts w:ascii="Calibri" w:hAnsi="Calibri" w:cs="Arial"/>
                <w:b/>
                <w:snapToGrid w:val="0"/>
                <w:sz w:val="18"/>
                <w:szCs w:val="18"/>
              </w:rPr>
              <w:t>Medium</w:t>
            </w:r>
          </w:p>
        </w:tc>
        <w:tc>
          <w:tcPr>
            <w:tcW w:w="1440" w:type="dxa"/>
            <w:tcBorders>
              <w:top w:val="single" w:sz="6" w:space="0" w:color="auto"/>
              <w:left w:val="single" w:sz="6" w:space="0" w:color="auto"/>
              <w:bottom w:val="single" w:sz="6" w:space="0" w:color="auto"/>
              <w:right w:val="single" w:sz="6" w:space="0" w:color="auto"/>
            </w:tcBorders>
            <w:shd w:val="clear" w:color="auto" w:fill="FF9900"/>
            <w:vAlign w:val="center"/>
          </w:tcPr>
          <w:p w:rsidR="003E24B5" w:rsidRDefault="003E24B5" w:rsidP="0039445E">
            <w:pPr>
              <w:jc w:val="center"/>
              <w:rPr>
                <w:rFonts w:ascii="Calibri" w:hAnsi="Calibri" w:cs="Arial"/>
                <w:b/>
                <w:sz w:val="18"/>
                <w:szCs w:val="18"/>
              </w:rPr>
            </w:pPr>
            <w:r>
              <w:rPr>
                <w:rFonts w:ascii="Calibri" w:hAnsi="Calibri" w:cs="Arial"/>
                <w:b/>
                <w:snapToGrid w:val="0"/>
                <w:sz w:val="18"/>
                <w:szCs w:val="18"/>
              </w:rPr>
              <w:t>High</w:t>
            </w:r>
          </w:p>
        </w:tc>
        <w:tc>
          <w:tcPr>
            <w:tcW w:w="1440" w:type="dxa"/>
            <w:tcBorders>
              <w:top w:val="single" w:sz="6" w:space="0" w:color="auto"/>
              <w:left w:val="single" w:sz="6" w:space="0" w:color="auto"/>
              <w:bottom w:val="single" w:sz="6" w:space="0" w:color="auto"/>
              <w:right w:val="single" w:sz="6" w:space="0" w:color="auto"/>
            </w:tcBorders>
            <w:shd w:val="clear" w:color="auto" w:fill="DC0000"/>
            <w:vAlign w:val="center"/>
          </w:tcPr>
          <w:p w:rsidR="003E24B5" w:rsidRDefault="003E24B5" w:rsidP="0039445E">
            <w:pPr>
              <w:jc w:val="center"/>
              <w:rPr>
                <w:rFonts w:ascii="Calibri" w:hAnsi="Calibri" w:cs="Arial"/>
                <w:b/>
                <w:color w:val="FFFFFF"/>
                <w:sz w:val="18"/>
                <w:szCs w:val="18"/>
              </w:rPr>
            </w:pPr>
            <w:r>
              <w:rPr>
                <w:rFonts w:ascii="Calibri" w:hAnsi="Calibri" w:cs="Arial"/>
                <w:b/>
                <w:snapToGrid w:val="0"/>
                <w:color w:val="FFFFFF"/>
                <w:sz w:val="18"/>
                <w:szCs w:val="18"/>
              </w:rPr>
              <w:t>Severe</w:t>
            </w:r>
          </w:p>
        </w:tc>
        <w:tc>
          <w:tcPr>
            <w:tcW w:w="1440" w:type="dxa"/>
            <w:tcBorders>
              <w:top w:val="single" w:sz="6" w:space="0" w:color="auto"/>
              <w:left w:val="single" w:sz="6" w:space="0" w:color="auto"/>
              <w:bottom w:val="single" w:sz="6" w:space="0" w:color="auto"/>
              <w:right w:val="single" w:sz="4" w:space="0" w:color="auto"/>
            </w:tcBorders>
            <w:shd w:val="clear" w:color="auto" w:fill="DC0000"/>
            <w:vAlign w:val="center"/>
          </w:tcPr>
          <w:p w:rsidR="003E24B5" w:rsidRDefault="003E24B5" w:rsidP="0039445E">
            <w:pPr>
              <w:jc w:val="center"/>
              <w:rPr>
                <w:rFonts w:ascii="Calibri" w:hAnsi="Calibri" w:cs="Arial"/>
                <w:b/>
                <w:color w:val="FFFFFF"/>
                <w:sz w:val="18"/>
                <w:szCs w:val="18"/>
              </w:rPr>
            </w:pPr>
            <w:r>
              <w:rPr>
                <w:rFonts w:ascii="Calibri" w:hAnsi="Calibri" w:cs="Arial"/>
                <w:b/>
                <w:snapToGrid w:val="0"/>
                <w:color w:val="FFFFFF"/>
                <w:sz w:val="18"/>
                <w:szCs w:val="18"/>
              </w:rPr>
              <w:t>Severe</w:t>
            </w:r>
          </w:p>
        </w:tc>
      </w:tr>
      <w:tr w:rsidR="003E24B5" w:rsidTr="0039445E">
        <w:trPr>
          <w:trHeight w:val="330"/>
        </w:trPr>
        <w:tc>
          <w:tcPr>
            <w:tcW w:w="1220" w:type="dxa"/>
            <w:tcBorders>
              <w:top w:val="single" w:sz="6" w:space="0" w:color="auto"/>
              <w:left w:val="single" w:sz="4" w:space="0" w:color="auto"/>
              <w:bottom w:val="single" w:sz="6" w:space="0" w:color="auto"/>
              <w:right w:val="single" w:sz="6" w:space="0" w:color="auto"/>
            </w:tcBorders>
            <w:shd w:val="clear" w:color="auto" w:fill="DDDDDD"/>
            <w:vAlign w:val="center"/>
          </w:tcPr>
          <w:p w:rsidR="003E24B5" w:rsidRDefault="003E24B5" w:rsidP="0039445E">
            <w:pPr>
              <w:jc w:val="center"/>
              <w:rPr>
                <w:rFonts w:ascii="Calibri" w:hAnsi="Calibri" w:cs="Arial"/>
                <w:b/>
                <w:bCs/>
                <w:color w:val="000000"/>
                <w:sz w:val="18"/>
                <w:szCs w:val="18"/>
              </w:rPr>
            </w:pPr>
            <w:r>
              <w:rPr>
                <w:rFonts w:ascii="Calibri" w:hAnsi="Calibri" w:cs="Arial"/>
                <w:b/>
                <w:bCs/>
                <w:snapToGrid w:val="0"/>
                <w:color w:val="000000"/>
                <w:sz w:val="18"/>
                <w:szCs w:val="18"/>
              </w:rPr>
              <w:t>Likely</w:t>
            </w:r>
          </w:p>
        </w:tc>
        <w:tc>
          <w:tcPr>
            <w:tcW w:w="1440" w:type="dxa"/>
            <w:tcBorders>
              <w:top w:val="single" w:sz="6" w:space="0" w:color="auto"/>
              <w:left w:val="single" w:sz="6" w:space="0" w:color="auto"/>
              <w:bottom w:val="single" w:sz="6" w:space="0" w:color="auto"/>
              <w:right w:val="single" w:sz="6" w:space="0" w:color="auto"/>
            </w:tcBorders>
            <w:shd w:val="clear" w:color="auto" w:fill="FFFF99"/>
            <w:vAlign w:val="center"/>
          </w:tcPr>
          <w:p w:rsidR="003E24B5" w:rsidRDefault="003E24B5" w:rsidP="0039445E">
            <w:pPr>
              <w:jc w:val="center"/>
              <w:rPr>
                <w:rFonts w:ascii="Calibri" w:hAnsi="Calibri" w:cs="Arial"/>
                <w:b/>
                <w:color w:val="000000"/>
                <w:sz w:val="18"/>
                <w:szCs w:val="18"/>
              </w:rPr>
            </w:pPr>
            <w:r>
              <w:rPr>
                <w:rFonts w:ascii="Calibri" w:hAnsi="Calibri" w:cs="Arial"/>
                <w:b/>
                <w:snapToGrid w:val="0"/>
                <w:sz w:val="18"/>
                <w:szCs w:val="18"/>
              </w:rPr>
              <w:t>Low</w:t>
            </w:r>
          </w:p>
        </w:tc>
        <w:tc>
          <w:tcPr>
            <w:tcW w:w="1440" w:type="dxa"/>
            <w:tcBorders>
              <w:top w:val="single" w:sz="6" w:space="0" w:color="auto"/>
              <w:left w:val="single" w:sz="6" w:space="0" w:color="auto"/>
              <w:bottom w:val="single" w:sz="6" w:space="0" w:color="auto"/>
              <w:right w:val="single" w:sz="6" w:space="0" w:color="auto"/>
            </w:tcBorders>
            <w:shd w:val="clear" w:color="auto" w:fill="FFFF00"/>
            <w:vAlign w:val="center"/>
          </w:tcPr>
          <w:p w:rsidR="003E24B5" w:rsidRDefault="003E24B5" w:rsidP="0039445E">
            <w:pPr>
              <w:jc w:val="center"/>
              <w:rPr>
                <w:rFonts w:ascii="Calibri" w:hAnsi="Calibri" w:cs="Arial"/>
                <w:b/>
                <w:color w:val="000000"/>
                <w:sz w:val="18"/>
                <w:szCs w:val="18"/>
              </w:rPr>
            </w:pPr>
            <w:r>
              <w:rPr>
                <w:rFonts w:ascii="Calibri" w:hAnsi="Calibri" w:cs="Arial"/>
                <w:b/>
                <w:snapToGrid w:val="0"/>
                <w:sz w:val="18"/>
                <w:szCs w:val="18"/>
              </w:rPr>
              <w:t>Medium</w:t>
            </w:r>
          </w:p>
        </w:tc>
        <w:tc>
          <w:tcPr>
            <w:tcW w:w="1440" w:type="dxa"/>
            <w:tcBorders>
              <w:top w:val="single" w:sz="6" w:space="0" w:color="auto"/>
              <w:left w:val="single" w:sz="6" w:space="0" w:color="auto"/>
              <w:bottom w:val="single" w:sz="6" w:space="0" w:color="auto"/>
              <w:right w:val="single" w:sz="6" w:space="0" w:color="auto"/>
            </w:tcBorders>
            <w:shd w:val="clear" w:color="auto" w:fill="FFFF00"/>
            <w:vAlign w:val="center"/>
          </w:tcPr>
          <w:p w:rsidR="003E24B5" w:rsidRDefault="003E24B5" w:rsidP="0039445E">
            <w:pPr>
              <w:jc w:val="center"/>
              <w:rPr>
                <w:rFonts w:ascii="Calibri" w:hAnsi="Calibri" w:cs="Arial"/>
                <w:b/>
                <w:color w:val="000000"/>
                <w:sz w:val="18"/>
                <w:szCs w:val="18"/>
              </w:rPr>
            </w:pPr>
            <w:r>
              <w:rPr>
                <w:rFonts w:ascii="Calibri" w:hAnsi="Calibri" w:cs="Arial"/>
                <w:b/>
                <w:snapToGrid w:val="0"/>
                <w:sz w:val="18"/>
                <w:szCs w:val="18"/>
              </w:rPr>
              <w:t>Medium</w:t>
            </w:r>
          </w:p>
        </w:tc>
        <w:tc>
          <w:tcPr>
            <w:tcW w:w="1440" w:type="dxa"/>
            <w:tcBorders>
              <w:top w:val="single" w:sz="6" w:space="0" w:color="auto"/>
              <w:left w:val="single" w:sz="6" w:space="0" w:color="auto"/>
              <w:bottom w:val="single" w:sz="6" w:space="0" w:color="auto"/>
              <w:right w:val="single" w:sz="6" w:space="0" w:color="auto"/>
            </w:tcBorders>
            <w:shd w:val="clear" w:color="auto" w:fill="FF9900"/>
            <w:vAlign w:val="center"/>
          </w:tcPr>
          <w:p w:rsidR="003E24B5" w:rsidRDefault="003E24B5" w:rsidP="0039445E">
            <w:pPr>
              <w:jc w:val="center"/>
              <w:rPr>
                <w:rFonts w:ascii="Calibri" w:hAnsi="Calibri" w:cs="Arial"/>
                <w:b/>
                <w:sz w:val="18"/>
                <w:szCs w:val="18"/>
              </w:rPr>
            </w:pPr>
            <w:r>
              <w:rPr>
                <w:rFonts w:ascii="Calibri" w:hAnsi="Calibri" w:cs="Arial"/>
                <w:b/>
                <w:snapToGrid w:val="0"/>
                <w:sz w:val="18"/>
                <w:szCs w:val="18"/>
              </w:rPr>
              <w:t>High</w:t>
            </w:r>
          </w:p>
        </w:tc>
        <w:tc>
          <w:tcPr>
            <w:tcW w:w="1440" w:type="dxa"/>
            <w:tcBorders>
              <w:top w:val="single" w:sz="6" w:space="0" w:color="auto"/>
              <w:left w:val="single" w:sz="6" w:space="0" w:color="auto"/>
              <w:bottom w:val="single" w:sz="6" w:space="0" w:color="auto"/>
              <w:right w:val="single" w:sz="4" w:space="0" w:color="auto"/>
            </w:tcBorders>
            <w:shd w:val="clear" w:color="auto" w:fill="DE0000"/>
            <w:vAlign w:val="center"/>
          </w:tcPr>
          <w:p w:rsidR="003E24B5" w:rsidRDefault="003E24B5" w:rsidP="0039445E">
            <w:pPr>
              <w:jc w:val="center"/>
              <w:rPr>
                <w:rFonts w:ascii="Calibri" w:hAnsi="Calibri" w:cs="Arial"/>
                <w:b/>
                <w:color w:val="FFFFFF"/>
                <w:sz w:val="18"/>
                <w:szCs w:val="18"/>
              </w:rPr>
            </w:pPr>
            <w:r>
              <w:rPr>
                <w:rFonts w:ascii="Calibri" w:hAnsi="Calibri" w:cs="Arial"/>
                <w:b/>
                <w:snapToGrid w:val="0"/>
                <w:color w:val="FFFFFF"/>
                <w:sz w:val="18"/>
                <w:szCs w:val="18"/>
              </w:rPr>
              <w:t>Severe</w:t>
            </w:r>
          </w:p>
        </w:tc>
      </w:tr>
      <w:tr w:rsidR="003E24B5" w:rsidTr="0039445E">
        <w:trPr>
          <w:trHeight w:val="315"/>
        </w:trPr>
        <w:tc>
          <w:tcPr>
            <w:tcW w:w="1220" w:type="dxa"/>
            <w:tcBorders>
              <w:top w:val="single" w:sz="6" w:space="0" w:color="auto"/>
              <w:left w:val="single" w:sz="4" w:space="0" w:color="auto"/>
              <w:bottom w:val="single" w:sz="6" w:space="0" w:color="auto"/>
              <w:right w:val="single" w:sz="6" w:space="0" w:color="auto"/>
            </w:tcBorders>
            <w:shd w:val="clear" w:color="auto" w:fill="DDDDDD"/>
            <w:vAlign w:val="center"/>
          </w:tcPr>
          <w:p w:rsidR="003E24B5" w:rsidRDefault="003E24B5" w:rsidP="0039445E">
            <w:pPr>
              <w:jc w:val="center"/>
              <w:rPr>
                <w:rFonts w:ascii="Calibri" w:hAnsi="Calibri" w:cs="Arial"/>
                <w:b/>
                <w:bCs/>
                <w:color w:val="000000"/>
                <w:sz w:val="18"/>
                <w:szCs w:val="18"/>
              </w:rPr>
            </w:pPr>
            <w:r>
              <w:rPr>
                <w:rFonts w:ascii="Calibri" w:hAnsi="Calibri" w:cs="Arial"/>
                <w:b/>
                <w:bCs/>
                <w:snapToGrid w:val="0"/>
                <w:color w:val="000000"/>
                <w:sz w:val="18"/>
                <w:szCs w:val="18"/>
              </w:rPr>
              <w:t>Possible</w:t>
            </w:r>
          </w:p>
        </w:tc>
        <w:tc>
          <w:tcPr>
            <w:tcW w:w="1440" w:type="dxa"/>
            <w:tcBorders>
              <w:top w:val="single" w:sz="6" w:space="0" w:color="auto"/>
              <w:left w:val="single" w:sz="6" w:space="0" w:color="auto"/>
              <w:bottom w:val="single" w:sz="6" w:space="0" w:color="auto"/>
              <w:right w:val="single" w:sz="6" w:space="0" w:color="auto"/>
            </w:tcBorders>
            <w:shd w:val="clear" w:color="auto" w:fill="FFFF99"/>
            <w:vAlign w:val="center"/>
          </w:tcPr>
          <w:p w:rsidR="003E24B5" w:rsidRDefault="003E24B5" w:rsidP="0039445E">
            <w:pPr>
              <w:jc w:val="center"/>
              <w:rPr>
                <w:rFonts w:ascii="Calibri" w:hAnsi="Calibri" w:cs="Arial"/>
                <w:b/>
                <w:color w:val="000000"/>
                <w:sz w:val="18"/>
                <w:szCs w:val="18"/>
              </w:rPr>
            </w:pPr>
            <w:r>
              <w:rPr>
                <w:rFonts w:ascii="Calibri" w:hAnsi="Calibri" w:cs="Arial"/>
                <w:b/>
                <w:snapToGrid w:val="0"/>
                <w:sz w:val="18"/>
                <w:szCs w:val="18"/>
              </w:rPr>
              <w:t>Low</w:t>
            </w:r>
          </w:p>
        </w:tc>
        <w:tc>
          <w:tcPr>
            <w:tcW w:w="1440" w:type="dxa"/>
            <w:tcBorders>
              <w:top w:val="single" w:sz="6" w:space="0" w:color="auto"/>
              <w:left w:val="single" w:sz="6" w:space="0" w:color="auto"/>
              <w:bottom w:val="single" w:sz="6" w:space="0" w:color="auto"/>
              <w:right w:val="single" w:sz="6" w:space="0" w:color="auto"/>
            </w:tcBorders>
            <w:shd w:val="clear" w:color="auto" w:fill="FFFF99"/>
            <w:vAlign w:val="center"/>
          </w:tcPr>
          <w:p w:rsidR="003E24B5" w:rsidRDefault="003E24B5" w:rsidP="0039445E">
            <w:pPr>
              <w:jc w:val="center"/>
              <w:rPr>
                <w:rFonts w:ascii="Calibri" w:hAnsi="Calibri" w:cs="Arial"/>
                <w:b/>
                <w:color w:val="000000"/>
                <w:sz w:val="18"/>
                <w:szCs w:val="18"/>
              </w:rPr>
            </w:pPr>
            <w:r>
              <w:rPr>
                <w:rFonts w:ascii="Calibri" w:hAnsi="Calibri" w:cs="Arial"/>
                <w:b/>
                <w:snapToGrid w:val="0"/>
                <w:sz w:val="18"/>
                <w:szCs w:val="18"/>
              </w:rPr>
              <w:t>Low</w:t>
            </w:r>
          </w:p>
        </w:tc>
        <w:tc>
          <w:tcPr>
            <w:tcW w:w="1440" w:type="dxa"/>
            <w:tcBorders>
              <w:top w:val="single" w:sz="6" w:space="0" w:color="auto"/>
              <w:left w:val="single" w:sz="6" w:space="0" w:color="auto"/>
              <w:bottom w:val="single" w:sz="6" w:space="0" w:color="auto"/>
              <w:right w:val="single" w:sz="6" w:space="0" w:color="auto"/>
            </w:tcBorders>
            <w:shd w:val="clear" w:color="auto" w:fill="FFFF00"/>
            <w:vAlign w:val="center"/>
          </w:tcPr>
          <w:p w:rsidR="003E24B5" w:rsidRDefault="003E24B5" w:rsidP="0039445E">
            <w:pPr>
              <w:jc w:val="center"/>
              <w:rPr>
                <w:rFonts w:ascii="Calibri" w:hAnsi="Calibri" w:cs="Arial"/>
                <w:b/>
                <w:color w:val="000000"/>
                <w:sz w:val="18"/>
                <w:szCs w:val="18"/>
              </w:rPr>
            </w:pPr>
            <w:r>
              <w:rPr>
                <w:rFonts w:ascii="Calibri" w:hAnsi="Calibri" w:cs="Arial"/>
                <w:b/>
                <w:snapToGrid w:val="0"/>
                <w:sz w:val="18"/>
                <w:szCs w:val="18"/>
              </w:rPr>
              <w:t>Medium</w:t>
            </w:r>
          </w:p>
        </w:tc>
        <w:tc>
          <w:tcPr>
            <w:tcW w:w="1440" w:type="dxa"/>
            <w:tcBorders>
              <w:top w:val="single" w:sz="6" w:space="0" w:color="auto"/>
              <w:left w:val="single" w:sz="6" w:space="0" w:color="auto"/>
              <w:bottom w:val="single" w:sz="6" w:space="0" w:color="auto"/>
              <w:right w:val="single" w:sz="6" w:space="0" w:color="auto"/>
            </w:tcBorders>
            <w:shd w:val="clear" w:color="auto" w:fill="FF9900"/>
            <w:vAlign w:val="center"/>
          </w:tcPr>
          <w:p w:rsidR="003E24B5" w:rsidRDefault="003E24B5" w:rsidP="0039445E">
            <w:pPr>
              <w:jc w:val="center"/>
              <w:rPr>
                <w:rFonts w:ascii="Calibri" w:hAnsi="Calibri" w:cs="Arial"/>
                <w:b/>
                <w:color w:val="000000"/>
                <w:sz w:val="18"/>
                <w:szCs w:val="18"/>
              </w:rPr>
            </w:pPr>
            <w:r>
              <w:rPr>
                <w:rFonts w:ascii="Calibri" w:hAnsi="Calibri" w:cs="Arial"/>
                <w:b/>
                <w:snapToGrid w:val="0"/>
                <w:sz w:val="18"/>
                <w:szCs w:val="18"/>
              </w:rPr>
              <w:t>High</w:t>
            </w:r>
          </w:p>
        </w:tc>
        <w:tc>
          <w:tcPr>
            <w:tcW w:w="1440" w:type="dxa"/>
            <w:tcBorders>
              <w:top w:val="single" w:sz="6" w:space="0" w:color="auto"/>
              <w:left w:val="single" w:sz="6" w:space="0" w:color="auto"/>
              <w:bottom w:val="single" w:sz="6" w:space="0" w:color="auto"/>
              <w:right w:val="single" w:sz="4" w:space="0" w:color="auto"/>
            </w:tcBorders>
            <w:shd w:val="clear" w:color="auto" w:fill="DC0000"/>
            <w:vAlign w:val="center"/>
          </w:tcPr>
          <w:p w:rsidR="003E24B5" w:rsidRDefault="003E24B5" w:rsidP="0039445E">
            <w:pPr>
              <w:jc w:val="center"/>
              <w:rPr>
                <w:rFonts w:ascii="Calibri" w:hAnsi="Calibri" w:cs="Arial"/>
                <w:b/>
                <w:color w:val="FFFFFF"/>
                <w:sz w:val="18"/>
                <w:szCs w:val="18"/>
              </w:rPr>
            </w:pPr>
            <w:r>
              <w:rPr>
                <w:rFonts w:ascii="Calibri" w:hAnsi="Calibri" w:cs="Arial"/>
                <w:b/>
                <w:snapToGrid w:val="0"/>
                <w:color w:val="FFFFFF"/>
                <w:sz w:val="18"/>
                <w:szCs w:val="18"/>
              </w:rPr>
              <w:t>Severe</w:t>
            </w:r>
          </w:p>
        </w:tc>
      </w:tr>
      <w:tr w:rsidR="003E24B5" w:rsidTr="0039445E">
        <w:trPr>
          <w:trHeight w:val="285"/>
        </w:trPr>
        <w:tc>
          <w:tcPr>
            <w:tcW w:w="1220" w:type="dxa"/>
            <w:tcBorders>
              <w:top w:val="single" w:sz="6" w:space="0" w:color="auto"/>
              <w:left w:val="single" w:sz="4" w:space="0" w:color="auto"/>
              <w:bottom w:val="single" w:sz="6" w:space="0" w:color="auto"/>
              <w:right w:val="single" w:sz="6" w:space="0" w:color="auto"/>
            </w:tcBorders>
            <w:shd w:val="clear" w:color="auto" w:fill="DDDDDD"/>
            <w:vAlign w:val="center"/>
          </w:tcPr>
          <w:p w:rsidR="003E24B5" w:rsidRDefault="003E24B5" w:rsidP="0039445E">
            <w:pPr>
              <w:jc w:val="center"/>
              <w:rPr>
                <w:rFonts w:ascii="Calibri" w:hAnsi="Calibri" w:cs="Arial"/>
                <w:b/>
                <w:bCs/>
                <w:color w:val="000000"/>
                <w:sz w:val="18"/>
                <w:szCs w:val="18"/>
              </w:rPr>
            </w:pPr>
            <w:r>
              <w:rPr>
                <w:rFonts w:ascii="Calibri" w:hAnsi="Calibri" w:cs="Arial"/>
                <w:b/>
                <w:bCs/>
                <w:snapToGrid w:val="0"/>
                <w:color w:val="000000"/>
                <w:sz w:val="18"/>
                <w:szCs w:val="18"/>
              </w:rPr>
              <w:t>Unlikely</w:t>
            </w:r>
          </w:p>
        </w:tc>
        <w:tc>
          <w:tcPr>
            <w:tcW w:w="1440" w:type="dxa"/>
            <w:tcBorders>
              <w:top w:val="single" w:sz="6" w:space="0" w:color="auto"/>
              <w:left w:val="single" w:sz="6" w:space="0" w:color="auto"/>
              <w:bottom w:val="single" w:sz="6" w:space="0" w:color="auto"/>
              <w:right w:val="single" w:sz="6" w:space="0" w:color="auto"/>
            </w:tcBorders>
            <w:shd w:val="clear" w:color="auto" w:fill="FFFF99"/>
            <w:vAlign w:val="center"/>
          </w:tcPr>
          <w:p w:rsidR="003E24B5" w:rsidRDefault="003E24B5" w:rsidP="0039445E">
            <w:pPr>
              <w:jc w:val="center"/>
              <w:rPr>
                <w:rFonts w:ascii="Calibri" w:hAnsi="Calibri" w:cs="Arial"/>
                <w:b/>
                <w:color w:val="000000"/>
                <w:sz w:val="18"/>
                <w:szCs w:val="18"/>
              </w:rPr>
            </w:pPr>
            <w:r>
              <w:rPr>
                <w:rFonts w:ascii="Calibri" w:hAnsi="Calibri" w:cs="Arial"/>
                <w:b/>
                <w:snapToGrid w:val="0"/>
                <w:sz w:val="18"/>
                <w:szCs w:val="18"/>
              </w:rPr>
              <w:t>Low</w:t>
            </w:r>
          </w:p>
        </w:tc>
        <w:tc>
          <w:tcPr>
            <w:tcW w:w="1440" w:type="dxa"/>
            <w:tcBorders>
              <w:top w:val="single" w:sz="6" w:space="0" w:color="auto"/>
              <w:left w:val="single" w:sz="6" w:space="0" w:color="auto"/>
              <w:bottom w:val="single" w:sz="6" w:space="0" w:color="auto"/>
              <w:right w:val="single" w:sz="6" w:space="0" w:color="auto"/>
            </w:tcBorders>
            <w:shd w:val="clear" w:color="auto" w:fill="FFFF99"/>
            <w:vAlign w:val="center"/>
          </w:tcPr>
          <w:p w:rsidR="003E24B5" w:rsidRDefault="003E24B5" w:rsidP="0039445E">
            <w:pPr>
              <w:jc w:val="center"/>
              <w:rPr>
                <w:rFonts w:ascii="Calibri" w:hAnsi="Calibri" w:cs="Arial"/>
                <w:b/>
                <w:color w:val="000000"/>
                <w:sz w:val="18"/>
                <w:szCs w:val="18"/>
              </w:rPr>
            </w:pPr>
            <w:r>
              <w:rPr>
                <w:rFonts w:ascii="Calibri" w:hAnsi="Calibri" w:cs="Arial"/>
                <w:b/>
                <w:snapToGrid w:val="0"/>
                <w:sz w:val="18"/>
                <w:szCs w:val="18"/>
              </w:rPr>
              <w:t>Low</w:t>
            </w:r>
          </w:p>
        </w:tc>
        <w:tc>
          <w:tcPr>
            <w:tcW w:w="1440" w:type="dxa"/>
            <w:tcBorders>
              <w:top w:val="single" w:sz="6" w:space="0" w:color="auto"/>
              <w:left w:val="single" w:sz="6" w:space="0" w:color="auto"/>
              <w:bottom w:val="single" w:sz="6" w:space="0" w:color="auto"/>
              <w:right w:val="single" w:sz="6" w:space="0" w:color="auto"/>
            </w:tcBorders>
            <w:shd w:val="clear" w:color="auto" w:fill="FFFF99"/>
            <w:vAlign w:val="center"/>
          </w:tcPr>
          <w:p w:rsidR="003E24B5" w:rsidRDefault="003E24B5" w:rsidP="0039445E">
            <w:pPr>
              <w:jc w:val="center"/>
              <w:rPr>
                <w:rFonts w:ascii="Calibri" w:hAnsi="Calibri" w:cs="Arial"/>
                <w:b/>
                <w:color w:val="000000"/>
                <w:sz w:val="18"/>
                <w:szCs w:val="18"/>
              </w:rPr>
            </w:pPr>
            <w:r>
              <w:rPr>
                <w:rFonts w:ascii="Calibri" w:hAnsi="Calibri" w:cs="Arial"/>
                <w:b/>
                <w:snapToGrid w:val="0"/>
                <w:sz w:val="18"/>
                <w:szCs w:val="18"/>
              </w:rPr>
              <w:t>Low</w:t>
            </w:r>
          </w:p>
        </w:tc>
        <w:tc>
          <w:tcPr>
            <w:tcW w:w="1440" w:type="dxa"/>
            <w:tcBorders>
              <w:top w:val="single" w:sz="6" w:space="0" w:color="auto"/>
              <w:left w:val="single" w:sz="6" w:space="0" w:color="auto"/>
              <w:bottom w:val="single" w:sz="4" w:space="0" w:color="auto"/>
              <w:right w:val="single" w:sz="6" w:space="0" w:color="auto"/>
            </w:tcBorders>
            <w:shd w:val="clear" w:color="auto" w:fill="FFFF00"/>
            <w:vAlign w:val="center"/>
          </w:tcPr>
          <w:p w:rsidR="003E24B5" w:rsidRDefault="003E24B5" w:rsidP="0039445E">
            <w:pPr>
              <w:jc w:val="center"/>
              <w:rPr>
                <w:rFonts w:ascii="Calibri" w:hAnsi="Calibri" w:cs="Arial"/>
                <w:b/>
                <w:color w:val="000000"/>
                <w:sz w:val="18"/>
                <w:szCs w:val="18"/>
              </w:rPr>
            </w:pPr>
            <w:r>
              <w:rPr>
                <w:rFonts w:ascii="Calibri" w:hAnsi="Calibri" w:cs="Arial"/>
                <w:b/>
                <w:snapToGrid w:val="0"/>
                <w:sz w:val="18"/>
                <w:szCs w:val="18"/>
              </w:rPr>
              <w:t>Medium</w:t>
            </w:r>
          </w:p>
        </w:tc>
        <w:tc>
          <w:tcPr>
            <w:tcW w:w="1440" w:type="dxa"/>
            <w:tcBorders>
              <w:top w:val="single" w:sz="6" w:space="0" w:color="auto"/>
              <w:left w:val="single" w:sz="6" w:space="0" w:color="auto"/>
              <w:bottom w:val="single" w:sz="6" w:space="0" w:color="auto"/>
              <w:right w:val="single" w:sz="4" w:space="0" w:color="auto"/>
            </w:tcBorders>
            <w:shd w:val="clear" w:color="auto" w:fill="FF9900"/>
            <w:vAlign w:val="center"/>
          </w:tcPr>
          <w:p w:rsidR="003E24B5" w:rsidRDefault="003E24B5" w:rsidP="0039445E">
            <w:pPr>
              <w:jc w:val="center"/>
              <w:rPr>
                <w:rFonts w:ascii="Calibri" w:hAnsi="Calibri" w:cs="Arial"/>
                <w:b/>
                <w:sz w:val="18"/>
                <w:szCs w:val="18"/>
              </w:rPr>
            </w:pPr>
            <w:r>
              <w:rPr>
                <w:rFonts w:ascii="Calibri" w:hAnsi="Calibri" w:cs="Arial"/>
                <w:b/>
                <w:snapToGrid w:val="0"/>
                <w:sz w:val="18"/>
                <w:szCs w:val="18"/>
              </w:rPr>
              <w:t>High</w:t>
            </w:r>
          </w:p>
        </w:tc>
      </w:tr>
      <w:tr w:rsidR="003E24B5" w:rsidTr="0039445E">
        <w:trPr>
          <w:trHeight w:val="345"/>
        </w:trPr>
        <w:tc>
          <w:tcPr>
            <w:tcW w:w="1220" w:type="dxa"/>
            <w:tcBorders>
              <w:top w:val="single" w:sz="6" w:space="0" w:color="auto"/>
              <w:left w:val="single" w:sz="4" w:space="0" w:color="auto"/>
              <w:bottom w:val="single" w:sz="6" w:space="0" w:color="auto"/>
              <w:right w:val="single" w:sz="6" w:space="0" w:color="auto"/>
            </w:tcBorders>
            <w:shd w:val="clear" w:color="auto" w:fill="DDDDDD"/>
            <w:vAlign w:val="center"/>
          </w:tcPr>
          <w:p w:rsidR="003E24B5" w:rsidRDefault="003E24B5" w:rsidP="0039445E">
            <w:pPr>
              <w:jc w:val="center"/>
              <w:rPr>
                <w:rFonts w:ascii="Calibri" w:hAnsi="Calibri" w:cs="Arial"/>
                <w:b/>
                <w:bCs/>
                <w:color w:val="000000"/>
                <w:sz w:val="18"/>
                <w:szCs w:val="18"/>
              </w:rPr>
            </w:pPr>
            <w:r>
              <w:rPr>
                <w:rFonts w:ascii="Calibri" w:hAnsi="Calibri" w:cs="Arial"/>
                <w:b/>
                <w:bCs/>
                <w:snapToGrid w:val="0"/>
                <w:color w:val="000000"/>
                <w:sz w:val="18"/>
                <w:szCs w:val="18"/>
              </w:rPr>
              <w:t>Rare</w:t>
            </w:r>
          </w:p>
        </w:tc>
        <w:tc>
          <w:tcPr>
            <w:tcW w:w="1440" w:type="dxa"/>
            <w:tcBorders>
              <w:top w:val="single" w:sz="6" w:space="0" w:color="auto"/>
              <w:left w:val="single" w:sz="6" w:space="0" w:color="auto"/>
              <w:bottom w:val="single" w:sz="6" w:space="0" w:color="auto"/>
              <w:right w:val="single" w:sz="6" w:space="0" w:color="auto"/>
            </w:tcBorders>
            <w:shd w:val="clear" w:color="auto" w:fill="FFFF99"/>
            <w:vAlign w:val="center"/>
          </w:tcPr>
          <w:p w:rsidR="003E24B5" w:rsidRDefault="003E24B5" w:rsidP="0039445E">
            <w:pPr>
              <w:jc w:val="center"/>
              <w:rPr>
                <w:rFonts w:ascii="Calibri" w:hAnsi="Calibri" w:cs="Arial"/>
                <w:b/>
                <w:color w:val="000000"/>
                <w:sz w:val="18"/>
                <w:szCs w:val="18"/>
              </w:rPr>
            </w:pPr>
            <w:r>
              <w:rPr>
                <w:rFonts w:ascii="Calibri" w:hAnsi="Calibri" w:cs="Arial"/>
                <w:b/>
                <w:snapToGrid w:val="0"/>
                <w:sz w:val="18"/>
                <w:szCs w:val="18"/>
              </w:rPr>
              <w:t>Low</w:t>
            </w:r>
          </w:p>
        </w:tc>
        <w:tc>
          <w:tcPr>
            <w:tcW w:w="1440" w:type="dxa"/>
            <w:tcBorders>
              <w:top w:val="single" w:sz="6" w:space="0" w:color="auto"/>
              <w:left w:val="single" w:sz="6" w:space="0" w:color="auto"/>
              <w:bottom w:val="single" w:sz="6" w:space="0" w:color="auto"/>
              <w:right w:val="single" w:sz="6" w:space="0" w:color="auto"/>
            </w:tcBorders>
            <w:shd w:val="clear" w:color="auto" w:fill="FFFF99"/>
            <w:vAlign w:val="center"/>
          </w:tcPr>
          <w:p w:rsidR="003E24B5" w:rsidRDefault="003E24B5" w:rsidP="0039445E">
            <w:pPr>
              <w:jc w:val="center"/>
              <w:rPr>
                <w:rFonts w:ascii="Calibri" w:hAnsi="Calibri" w:cs="Arial"/>
                <w:b/>
                <w:color w:val="000000"/>
                <w:sz w:val="18"/>
                <w:szCs w:val="18"/>
              </w:rPr>
            </w:pPr>
            <w:r>
              <w:rPr>
                <w:rFonts w:ascii="Calibri" w:hAnsi="Calibri" w:cs="Arial"/>
                <w:b/>
                <w:snapToGrid w:val="0"/>
                <w:sz w:val="18"/>
                <w:szCs w:val="18"/>
              </w:rPr>
              <w:t>Low</w:t>
            </w:r>
          </w:p>
        </w:tc>
        <w:tc>
          <w:tcPr>
            <w:tcW w:w="1440" w:type="dxa"/>
            <w:tcBorders>
              <w:top w:val="single" w:sz="6" w:space="0" w:color="auto"/>
              <w:left w:val="single" w:sz="6" w:space="0" w:color="auto"/>
              <w:bottom w:val="single" w:sz="6" w:space="0" w:color="auto"/>
              <w:right w:val="single" w:sz="4" w:space="0" w:color="auto"/>
            </w:tcBorders>
            <w:shd w:val="clear" w:color="auto" w:fill="FFFF99"/>
            <w:vAlign w:val="center"/>
          </w:tcPr>
          <w:p w:rsidR="003E24B5" w:rsidRDefault="003E24B5" w:rsidP="0039445E">
            <w:pPr>
              <w:jc w:val="center"/>
              <w:rPr>
                <w:rFonts w:ascii="Calibri" w:hAnsi="Calibri" w:cs="Arial"/>
                <w:b/>
                <w:color w:val="000000"/>
                <w:sz w:val="18"/>
                <w:szCs w:val="18"/>
              </w:rPr>
            </w:pPr>
            <w:r>
              <w:rPr>
                <w:rFonts w:ascii="Calibri" w:hAnsi="Calibri" w:cs="Arial"/>
                <w:b/>
                <w:snapToGrid w:val="0"/>
                <w:sz w:val="18"/>
                <w:szCs w:val="18"/>
              </w:rPr>
              <w:t>Low</w:t>
            </w:r>
          </w:p>
        </w:tc>
        <w:tc>
          <w:tcPr>
            <w:tcW w:w="1440" w:type="dxa"/>
            <w:tcBorders>
              <w:top w:val="single" w:sz="4" w:space="0" w:color="auto"/>
              <w:left w:val="single" w:sz="4" w:space="0" w:color="auto"/>
              <w:bottom w:val="single" w:sz="6" w:space="0" w:color="auto"/>
              <w:right w:val="single" w:sz="4" w:space="0" w:color="auto"/>
            </w:tcBorders>
            <w:shd w:val="clear" w:color="auto" w:fill="FFFF00"/>
            <w:vAlign w:val="center"/>
          </w:tcPr>
          <w:p w:rsidR="003E24B5" w:rsidRDefault="003E24B5" w:rsidP="0039445E">
            <w:pPr>
              <w:jc w:val="center"/>
              <w:rPr>
                <w:rFonts w:ascii="Calibri" w:hAnsi="Calibri" w:cs="Arial"/>
                <w:b/>
                <w:color w:val="000000"/>
                <w:sz w:val="18"/>
                <w:szCs w:val="18"/>
              </w:rPr>
            </w:pPr>
            <w:r>
              <w:rPr>
                <w:rFonts w:ascii="Calibri" w:hAnsi="Calibri" w:cs="Arial"/>
                <w:b/>
                <w:snapToGrid w:val="0"/>
                <w:sz w:val="18"/>
                <w:szCs w:val="18"/>
              </w:rPr>
              <w:t>Medium</w:t>
            </w:r>
          </w:p>
        </w:tc>
        <w:tc>
          <w:tcPr>
            <w:tcW w:w="1440" w:type="dxa"/>
            <w:tcBorders>
              <w:top w:val="single" w:sz="6" w:space="0" w:color="auto"/>
              <w:left w:val="single" w:sz="4" w:space="0" w:color="auto"/>
              <w:bottom w:val="single" w:sz="6" w:space="0" w:color="auto"/>
              <w:right w:val="single" w:sz="4" w:space="0" w:color="auto"/>
            </w:tcBorders>
            <w:shd w:val="clear" w:color="auto" w:fill="FF9900"/>
            <w:vAlign w:val="center"/>
          </w:tcPr>
          <w:p w:rsidR="003E24B5" w:rsidRDefault="003E24B5" w:rsidP="0039445E">
            <w:pPr>
              <w:jc w:val="center"/>
              <w:rPr>
                <w:rFonts w:ascii="Calibri" w:hAnsi="Calibri" w:cs="Arial"/>
                <w:b/>
                <w:sz w:val="18"/>
                <w:szCs w:val="18"/>
              </w:rPr>
            </w:pPr>
            <w:r>
              <w:rPr>
                <w:rFonts w:ascii="Calibri" w:hAnsi="Calibri" w:cs="Arial"/>
                <w:b/>
                <w:snapToGrid w:val="0"/>
                <w:sz w:val="18"/>
                <w:szCs w:val="18"/>
              </w:rPr>
              <w:t>High</w:t>
            </w:r>
          </w:p>
        </w:tc>
      </w:tr>
    </w:tbl>
    <w:p w:rsidR="003E24B5" w:rsidRDefault="003E24B5" w:rsidP="00162446">
      <w:pPr>
        <w:pStyle w:val="KMHNumberHeading3"/>
        <w:numPr>
          <w:ilvl w:val="2"/>
          <w:numId w:val="56"/>
        </w:numPr>
      </w:pPr>
      <w:r>
        <w:t>Risk Treatment Plan</w:t>
      </w:r>
    </w:p>
    <w:p w:rsidR="003E24B5" w:rsidRPr="00693930" w:rsidRDefault="003E24B5" w:rsidP="00693930">
      <w:r>
        <w:t xml:space="preserve">For risks ranked Severe or High on the above matrix, KMH has provided recommendations and guidance on how best to treat and manage these risks to reduce their severity. Whilst medium and low risks are still important and need to be continually managed, time and budget of this engagement limited us in developing treatment plans for the less severe risks. </w:t>
      </w:r>
    </w:p>
    <w:p w:rsidR="003E24B5" w:rsidRDefault="003E24B5" w:rsidP="00162446">
      <w:pPr>
        <w:pStyle w:val="KMHNumberheading20"/>
        <w:numPr>
          <w:ilvl w:val="1"/>
          <w:numId w:val="56"/>
        </w:numPr>
      </w:pPr>
      <w:bookmarkStart w:id="70" w:name="_Toc287018234"/>
      <w:r w:rsidRPr="00DA619D">
        <w:t xml:space="preserve">Assessment of the </w:t>
      </w:r>
      <w:r>
        <w:t>DIIS</w:t>
      </w:r>
      <w:r w:rsidRPr="00DA619D">
        <w:t xml:space="preserve"> against international best practice</w:t>
      </w:r>
      <w:bookmarkEnd w:id="70"/>
    </w:p>
    <w:p w:rsidR="003E24B5" w:rsidRDefault="003E24B5" w:rsidP="00651BB0">
      <w:r>
        <w:t>In keeping with the scope of the risk assessment (i.e. focussing on OH&amp;S and environmental risks), KMH assessed the DIIS against international best practice by reviewing the way in which other countries identified and managed these risks. The following international standards and guidelines were reviewed in order to assess the completeness of the DIIS:</w:t>
      </w:r>
    </w:p>
    <w:p w:rsidR="003E24B5" w:rsidRPr="00667B68" w:rsidRDefault="003E24B5" w:rsidP="00162446">
      <w:pPr>
        <w:pStyle w:val="ListParagraph"/>
        <w:numPr>
          <w:ilvl w:val="0"/>
          <w:numId w:val="14"/>
        </w:numPr>
        <w:rPr>
          <w:bCs/>
          <w:lang w:val="en-US"/>
        </w:rPr>
      </w:pPr>
      <w:r>
        <w:t>WEEELABEX</w:t>
      </w:r>
      <w:r w:rsidRPr="00AF267B">
        <w:t xml:space="preserve"> </w:t>
      </w:r>
      <w:r>
        <w:t>normative requirements on Collection</w:t>
      </w:r>
    </w:p>
    <w:p w:rsidR="003E24B5" w:rsidRPr="003D1F94" w:rsidRDefault="003E24B5" w:rsidP="00162446">
      <w:pPr>
        <w:pStyle w:val="ListParagraph"/>
        <w:numPr>
          <w:ilvl w:val="0"/>
          <w:numId w:val="14"/>
        </w:numPr>
        <w:rPr>
          <w:bCs/>
          <w:lang w:val="en-US"/>
        </w:rPr>
      </w:pPr>
      <w:r>
        <w:t>WEEELABEX</w:t>
      </w:r>
      <w:r w:rsidRPr="00AF267B">
        <w:t xml:space="preserve"> </w:t>
      </w:r>
      <w:r>
        <w:t>normative requirements on Logistics</w:t>
      </w:r>
    </w:p>
    <w:p w:rsidR="003E24B5" w:rsidRPr="003D1F94" w:rsidRDefault="003E24B5" w:rsidP="00162446">
      <w:pPr>
        <w:pStyle w:val="ListParagraph"/>
        <w:numPr>
          <w:ilvl w:val="0"/>
          <w:numId w:val="14"/>
        </w:numPr>
        <w:rPr>
          <w:bCs/>
          <w:lang w:val="en-US"/>
        </w:rPr>
      </w:pPr>
      <w:r>
        <w:t>WEEELABEX</w:t>
      </w:r>
      <w:r w:rsidRPr="00AF267B">
        <w:t xml:space="preserve"> </w:t>
      </w:r>
      <w:r>
        <w:t>normative requirements on Treatment</w:t>
      </w:r>
    </w:p>
    <w:p w:rsidR="003E24B5" w:rsidRDefault="003E24B5" w:rsidP="00162446">
      <w:pPr>
        <w:pStyle w:val="ListParagraph"/>
        <w:numPr>
          <w:ilvl w:val="0"/>
          <w:numId w:val="14"/>
        </w:numPr>
      </w:pPr>
      <w:r>
        <w:t xml:space="preserve">UNEP - </w:t>
      </w:r>
      <w:r w:rsidRPr="00692973">
        <w:rPr>
          <w:i/>
          <w:iCs/>
          <w:lang w:val="en-US"/>
        </w:rPr>
        <w:t>Sustainable Innovation and Technology Transfer Industrial Sector Studies</w:t>
      </w:r>
      <w:r>
        <w:rPr>
          <w:i/>
          <w:iCs/>
          <w:lang w:val="en-US"/>
        </w:rPr>
        <w:t xml:space="preserve"> </w:t>
      </w:r>
      <w:r w:rsidRPr="00692973">
        <w:t>Re</w:t>
      </w:r>
      <w:r>
        <w:t xml:space="preserve">cycling From E-Waste to Resources </w:t>
      </w:r>
      <w:r w:rsidRPr="00692973">
        <w:t xml:space="preserve"> </w:t>
      </w:r>
    </w:p>
    <w:p w:rsidR="003E24B5" w:rsidRPr="00692973" w:rsidRDefault="003E24B5" w:rsidP="00162446">
      <w:pPr>
        <w:pStyle w:val="ListParagraph"/>
        <w:numPr>
          <w:ilvl w:val="0"/>
          <w:numId w:val="14"/>
        </w:numPr>
        <w:rPr>
          <w:lang w:val="en-US"/>
        </w:rPr>
      </w:pPr>
      <w:r w:rsidRPr="00692973">
        <w:rPr>
          <w:bCs/>
          <w:lang w:val="en-US"/>
        </w:rPr>
        <w:t>Environmental and Human Health Risks Associated with the End-of-Life Treatment of Electrical and Electronic Equipment</w:t>
      </w:r>
      <w:r>
        <w:rPr>
          <w:bCs/>
          <w:lang w:val="en-US"/>
        </w:rPr>
        <w:t xml:space="preserve"> - </w:t>
      </w:r>
      <w:r w:rsidRPr="00692973">
        <w:rPr>
          <w:bCs/>
          <w:lang w:val="en-US"/>
        </w:rPr>
        <w:t>Institute for Global Environmental Strategies (IGES)</w:t>
      </w:r>
      <w:r>
        <w:rPr>
          <w:bCs/>
          <w:lang w:val="en-US"/>
        </w:rPr>
        <w:t>, Japan</w:t>
      </w:r>
    </w:p>
    <w:p w:rsidR="003E24B5" w:rsidRPr="006875F9" w:rsidRDefault="003E24B5" w:rsidP="00162446">
      <w:pPr>
        <w:pStyle w:val="ListParagraph"/>
        <w:numPr>
          <w:ilvl w:val="0"/>
          <w:numId w:val="14"/>
        </w:numPr>
        <w:rPr>
          <w:lang w:val="en-US"/>
        </w:rPr>
      </w:pPr>
      <w:r>
        <w:rPr>
          <w:bCs/>
          <w:lang w:val="en-US"/>
        </w:rPr>
        <w:t>Electronics Recycling Standard 2009 – Electronics Product Stewardship, Canada</w:t>
      </w:r>
    </w:p>
    <w:p w:rsidR="003E24B5" w:rsidRPr="006875F9" w:rsidRDefault="003E24B5" w:rsidP="00162446">
      <w:pPr>
        <w:pStyle w:val="ListParagraph"/>
        <w:numPr>
          <w:ilvl w:val="0"/>
          <w:numId w:val="14"/>
        </w:numPr>
        <w:rPr>
          <w:lang w:val="en-US"/>
        </w:rPr>
      </w:pPr>
      <w:r w:rsidRPr="006875F9">
        <w:rPr>
          <w:bCs/>
        </w:rPr>
        <w:t>The e-Stewards Standard for Responsible Recycling and Reuse of Electronic Equipment</w:t>
      </w:r>
      <w:r>
        <w:rPr>
          <w:bCs/>
        </w:rPr>
        <w:t xml:space="preserve"> July 2009 – e-Stewards, </w:t>
      </w:r>
    </w:p>
    <w:p w:rsidR="003E24B5" w:rsidRDefault="003E24B5" w:rsidP="00162446">
      <w:pPr>
        <w:pStyle w:val="KMHNumberheading20"/>
        <w:numPr>
          <w:ilvl w:val="1"/>
          <w:numId w:val="56"/>
        </w:numPr>
      </w:pPr>
      <w:bookmarkStart w:id="71" w:name="_Toc287018235"/>
      <w:r>
        <w:t>Cost implications of the DIIS</w:t>
      </w:r>
      <w:bookmarkEnd w:id="71"/>
    </w:p>
    <w:p w:rsidR="003E24B5" w:rsidRDefault="003E24B5" w:rsidP="00285EA9">
      <w:r>
        <w:t>C</w:t>
      </w:r>
      <w:r w:rsidRPr="00BC789B">
        <w:t>osts have been estimated only as they would be borne by scheme participants in implementing</w:t>
      </w:r>
      <w:r>
        <w:t xml:space="preserve"> the requirements of the DIIS. </w:t>
      </w:r>
      <w:r w:rsidRPr="00BC789B">
        <w:t xml:space="preserve">Other costs associated with implementation of the </w:t>
      </w:r>
      <w:r>
        <w:t>scheme</w:t>
      </w:r>
      <w:r w:rsidRPr="00BC789B">
        <w:t xml:space="preserve"> have been estimated in the Decision RIS</w:t>
      </w:r>
      <w:r>
        <w:t>.</w:t>
      </w:r>
      <w:r>
        <w:rPr>
          <w:rStyle w:val="FootnoteReference"/>
        </w:rPr>
        <w:footnoteReference w:id="6"/>
      </w:r>
      <w:r w:rsidRPr="00BC789B">
        <w:t xml:space="preserve"> These are discussed in section 3 and can broadly be described as:</w:t>
      </w:r>
    </w:p>
    <w:p w:rsidR="003E24B5" w:rsidRPr="004464B8" w:rsidRDefault="003E24B5" w:rsidP="00F91110">
      <w:pPr>
        <w:spacing w:after="120"/>
      </w:pPr>
      <w:r w:rsidRPr="004464B8">
        <w:t>For collection locations and transporters:</w:t>
      </w:r>
    </w:p>
    <w:p w:rsidR="003E24B5" w:rsidRPr="004464B8" w:rsidRDefault="003E24B5" w:rsidP="00162446">
      <w:pPr>
        <w:pStyle w:val="ListParagraph"/>
        <w:numPr>
          <w:ilvl w:val="0"/>
          <w:numId w:val="9"/>
        </w:numPr>
        <w:spacing w:before="60" w:after="120"/>
        <w:jc w:val="left"/>
        <w:rPr>
          <w:rFonts w:cs="Arial"/>
        </w:rPr>
      </w:pPr>
      <w:r w:rsidRPr="004464B8">
        <w:rPr>
          <w:rFonts w:cs="Arial"/>
          <w:szCs w:val="20"/>
        </w:rPr>
        <w:t>System establishment and maintenance to DIIS requirements</w:t>
      </w:r>
    </w:p>
    <w:p w:rsidR="003E24B5" w:rsidRPr="004464B8" w:rsidRDefault="003E24B5" w:rsidP="00162446">
      <w:pPr>
        <w:pStyle w:val="ListParagraph"/>
        <w:numPr>
          <w:ilvl w:val="0"/>
          <w:numId w:val="9"/>
        </w:numPr>
        <w:spacing w:before="60" w:after="120"/>
        <w:jc w:val="left"/>
      </w:pPr>
      <w:r w:rsidRPr="004464B8">
        <w:t>Periodic random audits (collection locations only)</w:t>
      </w:r>
    </w:p>
    <w:p w:rsidR="003E24B5" w:rsidRPr="004464B8" w:rsidRDefault="003E24B5" w:rsidP="00162446">
      <w:pPr>
        <w:pStyle w:val="ListParagraph"/>
        <w:numPr>
          <w:ilvl w:val="0"/>
          <w:numId w:val="9"/>
        </w:numPr>
        <w:spacing w:before="60" w:after="120"/>
        <w:jc w:val="left"/>
      </w:pPr>
      <w:r w:rsidRPr="004464B8">
        <w:t>Establishment of data collection and record keeping systems associated with reporting (collection locations only)</w:t>
      </w:r>
    </w:p>
    <w:p w:rsidR="003E24B5" w:rsidRPr="004464B8" w:rsidRDefault="003E24B5" w:rsidP="00162446">
      <w:pPr>
        <w:pStyle w:val="ListParagraph"/>
        <w:numPr>
          <w:ilvl w:val="0"/>
          <w:numId w:val="9"/>
        </w:numPr>
        <w:spacing w:before="60"/>
        <w:ind w:left="714" w:hanging="357"/>
      </w:pPr>
      <w:r w:rsidRPr="004464B8">
        <w:t>Reporting to PSO (collection locations only)</w:t>
      </w:r>
    </w:p>
    <w:p w:rsidR="003E24B5" w:rsidRPr="004464B8" w:rsidRDefault="003E24B5" w:rsidP="00F91110">
      <w:pPr>
        <w:spacing w:after="120"/>
      </w:pPr>
      <w:r w:rsidRPr="004464B8">
        <w:t>For primary recyclers:</w:t>
      </w:r>
    </w:p>
    <w:p w:rsidR="003E24B5" w:rsidRPr="004464B8" w:rsidRDefault="003E24B5" w:rsidP="00162446">
      <w:pPr>
        <w:pStyle w:val="ListParagraph"/>
        <w:numPr>
          <w:ilvl w:val="0"/>
          <w:numId w:val="10"/>
        </w:numPr>
        <w:spacing w:before="60" w:after="120"/>
        <w:jc w:val="left"/>
        <w:rPr>
          <w:rFonts w:cs="Arial"/>
        </w:rPr>
      </w:pPr>
      <w:r w:rsidRPr="004464B8">
        <w:rPr>
          <w:rFonts w:cs="Arial"/>
          <w:szCs w:val="20"/>
        </w:rPr>
        <w:t>EMS establishment and maintenance</w:t>
      </w:r>
    </w:p>
    <w:p w:rsidR="003E24B5" w:rsidRPr="004464B8" w:rsidRDefault="003E24B5" w:rsidP="00162446">
      <w:pPr>
        <w:pStyle w:val="ListParagraph"/>
        <w:numPr>
          <w:ilvl w:val="0"/>
          <w:numId w:val="10"/>
        </w:numPr>
        <w:spacing w:before="60" w:after="120"/>
      </w:pPr>
      <w:r w:rsidRPr="004464B8">
        <w:t>ISO 14001 certification of EMS</w:t>
      </w:r>
    </w:p>
    <w:p w:rsidR="003E24B5" w:rsidRPr="004464B8" w:rsidRDefault="003E24B5" w:rsidP="00162446">
      <w:pPr>
        <w:pStyle w:val="ListParagraph"/>
        <w:numPr>
          <w:ilvl w:val="0"/>
          <w:numId w:val="10"/>
        </w:numPr>
        <w:spacing w:before="60" w:after="120"/>
        <w:ind w:left="714" w:hanging="357"/>
        <w:jc w:val="left"/>
      </w:pPr>
      <w:r w:rsidRPr="004464B8">
        <w:t>Requirements of DIIS likely to be additional to ISO 14001 such as environmental monitoring (air quality and noise), establishment of data collection and record keeping systems associated with reporting, reporting to PSO and downstream processor management</w:t>
      </w:r>
    </w:p>
    <w:p w:rsidR="003E24B5" w:rsidRPr="00B579EA" w:rsidRDefault="003E24B5" w:rsidP="00162446">
      <w:pPr>
        <w:pStyle w:val="KMHNumberHeading3"/>
        <w:numPr>
          <w:ilvl w:val="2"/>
          <w:numId w:val="56"/>
        </w:numPr>
      </w:pPr>
      <w:r w:rsidRPr="00B579EA">
        <w:lastRenderedPageBreak/>
        <w:t>Costs methodology</w:t>
      </w:r>
    </w:p>
    <w:p w:rsidR="003E24B5" w:rsidRDefault="003E24B5" w:rsidP="00B66681">
      <w:pPr>
        <w:spacing w:after="120"/>
      </w:pPr>
      <w:r w:rsidRPr="00B579EA">
        <w:t xml:space="preserve">The approach taken to estimate costs is broad and high level, and is designed to identify the </w:t>
      </w:r>
      <w:r>
        <w:t xml:space="preserve">effect that </w:t>
      </w:r>
      <w:r w:rsidRPr="00B579EA">
        <w:t xml:space="preserve">implementation of the standard is likely to have </w:t>
      </w:r>
      <w:r>
        <w:t>on</w:t>
      </w:r>
      <w:r w:rsidRPr="00B579EA">
        <w:t xml:space="preserve"> both the existing industry and new players.  It is not a detailed economic analysis.</w:t>
      </w:r>
    </w:p>
    <w:p w:rsidR="003E24B5" w:rsidRDefault="003E24B5" w:rsidP="00B66681">
      <w:pPr>
        <w:spacing w:after="120"/>
      </w:pPr>
      <w:r>
        <w:t>A range of assumptions as described in section 2.3.2 have been used in estimating costs. The methodology applied the following steps:</w:t>
      </w:r>
    </w:p>
    <w:p w:rsidR="003E24B5" w:rsidRDefault="003E24B5" w:rsidP="00162446">
      <w:pPr>
        <w:pStyle w:val="ListParagraph"/>
        <w:numPr>
          <w:ilvl w:val="0"/>
          <w:numId w:val="6"/>
        </w:numPr>
        <w:spacing w:after="120"/>
        <w:ind w:left="714" w:hanging="357"/>
        <w:contextualSpacing w:val="0"/>
      </w:pPr>
      <w:r>
        <w:t>Identify specific requirements from the DIIS that apply to each of the parties involved in implementing the standard – collection locations, transporters and primary recyclers.</w:t>
      </w:r>
    </w:p>
    <w:p w:rsidR="003E24B5" w:rsidRDefault="003E24B5" w:rsidP="00162446">
      <w:pPr>
        <w:pStyle w:val="ListParagraph"/>
        <w:numPr>
          <w:ilvl w:val="0"/>
          <w:numId w:val="6"/>
        </w:numPr>
        <w:spacing w:after="120"/>
        <w:ind w:left="714" w:hanging="357"/>
        <w:contextualSpacing w:val="0"/>
      </w:pPr>
      <w:r>
        <w:t>Ignore those requirements that may be deemed to be standard industry practice or part of general business management, hence not unique to this standard.</w:t>
      </w:r>
    </w:p>
    <w:p w:rsidR="003E24B5" w:rsidRDefault="003E24B5" w:rsidP="00162446">
      <w:pPr>
        <w:pStyle w:val="ListParagraph"/>
        <w:numPr>
          <w:ilvl w:val="0"/>
          <w:numId w:val="6"/>
        </w:numPr>
        <w:spacing w:after="120"/>
        <w:ind w:left="714" w:hanging="357"/>
        <w:contextualSpacing w:val="0"/>
      </w:pPr>
      <w:r>
        <w:t>For each party, list the activities that are required to be undertaken to comply with the DIIS.</w:t>
      </w:r>
    </w:p>
    <w:p w:rsidR="003E24B5" w:rsidRDefault="003E24B5" w:rsidP="00162446">
      <w:pPr>
        <w:pStyle w:val="ListParagraph"/>
        <w:numPr>
          <w:ilvl w:val="0"/>
          <w:numId w:val="6"/>
        </w:numPr>
        <w:spacing w:after="120"/>
        <w:ind w:left="714" w:hanging="357"/>
        <w:contextualSpacing w:val="0"/>
      </w:pPr>
      <w:r>
        <w:t>Assuming a range of operations in terms of size and complexity, apportion costs for each activity according to KMH’s and others’ experience in systems and procedures development, auditing, reporting and certification (where applicable) for similar types of companies/ industries.</w:t>
      </w:r>
    </w:p>
    <w:p w:rsidR="003E24B5" w:rsidRPr="00F31D28" w:rsidRDefault="003E24B5" w:rsidP="00162446">
      <w:pPr>
        <w:pStyle w:val="ListParagraph"/>
        <w:numPr>
          <w:ilvl w:val="0"/>
          <w:numId w:val="6"/>
        </w:numPr>
        <w:spacing w:after="120"/>
        <w:ind w:left="714" w:hanging="357"/>
        <w:contextualSpacing w:val="0"/>
      </w:pPr>
      <w:r>
        <w:t xml:space="preserve">Assume a proportional relationship between ISO 14001 establishment and certification costs and non-ISO 14001 set up and assurance costs as outlined in the DIIS for collection locations and transporters. Estimate these costs for collection locations and transporters as a proportion of costs for ISO 14001 establishment and certification (for recyclers) (see section </w:t>
      </w:r>
      <w:r w:rsidRPr="00F31D28">
        <w:t>2.3.2 assumptions 6-8)</w:t>
      </w:r>
      <w:r>
        <w:t>.</w:t>
      </w:r>
    </w:p>
    <w:p w:rsidR="003E24B5" w:rsidRDefault="003E24B5" w:rsidP="00162446">
      <w:pPr>
        <w:pStyle w:val="ListParagraph"/>
        <w:numPr>
          <w:ilvl w:val="0"/>
          <w:numId w:val="6"/>
        </w:numPr>
        <w:spacing w:after="120"/>
        <w:ind w:left="714" w:hanging="357"/>
        <w:contextualSpacing w:val="0"/>
      </w:pPr>
      <w:r>
        <w:t>Combine both establishment and running costs as an annual estimate.</w:t>
      </w:r>
    </w:p>
    <w:p w:rsidR="003E24B5" w:rsidRDefault="003E24B5" w:rsidP="00162446">
      <w:pPr>
        <w:pStyle w:val="ListParagraph"/>
        <w:numPr>
          <w:ilvl w:val="0"/>
          <w:numId w:val="6"/>
        </w:numPr>
        <w:spacing w:after="120"/>
        <w:ind w:left="714" w:hanging="357"/>
        <w:contextualSpacing w:val="0"/>
      </w:pPr>
      <w:r>
        <w:t>Assess estimated costs against industry and broader stakeholder views collected during consultation, plus any available information from standards applying to similar programs either nationally or overseas.</w:t>
      </w:r>
    </w:p>
    <w:p w:rsidR="003E24B5" w:rsidRDefault="003E24B5" w:rsidP="00162446">
      <w:pPr>
        <w:pStyle w:val="ListParagraph"/>
        <w:numPr>
          <w:ilvl w:val="0"/>
          <w:numId w:val="6"/>
        </w:numPr>
        <w:ind w:left="714" w:hanging="357"/>
        <w:contextualSpacing w:val="0"/>
      </w:pPr>
      <w:r>
        <w:t>Review estimated costs through targeted industry discussions.</w:t>
      </w:r>
    </w:p>
    <w:p w:rsidR="003E24B5" w:rsidRDefault="003E24B5" w:rsidP="00162446">
      <w:pPr>
        <w:pStyle w:val="KMHNumberHeading3"/>
        <w:numPr>
          <w:ilvl w:val="2"/>
          <w:numId w:val="56"/>
        </w:numPr>
      </w:pPr>
      <w:r>
        <w:t>Assumptions</w:t>
      </w:r>
    </w:p>
    <w:p w:rsidR="003E24B5" w:rsidRDefault="003E24B5" w:rsidP="00F31D28">
      <w:r>
        <w:t>A number of assumptions have been used in allocation of costs that are expected to apply to parties to the program, as a direct result of implementing the DIIS. These assumptions are included in Appendix C.</w:t>
      </w:r>
    </w:p>
    <w:p w:rsidR="003E24B5" w:rsidRDefault="003E24B5">
      <w:pPr>
        <w:spacing w:after="0"/>
        <w:jc w:val="left"/>
      </w:pPr>
      <w:r>
        <w:br w:type="page"/>
      </w:r>
    </w:p>
    <w:p w:rsidR="003E24B5" w:rsidRDefault="003E24B5" w:rsidP="00162446">
      <w:pPr>
        <w:pStyle w:val="KMHNumberHeading1"/>
        <w:numPr>
          <w:ilvl w:val="0"/>
          <w:numId w:val="56"/>
        </w:numPr>
      </w:pPr>
      <w:bookmarkStart w:id="72" w:name="_Toc231628786"/>
      <w:bookmarkStart w:id="73" w:name="_Toc287018236"/>
      <w:bookmarkEnd w:id="72"/>
      <w:r>
        <w:lastRenderedPageBreak/>
        <w:t>Risk Analysis</w:t>
      </w:r>
      <w:bookmarkEnd w:id="73"/>
      <w:r>
        <w:t xml:space="preserve"> </w:t>
      </w:r>
    </w:p>
    <w:p w:rsidR="003E24B5" w:rsidRDefault="003E24B5" w:rsidP="00162446">
      <w:pPr>
        <w:pStyle w:val="KMHNumberheading20"/>
        <w:numPr>
          <w:ilvl w:val="1"/>
          <w:numId w:val="56"/>
        </w:numPr>
      </w:pPr>
      <w:bookmarkStart w:id="74" w:name="_Toc287018237"/>
      <w:r>
        <w:t>Context Statement</w:t>
      </w:r>
      <w:bookmarkEnd w:id="74"/>
      <w:r>
        <w:t xml:space="preserve"> </w:t>
      </w:r>
    </w:p>
    <w:p w:rsidR="003E24B5" w:rsidRPr="00594746" w:rsidRDefault="003E24B5" w:rsidP="00594746">
      <w:pPr>
        <w:rPr>
          <w:rFonts w:cs="Arial"/>
          <w:szCs w:val="20"/>
        </w:rPr>
      </w:pPr>
      <w:r>
        <w:rPr>
          <w:lang w:val="en-US"/>
        </w:rPr>
        <w:t>T</w:t>
      </w:r>
      <w:r w:rsidRPr="00594746">
        <w:rPr>
          <w:lang w:val="en-US"/>
        </w:rPr>
        <w:t xml:space="preserve">he risk assessment identifies those risks </w:t>
      </w:r>
      <w:r>
        <w:rPr>
          <w:lang w:val="en-US"/>
        </w:rPr>
        <w:t xml:space="preserve">specifically relating to OH&amp;S and environment that are likely </w:t>
      </w:r>
      <w:r w:rsidRPr="00594746">
        <w:rPr>
          <w:lang w:val="en-US"/>
        </w:rPr>
        <w:t xml:space="preserve">to arise </w:t>
      </w:r>
      <w:r w:rsidRPr="00594746">
        <w:rPr>
          <w:rFonts w:cs="Arial"/>
          <w:szCs w:val="20"/>
        </w:rPr>
        <w:t xml:space="preserve">from a poorly drafted standard, including whether there are any </w:t>
      </w:r>
      <w:r>
        <w:rPr>
          <w:rFonts w:cs="Arial"/>
          <w:szCs w:val="20"/>
        </w:rPr>
        <w:t xml:space="preserve">regulatory </w:t>
      </w:r>
      <w:r w:rsidRPr="00594746">
        <w:rPr>
          <w:rFonts w:cs="Arial"/>
          <w:szCs w:val="20"/>
        </w:rPr>
        <w:t>risks associated with</w:t>
      </w:r>
      <w:r>
        <w:rPr>
          <w:rFonts w:cs="Arial"/>
          <w:szCs w:val="20"/>
        </w:rPr>
        <w:t xml:space="preserve"> the</w:t>
      </w:r>
      <w:r w:rsidRPr="00594746">
        <w:rPr>
          <w:rFonts w:cs="Arial"/>
          <w:szCs w:val="20"/>
        </w:rPr>
        <w:t>:</w:t>
      </w:r>
    </w:p>
    <w:p w:rsidR="003E24B5" w:rsidRPr="00594746" w:rsidRDefault="003E24B5" w:rsidP="00594746">
      <w:pPr>
        <w:ind w:left="360" w:hanging="360"/>
        <w:rPr>
          <w:color w:val="000000"/>
          <w:szCs w:val="20"/>
        </w:rPr>
      </w:pPr>
      <w:r w:rsidRPr="00594746">
        <w:rPr>
          <w:rFonts w:ascii="Tahoma" w:hAnsi="Tahoma" w:cs="Tahoma"/>
          <w:color w:val="000000"/>
          <w:szCs w:val="20"/>
        </w:rPr>
        <w:t>-</w:t>
      </w:r>
      <w:r w:rsidRPr="00594746">
        <w:rPr>
          <w:rFonts w:ascii="Times New Roman" w:hAnsi="Times New Roman"/>
          <w:color w:val="000000"/>
          <w:sz w:val="14"/>
          <w:szCs w:val="14"/>
        </w:rPr>
        <w:t xml:space="preserve">        </w:t>
      </w:r>
      <w:r w:rsidRPr="00594746">
        <w:rPr>
          <w:color w:val="000000"/>
          <w:szCs w:val="20"/>
        </w:rPr>
        <w:t xml:space="preserve">application of the DIIS resulting in breaches of occupational health and safety and environmental laws and international standards, including as defined by Commonwealth, state and territory laws, including the </w:t>
      </w:r>
      <w:r w:rsidRPr="00594746">
        <w:rPr>
          <w:i/>
          <w:iCs/>
          <w:color w:val="000000"/>
          <w:szCs w:val="20"/>
        </w:rPr>
        <w:t xml:space="preserve">Hazardous Waste (Regulation of Exports and Imports) Act 1989 </w:t>
      </w:r>
      <w:r w:rsidRPr="00594746">
        <w:rPr>
          <w:color w:val="000000"/>
          <w:szCs w:val="20"/>
        </w:rPr>
        <w:t>(Cth), and relevant international standards; and</w:t>
      </w:r>
    </w:p>
    <w:p w:rsidR="003E24B5" w:rsidRDefault="003E24B5" w:rsidP="00594746">
      <w:pPr>
        <w:ind w:left="360" w:hanging="360"/>
        <w:rPr>
          <w:color w:val="000000"/>
          <w:szCs w:val="20"/>
        </w:rPr>
      </w:pPr>
      <w:r w:rsidRPr="00594746">
        <w:rPr>
          <w:rFonts w:ascii="Tahoma" w:hAnsi="Tahoma" w:cs="Tahoma"/>
          <w:szCs w:val="20"/>
        </w:rPr>
        <w:t>-</w:t>
      </w:r>
      <w:r w:rsidRPr="00594746">
        <w:rPr>
          <w:rFonts w:ascii="Times New Roman" w:hAnsi="Times New Roman"/>
          <w:sz w:val="14"/>
          <w:szCs w:val="14"/>
        </w:rPr>
        <w:t xml:space="preserve">        </w:t>
      </w:r>
      <w:r w:rsidRPr="00594746">
        <w:rPr>
          <w:color w:val="000000"/>
          <w:szCs w:val="20"/>
        </w:rPr>
        <w:t>application of the DIIS resulting in breaches to Australia’s international obligations, including requirements under the Basel Convention on the Control of Transboundary Movements of Hazardous Wastes and their Disposal and the Stockholm Convention on Persistent Organic Pollutants</w:t>
      </w:r>
      <w:r>
        <w:rPr>
          <w:color w:val="000000"/>
          <w:szCs w:val="20"/>
        </w:rPr>
        <w:t xml:space="preserve"> (POPs)</w:t>
      </w:r>
      <w:r w:rsidRPr="00594746">
        <w:rPr>
          <w:color w:val="000000"/>
          <w:szCs w:val="20"/>
        </w:rPr>
        <w:t>.</w:t>
      </w:r>
    </w:p>
    <w:p w:rsidR="003E24B5" w:rsidRDefault="003E24B5" w:rsidP="000839B4">
      <w:pPr>
        <w:jc w:val="left"/>
      </w:pPr>
      <w:r>
        <w:t xml:space="preserve">The risk assessment was conducted in accordance with the DSEWPaC Risk Management Guidelines utilising the Risk Control Ratings scale, Likelihood and Consequence rankings and the overall risk analysis matrix. </w:t>
      </w:r>
    </w:p>
    <w:p w:rsidR="003E24B5" w:rsidRDefault="003E24B5" w:rsidP="000839B4">
      <w:pPr>
        <w:jc w:val="left"/>
        <w:rPr>
          <w:rFonts w:cs="Arial"/>
          <w:color w:val="000000"/>
          <w:szCs w:val="20"/>
          <w:lang w:val="en-US" w:eastAsia="en-AU"/>
        </w:rPr>
      </w:pPr>
      <w:r>
        <w:t>The successful implementation of the DIIS will significantly contribute to the achievement of the National Waste Policy Regulation Impact Statement (RIS) objective of “</w:t>
      </w:r>
      <w:r w:rsidRPr="00173659">
        <w:rPr>
          <w:rFonts w:cs="Arial"/>
          <w:i/>
          <w:iCs/>
          <w:color w:val="000000"/>
          <w:szCs w:val="20"/>
          <w:lang w:val="en-US" w:eastAsia="en-AU"/>
        </w:rPr>
        <w:t>to support business and consumers to appropriately manage end-of-life products, materials and packaging</w:t>
      </w:r>
      <w:r w:rsidRPr="00173659">
        <w:rPr>
          <w:rFonts w:cs="Arial"/>
          <w:color w:val="000000"/>
          <w:szCs w:val="20"/>
          <w:lang w:val="en-US" w:eastAsia="en-AU"/>
        </w:rPr>
        <w:t>.”</w:t>
      </w:r>
      <w:r>
        <w:rPr>
          <w:rStyle w:val="FootnoteReference"/>
          <w:rFonts w:cs="Arial"/>
          <w:color w:val="000000"/>
          <w:szCs w:val="20"/>
          <w:lang w:val="en-US" w:eastAsia="en-AU"/>
        </w:rPr>
        <w:footnoteReference w:id="7"/>
      </w:r>
    </w:p>
    <w:p w:rsidR="003E24B5" w:rsidRPr="00FA2AD8" w:rsidRDefault="003E24B5" w:rsidP="00162446">
      <w:pPr>
        <w:pStyle w:val="KMHNumberheading20"/>
        <w:numPr>
          <w:ilvl w:val="1"/>
          <w:numId w:val="56"/>
        </w:numPr>
      </w:pPr>
      <w:bookmarkStart w:id="75" w:name="_Toc287018238"/>
      <w:r w:rsidRPr="00FA2AD8">
        <w:t>Risk Identification and Analysis</w:t>
      </w:r>
      <w:bookmarkEnd w:id="75"/>
      <w:r w:rsidRPr="00FA2AD8">
        <w:t xml:space="preserve"> </w:t>
      </w:r>
    </w:p>
    <w:p w:rsidR="003E24B5" w:rsidRPr="00FA2AD8" w:rsidRDefault="003E24B5" w:rsidP="00847998">
      <w:r w:rsidRPr="00FA2AD8">
        <w:t xml:space="preserve">The risk identification and analysis process identified specific risks in relation to the DIIS and its application. Risks were categorised according to the section of the Standard to which they relate. A risk description identified the risk and in accordance with AS/NZS ISO 31000:2009, characterised the risk by reference to potential events and consequences. Potential causes and impacts of risks occurring were described and where an existing control was already in place details were provided. The strength of these controls was rated prior to assessing the risk. The risks were then ranked in terms of likelihood and consequence considering the strength of the existing controls i.e. the adequacy of the controls may reduce the risk severity. </w:t>
      </w:r>
    </w:p>
    <w:p w:rsidR="003E24B5" w:rsidRPr="00FA2AD8" w:rsidRDefault="003E24B5" w:rsidP="00847998">
      <w:r w:rsidRPr="00FA2AD8">
        <w:t>More than 30 risks were identified from the DIIS itself along with a review of stakeholder comments. The nature of the risks arising are summarised into the following categories:</w:t>
      </w:r>
    </w:p>
    <w:p w:rsidR="003E24B5" w:rsidRPr="0076505B" w:rsidRDefault="003E24B5" w:rsidP="00162446">
      <w:pPr>
        <w:pStyle w:val="ListParagraph"/>
        <w:numPr>
          <w:ilvl w:val="0"/>
          <w:numId w:val="50"/>
        </w:numPr>
      </w:pPr>
      <w:r w:rsidRPr="0076505B">
        <w:t>Lack of regulatory controls and guidelines for the implementation of the DIIS</w:t>
      </w:r>
    </w:p>
    <w:p w:rsidR="003E24B5" w:rsidRPr="0076505B" w:rsidRDefault="003E24B5" w:rsidP="00162446">
      <w:pPr>
        <w:pStyle w:val="ListParagraph"/>
        <w:numPr>
          <w:ilvl w:val="0"/>
          <w:numId w:val="50"/>
        </w:numPr>
      </w:pPr>
      <w:r w:rsidRPr="0076505B">
        <w:t>Potential for pollution</w:t>
      </w:r>
    </w:p>
    <w:p w:rsidR="003E24B5" w:rsidRPr="0076505B" w:rsidRDefault="003E24B5" w:rsidP="00162446">
      <w:pPr>
        <w:pStyle w:val="ListParagraph"/>
        <w:numPr>
          <w:ilvl w:val="0"/>
          <w:numId w:val="50"/>
        </w:numPr>
      </w:pPr>
      <w:r w:rsidRPr="0076505B">
        <w:t>Potential for occupational health and safety risks</w:t>
      </w:r>
    </w:p>
    <w:p w:rsidR="003E24B5" w:rsidRPr="0076505B" w:rsidRDefault="003E24B5" w:rsidP="00162446">
      <w:pPr>
        <w:pStyle w:val="ListParagraph"/>
        <w:numPr>
          <w:ilvl w:val="0"/>
          <w:numId w:val="50"/>
        </w:numPr>
      </w:pPr>
      <w:r w:rsidRPr="0076505B">
        <w:t>Lack of operational systems developed by operators eg;</w:t>
      </w:r>
    </w:p>
    <w:p w:rsidR="003E24B5" w:rsidRPr="0076505B" w:rsidRDefault="003E24B5" w:rsidP="00162446">
      <w:pPr>
        <w:pStyle w:val="ListParagraph"/>
        <w:numPr>
          <w:ilvl w:val="2"/>
          <w:numId w:val="50"/>
        </w:numPr>
      </w:pPr>
      <w:r w:rsidRPr="0076505B">
        <w:t xml:space="preserve">Staff training, </w:t>
      </w:r>
    </w:p>
    <w:p w:rsidR="003E24B5" w:rsidRPr="0076505B" w:rsidRDefault="003E24B5" w:rsidP="00162446">
      <w:pPr>
        <w:pStyle w:val="ListParagraph"/>
        <w:numPr>
          <w:ilvl w:val="2"/>
          <w:numId w:val="50"/>
        </w:numPr>
      </w:pPr>
      <w:r w:rsidRPr="0076505B">
        <w:t xml:space="preserve">Development and implementation of work methods </w:t>
      </w:r>
    </w:p>
    <w:p w:rsidR="003E24B5" w:rsidRPr="0076505B" w:rsidRDefault="003E24B5" w:rsidP="00162446">
      <w:pPr>
        <w:pStyle w:val="ListParagraph"/>
        <w:numPr>
          <w:ilvl w:val="0"/>
          <w:numId w:val="50"/>
        </w:numPr>
      </w:pPr>
      <w:r w:rsidRPr="0076505B">
        <w:t>Lack of facilities to meet the demand</w:t>
      </w:r>
    </w:p>
    <w:p w:rsidR="003E24B5" w:rsidRPr="0076505B" w:rsidRDefault="003E24B5" w:rsidP="00162446">
      <w:pPr>
        <w:pStyle w:val="ListParagraph"/>
        <w:numPr>
          <w:ilvl w:val="0"/>
          <w:numId w:val="50"/>
        </w:numPr>
      </w:pPr>
      <w:r w:rsidRPr="0076505B">
        <w:t>Improper sorting techniques</w:t>
      </w:r>
    </w:p>
    <w:p w:rsidR="003E24B5" w:rsidRDefault="003E24B5" w:rsidP="0076505B">
      <w:r>
        <w:t>The risk analysis ranked 7 risks as “High” and therefore requiring the development of a risk treatment plan. The high ranking risks were:</w:t>
      </w:r>
    </w:p>
    <w:p w:rsidR="003E24B5" w:rsidRPr="00457F45" w:rsidRDefault="003E24B5" w:rsidP="00162446">
      <w:pPr>
        <w:pStyle w:val="ListParagraph"/>
        <w:numPr>
          <w:ilvl w:val="0"/>
          <w:numId w:val="57"/>
        </w:numPr>
        <w:rPr>
          <w:rFonts w:cs="Arial"/>
          <w:i/>
        </w:rPr>
      </w:pPr>
      <w:r w:rsidRPr="00457F45">
        <w:rPr>
          <w:rFonts w:cs="Arial"/>
          <w:i/>
          <w:szCs w:val="20"/>
        </w:rPr>
        <w:t>Lack of auditing system/guidelines from Government to ensure adherence to industry standards.</w:t>
      </w:r>
    </w:p>
    <w:p w:rsidR="003E24B5" w:rsidRPr="00457F45" w:rsidRDefault="003E24B5" w:rsidP="00162446">
      <w:pPr>
        <w:pStyle w:val="ListParagraph"/>
        <w:numPr>
          <w:ilvl w:val="0"/>
          <w:numId w:val="57"/>
        </w:numPr>
        <w:rPr>
          <w:rFonts w:cs="Arial"/>
          <w:i/>
        </w:rPr>
      </w:pPr>
      <w:r w:rsidRPr="00457F45">
        <w:rPr>
          <w:rFonts w:cs="Arial"/>
          <w:i/>
          <w:szCs w:val="20"/>
        </w:rPr>
        <w:t>Operator fails to develop and implement documented work methods describing safe and environmentally sound practices.</w:t>
      </w:r>
    </w:p>
    <w:p w:rsidR="003E24B5" w:rsidRPr="00457F45" w:rsidRDefault="003E24B5" w:rsidP="00162446">
      <w:pPr>
        <w:pStyle w:val="ListParagraph"/>
        <w:numPr>
          <w:ilvl w:val="0"/>
          <w:numId w:val="57"/>
        </w:numPr>
        <w:rPr>
          <w:rFonts w:cs="Arial"/>
          <w:i/>
        </w:rPr>
      </w:pPr>
      <w:r w:rsidRPr="00457F45">
        <w:rPr>
          <w:rFonts w:cs="Arial"/>
          <w:i/>
          <w:szCs w:val="20"/>
        </w:rPr>
        <w:t>Employees are exposed to mercury contamination due to failure to remove lamps and bulbs prior to shredding or mechanical processing.</w:t>
      </w:r>
    </w:p>
    <w:p w:rsidR="003E24B5" w:rsidRPr="00457F45" w:rsidRDefault="003E24B5" w:rsidP="00162446">
      <w:pPr>
        <w:pStyle w:val="ListParagraph"/>
        <w:numPr>
          <w:ilvl w:val="0"/>
          <w:numId w:val="57"/>
        </w:numPr>
        <w:rPr>
          <w:rFonts w:cs="Arial"/>
          <w:i/>
        </w:rPr>
      </w:pPr>
      <w:r w:rsidRPr="00457F45">
        <w:rPr>
          <w:rFonts w:cs="Arial"/>
          <w:i/>
          <w:szCs w:val="20"/>
        </w:rPr>
        <w:t>Risk of fire resulting from failure to remove batteries from motherboards prior to shredding.</w:t>
      </w:r>
    </w:p>
    <w:p w:rsidR="003E24B5" w:rsidRPr="00457F45" w:rsidRDefault="003E24B5" w:rsidP="00162446">
      <w:pPr>
        <w:pStyle w:val="ListParagraph"/>
        <w:numPr>
          <w:ilvl w:val="0"/>
          <w:numId w:val="57"/>
        </w:numPr>
        <w:rPr>
          <w:rFonts w:cs="Arial"/>
          <w:i/>
        </w:rPr>
      </w:pPr>
      <w:r w:rsidRPr="00457F45">
        <w:rPr>
          <w:rFonts w:cs="Arial"/>
          <w:i/>
          <w:szCs w:val="20"/>
        </w:rPr>
        <w:t>Failure to minimise carbon emissions associated with recycling practices.</w:t>
      </w:r>
    </w:p>
    <w:p w:rsidR="003E24B5" w:rsidRPr="00F15858" w:rsidRDefault="003E24B5" w:rsidP="00162446">
      <w:pPr>
        <w:pStyle w:val="ListParagraph"/>
        <w:numPr>
          <w:ilvl w:val="0"/>
          <w:numId w:val="57"/>
        </w:numPr>
        <w:rPr>
          <w:rFonts w:cs="Arial"/>
          <w:i/>
        </w:rPr>
      </w:pPr>
      <w:r w:rsidRPr="00457F45">
        <w:rPr>
          <w:rFonts w:cs="Arial"/>
          <w:i/>
          <w:szCs w:val="20"/>
        </w:rPr>
        <w:t>Failure of the DIIS to address the 9 new POPs identified under the Stockholm Convention</w:t>
      </w:r>
      <w:r>
        <w:rPr>
          <w:rFonts w:cs="Arial"/>
          <w:i/>
          <w:szCs w:val="20"/>
        </w:rPr>
        <w:t>.</w:t>
      </w:r>
    </w:p>
    <w:p w:rsidR="003E24B5" w:rsidRDefault="003E24B5" w:rsidP="00162446">
      <w:pPr>
        <w:pStyle w:val="ListParagraph"/>
        <w:numPr>
          <w:ilvl w:val="0"/>
          <w:numId w:val="57"/>
        </w:numPr>
        <w:rPr>
          <w:rFonts w:cs="Arial"/>
          <w:i/>
          <w:szCs w:val="20"/>
        </w:rPr>
      </w:pPr>
      <w:r w:rsidRPr="00F15858">
        <w:rPr>
          <w:rFonts w:cs="Arial"/>
          <w:i/>
          <w:szCs w:val="20"/>
        </w:rPr>
        <w:lastRenderedPageBreak/>
        <w:t>Export to non OECD countries without the appropriate permit under the Hazardous Waste Act</w:t>
      </w:r>
      <w:r>
        <w:rPr>
          <w:rFonts w:cs="Arial"/>
          <w:i/>
          <w:szCs w:val="20"/>
        </w:rPr>
        <w:t>.</w:t>
      </w:r>
    </w:p>
    <w:p w:rsidR="003E24B5" w:rsidRDefault="003E24B5" w:rsidP="00E1654D">
      <w:pPr>
        <w:rPr>
          <w:rFonts w:cs="Arial"/>
          <w:szCs w:val="20"/>
        </w:rPr>
      </w:pPr>
      <w:r>
        <w:rPr>
          <w:rFonts w:cs="Arial"/>
          <w:szCs w:val="20"/>
        </w:rPr>
        <w:t>For each of these risks a risk treatment plan has been prepared and is included in Appendix F. The risk treatment plan provides;</w:t>
      </w:r>
    </w:p>
    <w:p w:rsidR="003E24B5" w:rsidRDefault="003E24B5" w:rsidP="00162446">
      <w:pPr>
        <w:pStyle w:val="ListParagraph"/>
        <w:numPr>
          <w:ilvl w:val="0"/>
          <w:numId w:val="52"/>
        </w:numPr>
        <w:rPr>
          <w:rFonts w:cs="Arial"/>
          <w:szCs w:val="20"/>
        </w:rPr>
      </w:pPr>
      <w:r>
        <w:rPr>
          <w:rFonts w:cs="Arial"/>
          <w:szCs w:val="20"/>
        </w:rPr>
        <w:t>S</w:t>
      </w:r>
      <w:r w:rsidRPr="00F63535">
        <w:rPr>
          <w:rFonts w:cs="Arial"/>
          <w:szCs w:val="20"/>
        </w:rPr>
        <w:t>uggestions for additional controls</w:t>
      </w:r>
      <w:r>
        <w:rPr>
          <w:rFonts w:cs="Arial"/>
          <w:szCs w:val="20"/>
        </w:rPr>
        <w:t>/further treatment</w:t>
      </w:r>
    </w:p>
    <w:p w:rsidR="003E24B5" w:rsidRDefault="003E24B5" w:rsidP="00162446">
      <w:pPr>
        <w:pStyle w:val="ListParagraph"/>
        <w:numPr>
          <w:ilvl w:val="0"/>
          <w:numId w:val="52"/>
        </w:numPr>
        <w:rPr>
          <w:rFonts w:cs="Arial"/>
          <w:szCs w:val="20"/>
        </w:rPr>
      </w:pPr>
      <w:r>
        <w:rPr>
          <w:rFonts w:cs="Arial"/>
          <w:szCs w:val="20"/>
        </w:rPr>
        <w:t>Timeframe for Implementation</w:t>
      </w:r>
    </w:p>
    <w:p w:rsidR="003E24B5" w:rsidRDefault="003E24B5" w:rsidP="00162446">
      <w:pPr>
        <w:pStyle w:val="ListParagraph"/>
        <w:numPr>
          <w:ilvl w:val="0"/>
          <w:numId w:val="52"/>
        </w:numPr>
        <w:rPr>
          <w:rFonts w:cs="Arial"/>
          <w:szCs w:val="20"/>
        </w:rPr>
      </w:pPr>
      <w:r>
        <w:rPr>
          <w:rFonts w:cs="Arial"/>
          <w:szCs w:val="20"/>
        </w:rPr>
        <w:t xml:space="preserve">Responsibility </w:t>
      </w:r>
    </w:p>
    <w:p w:rsidR="003E24B5" w:rsidRDefault="003E24B5" w:rsidP="00F63535">
      <w:pPr>
        <w:rPr>
          <w:rFonts w:cs="Arial"/>
          <w:szCs w:val="20"/>
        </w:rPr>
      </w:pPr>
      <w:r>
        <w:rPr>
          <w:rFonts w:cs="Arial"/>
          <w:szCs w:val="20"/>
        </w:rPr>
        <w:t>The remaining risks were rated as “Medium” however a number of these risks were also identified as having incomplete controls. The “Medium” ranking risks with incomplete or weak controls were:</w:t>
      </w:r>
    </w:p>
    <w:p w:rsidR="003E24B5" w:rsidRPr="00972312" w:rsidRDefault="003E24B5" w:rsidP="00162446">
      <w:pPr>
        <w:pStyle w:val="ListParagraph"/>
        <w:numPr>
          <w:ilvl w:val="0"/>
          <w:numId w:val="53"/>
        </w:numPr>
        <w:spacing w:before="120" w:after="120"/>
        <w:jc w:val="left"/>
        <w:rPr>
          <w:rFonts w:cs="Arial"/>
          <w:szCs w:val="20"/>
        </w:rPr>
      </w:pPr>
      <w:r w:rsidRPr="00972312">
        <w:rPr>
          <w:rFonts w:cs="Arial"/>
          <w:szCs w:val="20"/>
        </w:rPr>
        <w:t xml:space="preserve">EOL goods received at an unsuitable premises/location that is operated by an unauthorised recycler. </w:t>
      </w:r>
    </w:p>
    <w:p w:rsidR="003E24B5" w:rsidRPr="00972312" w:rsidRDefault="003E24B5" w:rsidP="00162446">
      <w:pPr>
        <w:pStyle w:val="ListParagraph"/>
        <w:numPr>
          <w:ilvl w:val="0"/>
          <w:numId w:val="53"/>
        </w:numPr>
        <w:rPr>
          <w:rFonts w:cs="Arial"/>
          <w:szCs w:val="20"/>
        </w:rPr>
      </w:pPr>
      <w:r w:rsidRPr="00972312">
        <w:rPr>
          <w:rFonts w:cs="Arial"/>
          <w:szCs w:val="20"/>
        </w:rPr>
        <w:t>Inappropriate separation techniques are applied to recover resources.</w:t>
      </w:r>
    </w:p>
    <w:p w:rsidR="003E24B5" w:rsidRPr="00972312" w:rsidRDefault="003E24B5" w:rsidP="00162446">
      <w:pPr>
        <w:pStyle w:val="ListParagraph"/>
        <w:numPr>
          <w:ilvl w:val="0"/>
          <w:numId w:val="53"/>
        </w:numPr>
        <w:rPr>
          <w:rFonts w:cs="Arial"/>
          <w:szCs w:val="20"/>
        </w:rPr>
      </w:pPr>
      <w:r w:rsidRPr="00972312">
        <w:rPr>
          <w:rFonts w:cs="Arial"/>
          <w:szCs w:val="20"/>
        </w:rPr>
        <w:t>Failure to ensure staff are provided with necessary personal protective equipment.</w:t>
      </w:r>
    </w:p>
    <w:p w:rsidR="003E24B5" w:rsidRPr="00972312" w:rsidRDefault="003E24B5" w:rsidP="00162446">
      <w:pPr>
        <w:pStyle w:val="ListParagraph"/>
        <w:numPr>
          <w:ilvl w:val="0"/>
          <w:numId w:val="53"/>
        </w:numPr>
        <w:rPr>
          <w:rFonts w:cs="Arial"/>
          <w:szCs w:val="20"/>
        </w:rPr>
      </w:pPr>
      <w:r w:rsidRPr="00972312">
        <w:rPr>
          <w:rFonts w:cs="Arial"/>
          <w:szCs w:val="20"/>
        </w:rPr>
        <w:t>Failure to appropriately separate materials for recycling.</w:t>
      </w:r>
    </w:p>
    <w:p w:rsidR="003E24B5" w:rsidRPr="00972312" w:rsidRDefault="003E24B5" w:rsidP="00162446">
      <w:pPr>
        <w:pStyle w:val="ListParagraph"/>
        <w:numPr>
          <w:ilvl w:val="0"/>
          <w:numId w:val="53"/>
        </w:numPr>
        <w:rPr>
          <w:rFonts w:cs="Arial"/>
          <w:szCs w:val="20"/>
        </w:rPr>
      </w:pPr>
      <w:r w:rsidRPr="00972312">
        <w:rPr>
          <w:rFonts w:cs="Arial"/>
          <w:szCs w:val="20"/>
        </w:rPr>
        <w:t>Improper mechanical or manual dismantling results in the release of hazardous substances to which employees are exposed.</w:t>
      </w:r>
    </w:p>
    <w:p w:rsidR="003E24B5" w:rsidRPr="00972312" w:rsidRDefault="003E24B5" w:rsidP="00162446">
      <w:pPr>
        <w:pStyle w:val="ListParagraph"/>
        <w:numPr>
          <w:ilvl w:val="0"/>
          <w:numId w:val="53"/>
        </w:numPr>
        <w:rPr>
          <w:rFonts w:cs="Arial"/>
          <w:szCs w:val="20"/>
        </w:rPr>
      </w:pPr>
      <w:r w:rsidRPr="00972312">
        <w:rPr>
          <w:rFonts w:cs="Arial"/>
          <w:szCs w:val="20"/>
        </w:rPr>
        <w:t>Inappropriate secondary application of recovered resources eg: use of leaded glass from plasma screens as a substitute for sand.</w:t>
      </w:r>
    </w:p>
    <w:p w:rsidR="003E24B5" w:rsidRPr="00972312" w:rsidRDefault="003E24B5" w:rsidP="00162446">
      <w:pPr>
        <w:pStyle w:val="ListParagraph"/>
        <w:numPr>
          <w:ilvl w:val="0"/>
          <w:numId w:val="53"/>
        </w:numPr>
        <w:rPr>
          <w:rFonts w:cs="Arial"/>
          <w:szCs w:val="20"/>
        </w:rPr>
      </w:pPr>
      <w:r w:rsidRPr="00972312">
        <w:rPr>
          <w:rFonts w:cs="Arial"/>
          <w:szCs w:val="20"/>
        </w:rPr>
        <w:t>Lack of minimum recycling rate or requirement for highest use practices, in the DIIS discourages recyclers from recovering materials leading to unnecessary disposal to landfill.</w:t>
      </w:r>
    </w:p>
    <w:p w:rsidR="003E24B5" w:rsidRPr="00972312" w:rsidRDefault="003E24B5" w:rsidP="00162446">
      <w:pPr>
        <w:pStyle w:val="ListParagraph"/>
        <w:numPr>
          <w:ilvl w:val="0"/>
          <w:numId w:val="53"/>
        </w:numPr>
        <w:rPr>
          <w:rFonts w:cs="Arial"/>
          <w:szCs w:val="20"/>
        </w:rPr>
      </w:pPr>
      <w:r w:rsidRPr="00972312">
        <w:rPr>
          <w:rFonts w:cs="Arial"/>
          <w:szCs w:val="20"/>
        </w:rPr>
        <w:t>Failure of the DIIS to require identification of hazardous substances prior to disposal.</w:t>
      </w:r>
    </w:p>
    <w:p w:rsidR="003E24B5" w:rsidRPr="00972312" w:rsidRDefault="003E24B5" w:rsidP="00162446">
      <w:pPr>
        <w:pStyle w:val="ListParagraph"/>
        <w:numPr>
          <w:ilvl w:val="0"/>
          <w:numId w:val="53"/>
        </w:numPr>
        <w:rPr>
          <w:rFonts w:cs="Arial"/>
          <w:szCs w:val="20"/>
        </w:rPr>
      </w:pPr>
      <w:r w:rsidRPr="00972312">
        <w:rPr>
          <w:rFonts w:cs="Arial"/>
          <w:szCs w:val="20"/>
        </w:rPr>
        <w:t>Brominated Fire Retardant contaminated plastics are sent to landfill.</w:t>
      </w:r>
    </w:p>
    <w:p w:rsidR="003E24B5" w:rsidRPr="00972312" w:rsidRDefault="003E24B5" w:rsidP="00162446">
      <w:pPr>
        <w:pStyle w:val="ListParagraph"/>
        <w:numPr>
          <w:ilvl w:val="0"/>
          <w:numId w:val="53"/>
        </w:numPr>
        <w:rPr>
          <w:rFonts w:cs="Arial"/>
          <w:szCs w:val="20"/>
        </w:rPr>
      </w:pPr>
      <w:r w:rsidRPr="00972312">
        <w:rPr>
          <w:rFonts w:cs="Arial"/>
          <w:szCs w:val="20"/>
        </w:rPr>
        <w:t>Failure of the DIIS to accurately define the role of recyclers results in uncontrolled practices.</w:t>
      </w:r>
    </w:p>
    <w:p w:rsidR="003E24B5" w:rsidRPr="00972312" w:rsidRDefault="003E24B5" w:rsidP="00162446">
      <w:pPr>
        <w:pStyle w:val="ListParagraph"/>
        <w:numPr>
          <w:ilvl w:val="0"/>
          <w:numId w:val="53"/>
        </w:numPr>
        <w:rPr>
          <w:rFonts w:cs="Arial"/>
          <w:szCs w:val="20"/>
        </w:rPr>
      </w:pPr>
      <w:r w:rsidRPr="00972312">
        <w:rPr>
          <w:rFonts w:cs="Arial"/>
          <w:szCs w:val="20"/>
        </w:rPr>
        <w:t>Failure to separate substances of concern for integrity and traceability.</w:t>
      </w:r>
    </w:p>
    <w:p w:rsidR="003E24B5" w:rsidRPr="00F63535" w:rsidRDefault="003E24B5" w:rsidP="00F63535">
      <w:pPr>
        <w:rPr>
          <w:rFonts w:cs="Arial"/>
          <w:szCs w:val="20"/>
        </w:rPr>
      </w:pPr>
      <w:r>
        <w:rPr>
          <w:rFonts w:cs="Arial"/>
          <w:szCs w:val="20"/>
        </w:rPr>
        <w:t>It is recommended that additional treatment measures also be developed internally for these risks.</w:t>
      </w:r>
    </w:p>
    <w:p w:rsidR="003E24B5" w:rsidRDefault="003E24B5" w:rsidP="00162446">
      <w:pPr>
        <w:pStyle w:val="KMHNumberheading20"/>
        <w:numPr>
          <w:ilvl w:val="1"/>
          <w:numId w:val="56"/>
        </w:numPr>
      </w:pPr>
      <w:bookmarkStart w:id="76" w:name="_Toc287018239"/>
      <w:r>
        <w:t>Regulatory Risk Review</w:t>
      </w:r>
      <w:bookmarkEnd w:id="76"/>
      <w:r>
        <w:t xml:space="preserve"> </w:t>
      </w:r>
    </w:p>
    <w:p w:rsidR="003E24B5" w:rsidRPr="00833B5A" w:rsidRDefault="003E24B5" w:rsidP="00EC7735">
      <w:pPr>
        <w:rPr>
          <w:highlight w:val="yellow"/>
        </w:rPr>
      </w:pPr>
      <w:r w:rsidRPr="00314185">
        <w:t>In addition to the risk assessment conducted on the DIIS and stakeholder comments, a regulatory risk review was conducted to identify regulatory risks associated with legal compliance, specifically the Hazardous Waste Act 1989, Basel Convention and th</w:t>
      </w:r>
      <w:r>
        <w:t>e Stockholm Convention on POPs.</w:t>
      </w:r>
      <w:r w:rsidRPr="00314185">
        <w:t xml:space="preserve"> </w:t>
      </w:r>
      <w:r>
        <w:t xml:space="preserve">It is noted as a part of this risk review that </w:t>
      </w:r>
      <w:r w:rsidRPr="00EC7735">
        <w:t xml:space="preserve">the Basel Convention is an international agreement to which the Australian Government is a party to, rather than any companies involved in export of waste directly.  The </w:t>
      </w:r>
      <w:r w:rsidR="00894E3A" w:rsidRPr="00894E3A">
        <w:rPr>
          <w:i/>
        </w:rPr>
        <w:t>Hazardous Waste Act 1989</w:t>
      </w:r>
      <w:r w:rsidRPr="00EC7735">
        <w:t xml:space="preserve"> is the Australian Government’s policy response to implement Australia’s obligations under the Basel Convention. Consequently it is the </w:t>
      </w:r>
      <w:r w:rsidR="00894E3A" w:rsidRPr="00894E3A">
        <w:rPr>
          <w:i/>
        </w:rPr>
        <w:t>Hazardous Waste Act 1989</w:t>
      </w:r>
      <w:r w:rsidRPr="00EC7735">
        <w:t xml:space="preserve"> that applies directly to waste exporting companies.</w:t>
      </w:r>
    </w:p>
    <w:p w:rsidR="003E24B5" w:rsidRDefault="003E24B5" w:rsidP="003A6195">
      <w:r>
        <w:t>The risks identified in this review relate to the:</w:t>
      </w:r>
    </w:p>
    <w:p w:rsidR="003E24B5" w:rsidRPr="00EC7735" w:rsidRDefault="003E24B5" w:rsidP="00162446">
      <w:pPr>
        <w:pStyle w:val="ListParagraph"/>
        <w:numPr>
          <w:ilvl w:val="0"/>
          <w:numId w:val="54"/>
        </w:numPr>
        <w:rPr>
          <w:rFonts w:cs="Arial"/>
          <w:bCs/>
          <w:szCs w:val="20"/>
        </w:rPr>
      </w:pPr>
      <w:r w:rsidRPr="00EC7735">
        <w:rPr>
          <w:rFonts w:cs="Arial"/>
          <w:bCs/>
          <w:szCs w:val="20"/>
        </w:rPr>
        <w:t>Regulation of export of hazardous waste</w:t>
      </w:r>
    </w:p>
    <w:p w:rsidR="003E24B5" w:rsidRPr="00EC7735" w:rsidRDefault="003E24B5" w:rsidP="00162446">
      <w:pPr>
        <w:pStyle w:val="ListParagraph"/>
        <w:numPr>
          <w:ilvl w:val="0"/>
          <w:numId w:val="54"/>
        </w:numPr>
        <w:rPr>
          <w:rFonts w:cs="Arial"/>
          <w:bCs/>
          <w:szCs w:val="20"/>
        </w:rPr>
      </w:pPr>
      <w:r w:rsidRPr="00EC7735">
        <w:rPr>
          <w:rFonts w:cs="Arial"/>
          <w:bCs/>
          <w:szCs w:val="20"/>
        </w:rPr>
        <w:t>Regulation of sale of hazardous waste</w:t>
      </w:r>
    </w:p>
    <w:p w:rsidR="003E24B5" w:rsidRPr="00EC7735" w:rsidRDefault="003E24B5" w:rsidP="00162446">
      <w:pPr>
        <w:pStyle w:val="ListParagraph"/>
        <w:numPr>
          <w:ilvl w:val="0"/>
          <w:numId w:val="54"/>
        </w:numPr>
        <w:rPr>
          <w:rFonts w:cs="Arial"/>
          <w:bCs/>
          <w:iCs/>
          <w:color w:val="000000"/>
          <w:szCs w:val="20"/>
        </w:rPr>
      </w:pPr>
      <w:r w:rsidRPr="00EC7735">
        <w:rPr>
          <w:rFonts w:cs="Arial"/>
          <w:bCs/>
          <w:iCs/>
          <w:color w:val="000000"/>
          <w:szCs w:val="20"/>
        </w:rPr>
        <w:t>Basel Convention on the Control of Transboundary Movements of Hazardous Wastes and their Disposal</w:t>
      </w:r>
    </w:p>
    <w:p w:rsidR="003E24B5" w:rsidRPr="00EC7735" w:rsidRDefault="003E24B5" w:rsidP="00162446">
      <w:pPr>
        <w:pStyle w:val="ListParagraph"/>
        <w:numPr>
          <w:ilvl w:val="0"/>
          <w:numId w:val="54"/>
        </w:numPr>
        <w:rPr>
          <w:rFonts w:cs="Arial"/>
        </w:rPr>
      </w:pPr>
      <w:r w:rsidRPr="00EC7735">
        <w:rPr>
          <w:rFonts w:cs="Arial"/>
          <w:bCs/>
          <w:iCs/>
          <w:color w:val="000000"/>
          <w:szCs w:val="20"/>
        </w:rPr>
        <w:t>Stockholm Convention on POPs</w:t>
      </w:r>
    </w:p>
    <w:p w:rsidR="003E24B5" w:rsidRPr="00314185" w:rsidRDefault="003E24B5" w:rsidP="003A6195">
      <w:r w:rsidRPr="00314185">
        <w:t xml:space="preserve">The complete </w:t>
      </w:r>
      <w:r>
        <w:t xml:space="preserve">regulatory </w:t>
      </w:r>
      <w:r w:rsidRPr="00314185">
        <w:t xml:space="preserve">risk </w:t>
      </w:r>
      <w:r>
        <w:t>review</w:t>
      </w:r>
      <w:r w:rsidRPr="00314185">
        <w:t xml:space="preserve"> is provided in Table </w:t>
      </w:r>
      <w:r w:rsidR="00235045">
        <w:t>9</w:t>
      </w:r>
      <w:r>
        <w:t xml:space="preserve">, </w:t>
      </w:r>
      <w:r w:rsidRPr="00314185">
        <w:t xml:space="preserve">Appendix E. </w:t>
      </w:r>
    </w:p>
    <w:p w:rsidR="003E24B5" w:rsidRDefault="003E24B5" w:rsidP="003A6195">
      <w:r w:rsidRPr="00EC7735">
        <w:t>The majority of these risks have been rated as</w:t>
      </w:r>
      <w:r>
        <w:t xml:space="preserve"> </w:t>
      </w:r>
      <w:r w:rsidRPr="00EC7735">
        <w:t>”high” primarily due to the consequence rating should the risk occur. All existing controls were ranked as “adequate.”</w:t>
      </w:r>
      <w:r>
        <w:t xml:space="preserve"> </w:t>
      </w:r>
    </w:p>
    <w:p w:rsidR="003E24B5" w:rsidRDefault="003E24B5" w:rsidP="00162446">
      <w:pPr>
        <w:pStyle w:val="KMHNumberheading20"/>
        <w:numPr>
          <w:ilvl w:val="1"/>
          <w:numId w:val="56"/>
        </w:numPr>
      </w:pPr>
      <w:bookmarkStart w:id="77" w:name="_Toc287018240"/>
      <w:r>
        <w:t>Risk Treatment Plan for “High” Risks from the Overall Risk Review</w:t>
      </w:r>
      <w:bookmarkEnd w:id="77"/>
      <w:r>
        <w:t xml:space="preserve"> </w:t>
      </w:r>
    </w:p>
    <w:p w:rsidR="003E24B5" w:rsidRDefault="003E24B5" w:rsidP="003A6195">
      <w:r w:rsidRPr="0095618D">
        <w:t xml:space="preserve">Based on the risk level identified in the risk assessment above, a risk treatment plan has been developed for each risk ranked as “high” using the DSEWPAC rating scale. These plans are provided in Appendix F, Table </w:t>
      </w:r>
      <w:r w:rsidR="00235045">
        <w:t>10</w:t>
      </w:r>
      <w:r w:rsidRPr="0095618D">
        <w:t>.</w:t>
      </w:r>
      <w:r>
        <w:t xml:space="preserve"> </w:t>
      </w:r>
    </w:p>
    <w:p w:rsidR="003E24B5" w:rsidRDefault="003E24B5" w:rsidP="008809E1">
      <w:pPr>
        <w:keepNext/>
        <w:keepLines/>
      </w:pPr>
      <w:r>
        <w:lastRenderedPageBreak/>
        <w:t>Suggested risk mitigation measures include:</w:t>
      </w:r>
    </w:p>
    <w:p w:rsidR="003E24B5" w:rsidRPr="00D721C7" w:rsidRDefault="003E24B5" w:rsidP="00162446">
      <w:pPr>
        <w:pStyle w:val="ListParagraph"/>
        <w:keepNext/>
        <w:keepLines/>
        <w:numPr>
          <w:ilvl w:val="0"/>
          <w:numId w:val="55"/>
        </w:numPr>
        <w:autoSpaceDE w:val="0"/>
        <w:autoSpaceDN w:val="0"/>
        <w:adjustRightInd w:val="0"/>
        <w:spacing w:before="120" w:after="120"/>
        <w:rPr>
          <w:rFonts w:cs="Arial"/>
          <w:szCs w:val="20"/>
        </w:rPr>
      </w:pPr>
      <w:r w:rsidRPr="00D721C7">
        <w:rPr>
          <w:rFonts w:cs="Arial"/>
          <w:szCs w:val="20"/>
        </w:rPr>
        <w:t>The development and implementation of an audit regime to regulate industry operators and timetable for implementation.</w:t>
      </w:r>
    </w:p>
    <w:p w:rsidR="003E24B5" w:rsidRPr="00D721C7" w:rsidRDefault="003E24B5" w:rsidP="00162446">
      <w:pPr>
        <w:pStyle w:val="ListParagraph"/>
        <w:numPr>
          <w:ilvl w:val="0"/>
          <w:numId w:val="55"/>
        </w:numPr>
        <w:autoSpaceDE w:val="0"/>
        <w:autoSpaceDN w:val="0"/>
        <w:adjustRightInd w:val="0"/>
        <w:spacing w:before="120" w:after="120"/>
        <w:rPr>
          <w:rFonts w:cs="Arial"/>
          <w:szCs w:val="20"/>
        </w:rPr>
      </w:pPr>
      <w:r w:rsidRPr="00D721C7">
        <w:rPr>
          <w:rFonts w:cs="Arial"/>
          <w:szCs w:val="20"/>
        </w:rPr>
        <w:t>The development and rollout of a familiarisation/training program for operators to provide:</w:t>
      </w:r>
    </w:p>
    <w:p w:rsidR="003E24B5" w:rsidRPr="00D721C7" w:rsidRDefault="003E24B5" w:rsidP="00162446">
      <w:pPr>
        <w:pStyle w:val="ListParagraph"/>
        <w:numPr>
          <w:ilvl w:val="1"/>
          <w:numId w:val="55"/>
        </w:numPr>
        <w:autoSpaceDE w:val="0"/>
        <w:autoSpaceDN w:val="0"/>
        <w:adjustRightInd w:val="0"/>
        <w:spacing w:before="120" w:after="120"/>
        <w:rPr>
          <w:rFonts w:cs="Arial"/>
          <w:szCs w:val="20"/>
        </w:rPr>
      </w:pPr>
      <w:r w:rsidRPr="00D721C7">
        <w:rPr>
          <w:rFonts w:cs="Arial"/>
          <w:szCs w:val="20"/>
        </w:rPr>
        <w:t xml:space="preserve">Detailed information on the specific reporting requirements of the Standard. </w:t>
      </w:r>
    </w:p>
    <w:p w:rsidR="003E24B5" w:rsidRPr="00D721C7" w:rsidRDefault="003E24B5" w:rsidP="00162446">
      <w:pPr>
        <w:pStyle w:val="ListParagraph"/>
        <w:numPr>
          <w:ilvl w:val="1"/>
          <w:numId w:val="55"/>
        </w:numPr>
        <w:autoSpaceDE w:val="0"/>
        <w:autoSpaceDN w:val="0"/>
        <w:adjustRightInd w:val="0"/>
        <w:spacing w:before="120" w:after="120"/>
        <w:jc w:val="left"/>
        <w:rPr>
          <w:rFonts w:cs="Arial"/>
          <w:szCs w:val="20"/>
        </w:rPr>
      </w:pPr>
      <w:r w:rsidRPr="00D721C7">
        <w:rPr>
          <w:rFonts w:cs="Arial"/>
          <w:szCs w:val="20"/>
        </w:rPr>
        <w:t>An explanation of the introductory comments of Appendix 1</w:t>
      </w:r>
      <w:r>
        <w:rPr>
          <w:rFonts w:cs="Arial"/>
          <w:szCs w:val="20"/>
        </w:rPr>
        <w:t xml:space="preserve"> to the DIIS</w:t>
      </w:r>
      <w:r w:rsidRPr="00D721C7">
        <w:rPr>
          <w:rFonts w:cs="Arial"/>
          <w:szCs w:val="20"/>
        </w:rPr>
        <w:t xml:space="preserve"> to ensure the contents are included into a training session for delivery to operators as outlined in the risk treatment plans above. </w:t>
      </w:r>
    </w:p>
    <w:p w:rsidR="003E24B5" w:rsidRPr="00D721C7" w:rsidRDefault="003E24B5" w:rsidP="00162446">
      <w:pPr>
        <w:pStyle w:val="ListParagraph"/>
        <w:numPr>
          <w:ilvl w:val="1"/>
          <w:numId w:val="55"/>
        </w:numPr>
        <w:rPr>
          <w:rFonts w:cs="Arial"/>
          <w:szCs w:val="20"/>
        </w:rPr>
      </w:pPr>
      <w:r w:rsidRPr="00D721C7">
        <w:rPr>
          <w:rFonts w:cs="Arial"/>
          <w:szCs w:val="20"/>
        </w:rPr>
        <w:t xml:space="preserve">the requirements of the </w:t>
      </w:r>
      <w:r w:rsidRPr="00D721C7">
        <w:rPr>
          <w:rFonts w:cs="Arial"/>
          <w:i/>
          <w:szCs w:val="20"/>
        </w:rPr>
        <w:t>Hazardous Waste Act</w:t>
      </w:r>
      <w:r w:rsidRPr="00D721C7">
        <w:rPr>
          <w:rFonts w:cs="Arial"/>
          <w:szCs w:val="20"/>
        </w:rPr>
        <w:t xml:space="preserve"> </w:t>
      </w:r>
      <w:r w:rsidRPr="00D721C7">
        <w:rPr>
          <w:rFonts w:cs="Arial"/>
          <w:i/>
          <w:szCs w:val="20"/>
        </w:rPr>
        <w:t>1989 a</w:t>
      </w:r>
      <w:r w:rsidRPr="00D721C7">
        <w:rPr>
          <w:rFonts w:cs="Arial"/>
          <w:szCs w:val="20"/>
        </w:rPr>
        <w:t>nd how they apply to DIIS associated activities</w:t>
      </w:r>
    </w:p>
    <w:p w:rsidR="003E24B5" w:rsidRPr="00D721C7" w:rsidRDefault="003E24B5" w:rsidP="00162446">
      <w:pPr>
        <w:pStyle w:val="ListParagraph"/>
        <w:numPr>
          <w:ilvl w:val="1"/>
          <w:numId w:val="55"/>
        </w:numPr>
        <w:rPr>
          <w:rFonts w:cs="Arial"/>
          <w:szCs w:val="20"/>
        </w:rPr>
      </w:pPr>
      <w:r w:rsidRPr="00D721C7">
        <w:rPr>
          <w:rFonts w:cs="Arial"/>
          <w:szCs w:val="20"/>
        </w:rPr>
        <w:t>Guidance on the environmentally sound removal of electronic equipment as outlined in Appendix 1</w:t>
      </w:r>
      <w:r>
        <w:rPr>
          <w:rFonts w:cs="Arial"/>
          <w:szCs w:val="20"/>
        </w:rPr>
        <w:t xml:space="preserve"> (of the DIIS)</w:t>
      </w:r>
    </w:p>
    <w:p w:rsidR="003E24B5" w:rsidRPr="00D721C7" w:rsidRDefault="003E24B5" w:rsidP="00162446">
      <w:pPr>
        <w:pStyle w:val="ListParagraph"/>
        <w:numPr>
          <w:ilvl w:val="1"/>
          <w:numId w:val="55"/>
        </w:numPr>
        <w:rPr>
          <w:rFonts w:cs="Arial"/>
          <w:szCs w:val="20"/>
        </w:rPr>
      </w:pPr>
      <w:r w:rsidRPr="00D721C7">
        <w:rPr>
          <w:rFonts w:cs="Arial"/>
          <w:szCs w:val="20"/>
        </w:rPr>
        <w:t>Information on the safe removal of components prior to processing</w:t>
      </w:r>
    </w:p>
    <w:p w:rsidR="003E24B5" w:rsidRPr="00D721C7" w:rsidRDefault="003E24B5" w:rsidP="00162446">
      <w:pPr>
        <w:pStyle w:val="ListParagraph"/>
        <w:numPr>
          <w:ilvl w:val="0"/>
          <w:numId w:val="55"/>
        </w:numPr>
        <w:rPr>
          <w:rFonts w:cs="Arial"/>
          <w:szCs w:val="20"/>
        </w:rPr>
      </w:pPr>
      <w:r w:rsidRPr="00D721C7">
        <w:rPr>
          <w:rFonts w:cs="Arial"/>
          <w:szCs w:val="20"/>
        </w:rPr>
        <w:t>The approved arrangement should ensure that DSEWPaC is consulted in relation to all training material and provided the opportunity to participate</w:t>
      </w:r>
    </w:p>
    <w:p w:rsidR="003E24B5" w:rsidRDefault="003E24B5" w:rsidP="00162446">
      <w:pPr>
        <w:pStyle w:val="KMHNumberheading20"/>
        <w:numPr>
          <w:ilvl w:val="1"/>
          <w:numId w:val="56"/>
        </w:numPr>
      </w:pPr>
      <w:bookmarkStart w:id="78" w:name="_Toc287018241"/>
      <w:r>
        <w:t>International Best Practice Review</w:t>
      </w:r>
      <w:bookmarkEnd w:id="78"/>
      <w:r>
        <w:t xml:space="preserve"> </w:t>
      </w:r>
    </w:p>
    <w:p w:rsidR="003E24B5" w:rsidRPr="00D721C7" w:rsidRDefault="003E24B5" w:rsidP="00D14924">
      <w:r w:rsidRPr="00D721C7">
        <w:t>The DIIS has been reviewed against key international standards that are used for similar programs around the world</w:t>
      </w:r>
      <w:r>
        <w:t xml:space="preserve"> in accordance with the methodology outlined in Section 2.2 of this report. </w:t>
      </w:r>
    </w:p>
    <w:p w:rsidR="003E24B5" w:rsidRDefault="003E24B5" w:rsidP="00D14924">
      <w:r>
        <w:t>Using the DIIS structure as a guide, features of the DIIS have been tabulated against selected standards that are used that underpin similar programs in other countries, identifying any gaps. The standards chosen for this comparison were the Canada Electronics Recycling Standard, the European WEEELABEX normative requirements (on Collection, Logistics and Treatment) and the USA’s e-Stewards Standard for Responsible Recycling and Reuse of Electronic Equipment.</w:t>
      </w:r>
    </w:p>
    <w:p w:rsidR="003E24B5" w:rsidRDefault="003E24B5" w:rsidP="00614DC1">
      <w:r>
        <w:t>Five gaps in the DIIS were identified:</w:t>
      </w:r>
    </w:p>
    <w:p w:rsidR="003E24B5" w:rsidRPr="002A3282" w:rsidRDefault="003E24B5" w:rsidP="00162446">
      <w:pPr>
        <w:pStyle w:val="ListParagraph"/>
        <w:numPr>
          <w:ilvl w:val="0"/>
          <w:numId w:val="54"/>
        </w:numPr>
        <w:spacing w:before="120" w:after="120"/>
        <w:jc w:val="left"/>
        <w:rPr>
          <w:rFonts w:cs="Arial"/>
          <w:szCs w:val="20"/>
        </w:rPr>
      </w:pPr>
      <w:r w:rsidRPr="002A3282">
        <w:rPr>
          <w:rFonts w:cs="Arial"/>
        </w:rPr>
        <w:t>Does not require written policies for hygiene, eating and drinking to reduce worker exposure to</w:t>
      </w:r>
      <w:r w:rsidRPr="002A3282">
        <w:rPr>
          <w:rFonts w:cs="Arial"/>
          <w:i/>
          <w:szCs w:val="20"/>
        </w:rPr>
        <w:t xml:space="preserve"> </w:t>
      </w:r>
      <w:r w:rsidRPr="002A3282">
        <w:rPr>
          <w:rFonts w:cs="Arial"/>
          <w:szCs w:val="20"/>
        </w:rPr>
        <w:t>contaminants</w:t>
      </w:r>
    </w:p>
    <w:p w:rsidR="003E24B5" w:rsidRPr="002A3282" w:rsidRDefault="003E24B5" w:rsidP="00162446">
      <w:pPr>
        <w:pStyle w:val="ListParagraph"/>
        <w:numPr>
          <w:ilvl w:val="0"/>
          <w:numId w:val="54"/>
        </w:numPr>
        <w:spacing w:before="120" w:after="120"/>
        <w:jc w:val="left"/>
        <w:rPr>
          <w:rFonts w:cs="Arial"/>
          <w:szCs w:val="20"/>
        </w:rPr>
      </w:pPr>
      <w:r w:rsidRPr="002A3282">
        <w:rPr>
          <w:rFonts w:cs="Arial"/>
          <w:szCs w:val="20"/>
        </w:rPr>
        <w:t>Does not require establishment of health and safety committee</w:t>
      </w:r>
    </w:p>
    <w:p w:rsidR="003E24B5" w:rsidRPr="002A3282" w:rsidRDefault="003E24B5" w:rsidP="00162446">
      <w:pPr>
        <w:pStyle w:val="ListParagraph"/>
        <w:numPr>
          <w:ilvl w:val="0"/>
          <w:numId w:val="54"/>
        </w:numPr>
        <w:spacing w:before="120" w:after="120"/>
        <w:jc w:val="left"/>
        <w:rPr>
          <w:rFonts w:cs="Arial"/>
          <w:szCs w:val="20"/>
        </w:rPr>
      </w:pPr>
      <w:r w:rsidRPr="002A3282">
        <w:rPr>
          <w:rFonts w:cs="Arial"/>
          <w:szCs w:val="20"/>
        </w:rPr>
        <w:t>No specification on amount that can be stored at any given time</w:t>
      </w:r>
    </w:p>
    <w:p w:rsidR="003E24B5" w:rsidRPr="002A3282" w:rsidRDefault="003E24B5" w:rsidP="00162446">
      <w:pPr>
        <w:pStyle w:val="ListParagraph"/>
        <w:numPr>
          <w:ilvl w:val="0"/>
          <w:numId w:val="54"/>
        </w:numPr>
        <w:spacing w:before="120" w:after="120"/>
        <w:jc w:val="left"/>
        <w:rPr>
          <w:rFonts w:cs="Arial"/>
          <w:szCs w:val="20"/>
        </w:rPr>
      </w:pPr>
      <w:r w:rsidRPr="002A3282">
        <w:rPr>
          <w:rFonts w:cs="Arial"/>
          <w:szCs w:val="20"/>
        </w:rPr>
        <w:t>No data security required</w:t>
      </w:r>
    </w:p>
    <w:p w:rsidR="003E24B5" w:rsidRPr="002A3282" w:rsidRDefault="003E24B5" w:rsidP="00162446">
      <w:pPr>
        <w:pStyle w:val="ListParagraph"/>
        <w:numPr>
          <w:ilvl w:val="0"/>
          <w:numId w:val="54"/>
        </w:numPr>
        <w:spacing w:before="120" w:after="120"/>
        <w:jc w:val="left"/>
        <w:rPr>
          <w:rFonts w:cs="Arial"/>
          <w:szCs w:val="20"/>
        </w:rPr>
      </w:pPr>
      <w:r w:rsidRPr="002A3282">
        <w:rPr>
          <w:rFonts w:cs="Arial"/>
          <w:szCs w:val="20"/>
        </w:rPr>
        <w:t>No specific requirements for CRTs and flat panel displays</w:t>
      </w:r>
    </w:p>
    <w:p w:rsidR="003E24B5" w:rsidRPr="00314185" w:rsidRDefault="003E24B5" w:rsidP="00614DC1">
      <w:r w:rsidRPr="00314185">
        <w:t xml:space="preserve">The complete </w:t>
      </w:r>
      <w:r>
        <w:t>review</w:t>
      </w:r>
      <w:r w:rsidRPr="00314185">
        <w:t xml:space="preserve"> is provided in Table </w:t>
      </w:r>
      <w:r w:rsidR="00235045">
        <w:t>11</w:t>
      </w:r>
      <w:r>
        <w:t>, Appendix G</w:t>
      </w:r>
      <w:r w:rsidRPr="00314185">
        <w:t xml:space="preserve">. </w:t>
      </w:r>
    </w:p>
    <w:p w:rsidR="003E24B5" w:rsidRDefault="003E24B5">
      <w:pPr>
        <w:spacing w:after="0"/>
        <w:jc w:val="left"/>
      </w:pPr>
      <w:r>
        <w:br w:type="page"/>
      </w:r>
    </w:p>
    <w:p w:rsidR="003E24B5" w:rsidRPr="00C13CA1" w:rsidRDefault="003E24B5" w:rsidP="00162446">
      <w:pPr>
        <w:pStyle w:val="KMHNumberHeading1"/>
        <w:numPr>
          <w:ilvl w:val="0"/>
          <w:numId w:val="56"/>
        </w:numPr>
      </w:pPr>
      <w:bookmarkStart w:id="79" w:name="_Toc287018242"/>
      <w:r>
        <w:lastRenderedPageBreak/>
        <w:t>Costs analysis</w:t>
      </w:r>
      <w:bookmarkEnd w:id="79"/>
    </w:p>
    <w:p w:rsidR="003E24B5" w:rsidRDefault="003E24B5" w:rsidP="00162446">
      <w:pPr>
        <w:pStyle w:val="KMHNumberheading20"/>
        <w:numPr>
          <w:ilvl w:val="1"/>
          <w:numId w:val="56"/>
        </w:numPr>
      </w:pPr>
      <w:bookmarkStart w:id="80" w:name="_Toc287018243"/>
      <w:r>
        <w:t>Collection location costs</w:t>
      </w:r>
      <w:bookmarkEnd w:id="80"/>
    </w:p>
    <w:p w:rsidR="003E24B5" w:rsidRDefault="003E24B5" w:rsidP="0043676E">
      <w:r w:rsidRPr="007C099D">
        <w:t xml:space="preserve">The </w:t>
      </w:r>
      <w:r>
        <w:t>DIIS does not require ISO 14001 certification of collection locations. However, skeletal elements of an EMS, or a similar simple set of systems and procedures, would be required to ensure compliance with the DIIS. Establishing, maintaining and demonstrating compliance to such a system is described and costed in Table 1 below,</w:t>
      </w:r>
      <w:r w:rsidR="00C07C33">
        <w:t xml:space="preserve"> for facilities not yet established,</w:t>
      </w:r>
      <w:r>
        <w:t xml:space="preserve"> noting the applicable assumptions from section 2.3.2.</w:t>
      </w:r>
    </w:p>
    <w:p w:rsidR="003E24B5" w:rsidRPr="00AF394B" w:rsidRDefault="003E24B5" w:rsidP="00456097">
      <w:pPr>
        <w:pStyle w:val="Caption"/>
        <w:keepNext/>
      </w:pPr>
      <w:bookmarkStart w:id="81" w:name="_Toc287018303"/>
      <w:r>
        <w:t xml:space="preserve">Table </w:t>
      </w:r>
      <w:fldSimple w:instr=" SEQ Table \* ARABIC ">
        <w:r w:rsidR="00235045">
          <w:rPr>
            <w:noProof/>
          </w:rPr>
          <w:t>1</w:t>
        </w:r>
      </w:fldSimple>
      <w:r>
        <w:t xml:space="preserve">:  </w:t>
      </w:r>
      <w:r w:rsidRPr="00AF394B">
        <w:t>Cost of implementation of DIIS for collection locations</w:t>
      </w:r>
      <w:r w:rsidR="00E22B4B">
        <w:t xml:space="preserve"> (new)</w:t>
      </w:r>
      <w:bookmarkEnd w:id="81"/>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19"/>
        <w:gridCol w:w="1985"/>
        <w:gridCol w:w="3118"/>
      </w:tblGrid>
      <w:tr w:rsidR="003E24B5" w:rsidRPr="004F72F0" w:rsidTr="008E5549">
        <w:tc>
          <w:tcPr>
            <w:tcW w:w="4219" w:type="dxa"/>
            <w:shd w:val="clear" w:color="auto" w:fill="BFBFBF"/>
            <w:vAlign w:val="center"/>
          </w:tcPr>
          <w:p w:rsidR="003E24B5" w:rsidRPr="008E5549" w:rsidRDefault="003E24B5" w:rsidP="008E5549">
            <w:pPr>
              <w:jc w:val="center"/>
              <w:rPr>
                <w:b/>
              </w:rPr>
            </w:pPr>
            <w:r w:rsidRPr="008E5549">
              <w:rPr>
                <w:b/>
              </w:rPr>
              <w:t>DIIS implementation requirement</w:t>
            </w:r>
          </w:p>
        </w:tc>
        <w:tc>
          <w:tcPr>
            <w:tcW w:w="1985" w:type="dxa"/>
            <w:shd w:val="clear" w:color="auto" w:fill="BFBFBF"/>
            <w:vAlign w:val="center"/>
          </w:tcPr>
          <w:p w:rsidR="003E24B5" w:rsidRPr="008E5549" w:rsidRDefault="003E24B5" w:rsidP="008E5549">
            <w:pPr>
              <w:jc w:val="center"/>
              <w:rPr>
                <w:b/>
              </w:rPr>
            </w:pPr>
            <w:r w:rsidRPr="008E5549">
              <w:rPr>
                <w:b/>
              </w:rPr>
              <w:t>Estimated cost ($) per site</w:t>
            </w:r>
          </w:p>
        </w:tc>
        <w:tc>
          <w:tcPr>
            <w:tcW w:w="3118" w:type="dxa"/>
            <w:shd w:val="clear" w:color="auto" w:fill="BFBFBF"/>
            <w:vAlign w:val="center"/>
          </w:tcPr>
          <w:p w:rsidR="003E24B5" w:rsidRPr="008E5549" w:rsidRDefault="003E24B5" w:rsidP="008E5549">
            <w:pPr>
              <w:jc w:val="center"/>
              <w:rPr>
                <w:b/>
              </w:rPr>
            </w:pPr>
            <w:r w:rsidRPr="008E5549">
              <w:rPr>
                <w:b/>
              </w:rPr>
              <w:t>Type of Cost</w:t>
            </w:r>
          </w:p>
        </w:tc>
      </w:tr>
      <w:tr w:rsidR="003E24B5" w:rsidRPr="006E04FC" w:rsidTr="008E5549">
        <w:tc>
          <w:tcPr>
            <w:tcW w:w="4219" w:type="dxa"/>
          </w:tcPr>
          <w:p w:rsidR="003E24B5" w:rsidRPr="00387C5D" w:rsidRDefault="003E24B5" w:rsidP="008E5549">
            <w:pPr>
              <w:spacing w:before="60" w:after="120"/>
              <w:jc w:val="left"/>
              <w:rPr>
                <w:rFonts w:cs="Arial"/>
                <w:szCs w:val="20"/>
              </w:rPr>
            </w:pPr>
            <w:r w:rsidRPr="00387C5D">
              <w:rPr>
                <w:rFonts w:cs="Arial"/>
                <w:szCs w:val="20"/>
              </w:rPr>
              <w:t>System establishment to DIIS requirements</w:t>
            </w:r>
          </w:p>
        </w:tc>
        <w:tc>
          <w:tcPr>
            <w:tcW w:w="1985" w:type="dxa"/>
          </w:tcPr>
          <w:p w:rsidR="003E24B5" w:rsidRPr="00387C5D" w:rsidRDefault="003E24B5" w:rsidP="008E5549">
            <w:pPr>
              <w:spacing w:before="60" w:after="120"/>
              <w:jc w:val="center"/>
              <w:rPr>
                <w:rFonts w:cs="Arial"/>
                <w:szCs w:val="20"/>
              </w:rPr>
            </w:pPr>
            <w:r w:rsidRPr="00387C5D">
              <w:rPr>
                <w:rFonts w:cs="Arial"/>
                <w:szCs w:val="20"/>
              </w:rPr>
              <w:t>$2,000 - 5,000</w:t>
            </w:r>
          </w:p>
        </w:tc>
        <w:tc>
          <w:tcPr>
            <w:tcW w:w="3118" w:type="dxa"/>
          </w:tcPr>
          <w:p w:rsidR="003E24B5" w:rsidRPr="008E5549" w:rsidRDefault="003E24B5" w:rsidP="008E5549">
            <w:pPr>
              <w:spacing w:before="60" w:after="120"/>
              <w:jc w:val="left"/>
              <w:rPr>
                <w:rFonts w:cs="Arial"/>
                <w:szCs w:val="20"/>
              </w:rPr>
            </w:pPr>
            <w:r w:rsidRPr="00387C5D">
              <w:rPr>
                <w:rFonts w:cs="Arial"/>
                <w:szCs w:val="20"/>
              </w:rPr>
              <w:t>Establishment – first year only</w:t>
            </w:r>
          </w:p>
        </w:tc>
      </w:tr>
      <w:tr w:rsidR="003E24B5" w:rsidTr="008E5549">
        <w:tc>
          <w:tcPr>
            <w:tcW w:w="4219" w:type="dxa"/>
          </w:tcPr>
          <w:p w:rsidR="003E24B5" w:rsidRDefault="003E24B5" w:rsidP="008E5549">
            <w:pPr>
              <w:spacing w:before="60" w:after="120"/>
            </w:pPr>
            <w:r w:rsidRPr="007C23D9">
              <w:t>Internal Audit</w:t>
            </w:r>
          </w:p>
        </w:tc>
        <w:tc>
          <w:tcPr>
            <w:tcW w:w="1985" w:type="dxa"/>
          </w:tcPr>
          <w:p w:rsidR="003E24B5" w:rsidRPr="008E5549" w:rsidRDefault="003E24B5" w:rsidP="008E5549">
            <w:pPr>
              <w:spacing w:before="60" w:after="120"/>
              <w:jc w:val="center"/>
              <w:rPr>
                <w:rFonts w:cs="Arial"/>
                <w:szCs w:val="20"/>
              </w:rPr>
            </w:pPr>
            <w:r w:rsidRPr="008E5549">
              <w:rPr>
                <w:rFonts w:cs="Arial"/>
                <w:szCs w:val="20"/>
              </w:rPr>
              <w:t>$1,000</w:t>
            </w:r>
          </w:p>
        </w:tc>
        <w:tc>
          <w:tcPr>
            <w:tcW w:w="3118" w:type="dxa"/>
          </w:tcPr>
          <w:p w:rsidR="003E24B5" w:rsidRPr="008E5549" w:rsidRDefault="003E24B5" w:rsidP="008E5549">
            <w:pPr>
              <w:spacing w:before="60" w:after="120"/>
              <w:jc w:val="left"/>
              <w:rPr>
                <w:rFonts w:cs="Arial"/>
                <w:szCs w:val="20"/>
              </w:rPr>
            </w:pPr>
            <w:r w:rsidRPr="008E5549">
              <w:rPr>
                <w:rFonts w:cs="Arial"/>
                <w:szCs w:val="20"/>
              </w:rPr>
              <w:t>Operational – ongoing, assume annual</w:t>
            </w:r>
          </w:p>
        </w:tc>
      </w:tr>
      <w:tr w:rsidR="003E24B5" w:rsidRPr="00E22B4B" w:rsidTr="008E5549">
        <w:tc>
          <w:tcPr>
            <w:tcW w:w="4219" w:type="dxa"/>
          </w:tcPr>
          <w:p w:rsidR="003E24B5" w:rsidRPr="00E22B4B" w:rsidRDefault="003E24B5" w:rsidP="008E5549">
            <w:pPr>
              <w:spacing w:before="60" w:after="120"/>
              <w:jc w:val="left"/>
            </w:pPr>
            <w:r w:rsidRPr="00E22B4B">
              <w:t>Periodic random audits</w:t>
            </w:r>
          </w:p>
        </w:tc>
        <w:tc>
          <w:tcPr>
            <w:tcW w:w="1985" w:type="dxa"/>
          </w:tcPr>
          <w:p w:rsidR="003E24B5" w:rsidRPr="00E22B4B" w:rsidRDefault="003E24B5" w:rsidP="008E5549">
            <w:pPr>
              <w:spacing w:before="60" w:after="120"/>
              <w:jc w:val="center"/>
            </w:pPr>
            <w:r w:rsidRPr="00E22B4B">
              <w:t>$2,000 - $5,000</w:t>
            </w:r>
          </w:p>
        </w:tc>
        <w:tc>
          <w:tcPr>
            <w:tcW w:w="3118" w:type="dxa"/>
          </w:tcPr>
          <w:p w:rsidR="003E24B5" w:rsidRPr="00E22B4B" w:rsidRDefault="003E24B5" w:rsidP="008E5549">
            <w:pPr>
              <w:spacing w:before="60" w:after="120"/>
              <w:jc w:val="left"/>
              <w:rPr>
                <w:rFonts w:cs="Arial"/>
                <w:szCs w:val="20"/>
              </w:rPr>
            </w:pPr>
            <w:r w:rsidRPr="00E22B4B">
              <w:rPr>
                <w:rFonts w:cs="Arial"/>
                <w:szCs w:val="20"/>
              </w:rPr>
              <w:t>Operational – assumed every 3 years</w:t>
            </w:r>
          </w:p>
        </w:tc>
      </w:tr>
      <w:tr w:rsidR="003E24B5" w:rsidRPr="00E22B4B" w:rsidTr="008E5549">
        <w:tc>
          <w:tcPr>
            <w:tcW w:w="4219" w:type="dxa"/>
          </w:tcPr>
          <w:p w:rsidR="003E24B5" w:rsidRPr="00E22B4B" w:rsidRDefault="003E24B5" w:rsidP="008E5549">
            <w:pPr>
              <w:spacing w:before="60" w:after="120"/>
              <w:jc w:val="left"/>
            </w:pPr>
            <w:r w:rsidRPr="00E22B4B">
              <w:t>Making the system work (refresher training, maintenance, integration into business processes)</w:t>
            </w:r>
          </w:p>
        </w:tc>
        <w:tc>
          <w:tcPr>
            <w:tcW w:w="1985" w:type="dxa"/>
          </w:tcPr>
          <w:p w:rsidR="003E24B5" w:rsidRPr="00E22B4B" w:rsidRDefault="003E24B5" w:rsidP="008E5549">
            <w:pPr>
              <w:spacing w:before="60" w:after="120"/>
              <w:jc w:val="center"/>
            </w:pPr>
            <w:r w:rsidRPr="00E22B4B">
              <w:t>$8,000</w:t>
            </w:r>
          </w:p>
        </w:tc>
        <w:tc>
          <w:tcPr>
            <w:tcW w:w="3118" w:type="dxa"/>
          </w:tcPr>
          <w:p w:rsidR="003E24B5" w:rsidRPr="00E22B4B" w:rsidRDefault="003E24B5" w:rsidP="008E5549">
            <w:pPr>
              <w:spacing w:before="60" w:after="120"/>
              <w:jc w:val="left"/>
              <w:rPr>
                <w:rFonts w:cs="Arial"/>
                <w:szCs w:val="20"/>
              </w:rPr>
            </w:pPr>
            <w:r w:rsidRPr="00E22B4B">
              <w:rPr>
                <w:rFonts w:cs="Arial"/>
                <w:szCs w:val="20"/>
              </w:rPr>
              <w:t>Operational - annual</w:t>
            </w:r>
          </w:p>
        </w:tc>
      </w:tr>
      <w:tr w:rsidR="003E24B5" w:rsidRPr="00E22B4B" w:rsidTr="008E5549">
        <w:tc>
          <w:tcPr>
            <w:tcW w:w="4219" w:type="dxa"/>
          </w:tcPr>
          <w:p w:rsidR="003E24B5" w:rsidRPr="00E22B4B" w:rsidRDefault="003E24B5" w:rsidP="008E5549">
            <w:pPr>
              <w:spacing w:before="60" w:after="120"/>
            </w:pPr>
            <w:r w:rsidRPr="00E22B4B">
              <w:t>Reporting to PSO</w:t>
            </w:r>
          </w:p>
        </w:tc>
        <w:tc>
          <w:tcPr>
            <w:tcW w:w="1985" w:type="dxa"/>
          </w:tcPr>
          <w:p w:rsidR="003E24B5" w:rsidRPr="00E22B4B" w:rsidRDefault="003E24B5" w:rsidP="008E5549">
            <w:pPr>
              <w:spacing w:before="60" w:after="120"/>
              <w:jc w:val="center"/>
            </w:pPr>
            <w:r w:rsidRPr="00E22B4B">
              <w:t>$3,000</w:t>
            </w:r>
          </w:p>
        </w:tc>
        <w:tc>
          <w:tcPr>
            <w:tcW w:w="3118" w:type="dxa"/>
          </w:tcPr>
          <w:p w:rsidR="003E24B5" w:rsidRPr="00E22B4B" w:rsidRDefault="003E24B5" w:rsidP="008E5549">
            <w:pPr>
              <w:spacing w:before="60" w:after="120"/>
              <w:jc w:val="left"/>
              <w:rPr>
                <w:rFonts w:cs="Arial"/>
                <w:szCs w:val="20"/>
              </w:rPr>
            </w:pPr>
            <w:r w:rsidRPr="00E22B4B">
              <w:rPr>
                <w:rFonts w:cs="Arial"/>
                <w:szCs w:val="20"/>
              </w:rPr>
              <w:t>Operational – assumed annual</w:t>
            </w:r>
          </w:p>
        </w:tc>
      </w:tr>
      <w:tr w:rsidR="003E24B5" w:rsidTr="008E5549">
        <w:tc>
          <w:tcPr>
            <w:tcW w:w="4219" w:type="dxa"/>
          </w:tcPr>
          <w:p w:rsidR="003E24B5" w:rsidRPr="00E22B4B" w:rsidRDefault="003E24B5" w:rsidP="008C5E4E">
            <w:pPr>
              <w:spacing w:before="60" w:after="120"/>
              <w:jc w:val="left"/>
            </w:pPr>
            <w:r w:rsidRPr="00E22B4B">
              <w:t>Establishment of data collection and record keeping systems</w:t>
            </w:r>
          </w:p>
        </w:tc>
        <w:tc>
          <w:tcPr>
            <w:tcW w:w="1985" w:type="dxa"/>
          </w:tcPr>
          <w:p w:rsidR="003E24B5" w:rsidRPr="00E22B4B" w:rsidRDefault="003E24B5" w:rsidP="008E5549">
            <w:pPr>
              <w:spacing w:before="60" w:after="120"/>
              <w:jc w:val="center"/>
            </w:pPr>
            <w:r w:rsidRPr="00E22B4B">
              <w:t>$9,000</w:t>
            </w:r>
          </w:p>
        </w:tc>
        <w:tc>
          <w:tcPr>
            <w:tcW w:w="3118" w:type="dxa"/>
          </w:tcPr>
          <w:p w:rsidR="003E24B5" w:rsidRPr="008E5549" w:rsidRDefault="003E24B5" w:rsidP="008E5549">
            <w:pPr>
              <w:spacing w:before="60" w:after="120"/>
              <w:jc w:val="left"/>
              <w:rPr>
                <w:rFonts w:cs="Arial"/>
                <w:szCs w:val="20"/>
              </w:rPr>
            </w:pPr>
            <w:r w:rsidRPr="00E22B4B">
              <w:rPr>
                <w:rFonts w:cs="Arial"/>
                <w:szCs w:val="20"/>
              </w:rPr>
              <w:t>Establishment – first year only</w:t>
            </w:r>
          </w:p>
        </w:tc>
      </w:tr>
      <w:tr w:rsidR="003E24B5" w:rsidRPr="00BF78A1" w:rsidTr="008E5549">
        <w:tc>
          <w:tcPr>
            <w:tcW w:w="4219" w:type="dxa"/>
          </w:tcPr>
          <w:p w:rsidR="003E24B5" w:rsidRPr="008E5549" w:rsidRDefault="003E24B5" w:rsidP="008E5549">
            <w:pPr>
              <w:spacing w:before="60" w:after="120"/>
              <w:rPr>
                <w:b/>
              </w:rPr>
            </w:pPr>
            <w:r w:rsidRPr="008E5549">
              <w:rPr>
                <w:b/>
              </w:rPr>
              <w:t>Total (1</w:t>
            </w:r>
            <w:r w:rsidRPr="008E5549">
              <w:rPr>
                <w:b/>
                <w:vertAlign w:val="superscript"/>
              </w:rPr>
              <w:t>st</w:t>
            </w:r>
            <w:r w:rsidRPr="008E5549">
              <w:rPr>
                <w:b/>
              </w:rPr>
              <w:t xml:space="preserve"> year)</w:t>
            </w:r>
          </w:p>
        </w:tc>
        <w:tc>
          <w:tcPr>
            <w:tcW w:w="1985" w:type="dxa"/>
          </w:tcPr>
          <w:p w:rsidR="003E24B5" w:rsidRPr="008E5549" w:rsidRDefault="003E24B5" w:rsidP="008E5549">
            <w:pPr>
              <w:spacing w:before="60" w:after="120"/>
              <w:jc w:val="center"/>
              <w:rPr>
                <w:b/>
              </w:rPr>
            </w:pPr>
            <w:r w:rsidRPr="008E5549">
              <w:rPr>
                <w:b/>
              </w:rPr>
              <w:t>$25,000 - $31,000</w:t>
            </w:r>
          </w:p>
        </w:tc>
        <w:tc>
          <w:tcPr>
            <w:tcW w:w="3118" w:type="dxa"/>
          </w:tcPr>
          <w:p w:rsidR="003E24B5" w:rsidRPr="008E5549" w:rsidRDefault="003E24B5" w:rsidP="008E5549">
            <w:pPr>
              <w:spacing w:before="60" w:after="120"/>
              <w:jc w:val="left"/>
              <w:rPr>
                <w:rFonts w:cs="Arial"/>
                <w:b/>
                <w:szCs w:val="20"/>
              </w:rPr>
            </w:pPr>
          </w:p>
        </w:tc>
      </w:tr>
      <w:tr w:rsidR="003E24B5" w:rsidRPr="00BF78A1" w:rsidTr="008E5549">
        <w:tc>
          <w:tcPr>
            <w:tcW w:w="4219" w:type="dxa"/>
          </w:tcPr>
          <w:p w:rsidR="003E24B5" w:rsidRPr="008E5549" w:rsidRDefault="003E24B5" w:rsidP="008E5549">
            <w:pPr>
              <w:spacing w:before="60" w:after="120"/>
              <w:jc w:val="left"/>
              <w:rPr>
                <w:b/>
              </w:rPr>
            </w:pPr>
            <w:r w:rsidRPr="008E5549">
              <w:rPr>
                <w:b/>
              </w:rPr>
              <w:t>Average cost per year (over 3 year cycle)</w:t>
            </w:r>
          </w:p>
        </w:tc>
        <w:tc>
          <w:tcPr>
            <w:tcW w:w="1985" w:type="dxa"/>
          </w:tcPr>
          <w:p w:rsidR="003E24B5" w:rsidRPr="008E5549" w:rsidRDefault="003E24B5" w:rsidP="008E5549">
            <w:pPr>
              <w:spacing w:before="60" w:after="120"/>
              <w:jc w:val="center"/>
              <w:rPr>
                <w:b/>
              </w:rPr>
            </w:pPr>
            <w:r w:rsidRPr="008E5549">
              <w:rPr>
                <w:b/>
              </w:rPr>
              <w:t>$16,000 - $18,000</w:t>
            </w:r>
          </w:p>
        </w:tc>
        <w:tc>
          <w:tcPr>
            <w:tcW w:w="3118" w:type="dxa"/>
          </w:tcPr>
          <w:p w:rsidR="003E24B5" w:rsidRPr="008E5549" w:rsidRDefault="003E24B5" w:rsidP="008E5549">
            <w:pPr>
              <w:spacing w:before="60" w:after="120"/>
              <w:jc w:val="left"/>
              <w:rPr>
                <w:rFonts w:cs="Arial"/>
                <w:b/>
                <w:szCs w:val="20"/>
              </w:rPr>
            </w:pPr>
            <w:r w:rsidRPr="008E5549">
              <w:rPr>
                <w:rFonts w:cs="Arial"/>
                <w:b/>
                <w:szCs w:val="20"/>
              </w:rPr>
              <w:t>$25-31K year 1, $12K year 2, $12K year 3</w:t>
            </w:r>
          </w:p>
        </w:tc>
      </w:tr>
    </w:tbl>
    <w:p w:rsidR="00C07C33" w:rsidRDefault="00C07C33" w:rsidP="00387C5D">
      <w:pPr>
        <w:spacing w:before="240"/>
      </w:pPr>
      <w:r>
        <w:t xml:space="preserve">A closer inspection of both the DIIS General Requirements and those specific to collection locations suggests that compliance with the DIIS is largely an exercise in meeting existing legal obligations.  Aspects such as risk management, legal compliance, emergency response, environmental management, data security and waste </w:t>
      </w:r>
      <w:r w:rsidR="006E2453">
        <w:t>transport/</w:t>
      </w:r>
      <w:r>
        <w:t xml:space="preserve">disposal are </w:t>
      </w:r>
      <w:r w:rsidR="006E2453">
        <w:t xml:space="preserve">already </w:t>
      </w:r>
      <w:r>
        <w:t>required to be addressed under State and Territory OH&amp;S</w:t>
      </w:r>
      <w:r w:rsidR="006E2453">
        <w:t xml:space="preserve">, </w:t>
      </w:r>
      <w:r>
        <w:t>environment</w:t>
      </w:r>
      <w:r w:rsidR="006E2453">
        <w:t>, privacy, waste transport and dangerous goods</w:t>
      </w:r>
      <w:r>
        <w:t xml:space="preserve"> laws.</w:t>
      </w:r>
    </w:p>
    <w:p w:rsidR="006E2453" w:rsidRDefault="006E2453" w:rsidP="00387C5D">
      <w:pPr>
        <w:spacing w:before="240"/>
      </w:pPr>
      <w:r>
        <w:t xml:space="preserve">Some record keeping systems would have to be in place to allow compliance with the laws </w:t>
      </w:r>
      <w:r w:rsidR="00A23085">
        <w:t>above;</w:t>
      </w:r>
      <w:r>
        <w:t xml:space="preserve"> however it is reasonable to assume </w:t>
      </w:r>
      <w:r w:rsidR="00A23085">
        <w:t xml:space="preserve">a cost for </w:t>
      </w:r>
      <w:r>
        <w:t>further development of such systems to meet the DIIS’s evidence of compliance obligation.</w:t>
      </w:r>
    </w:p>
    <w:p w:rsidR="00387C5D" w:rsidRDefault="006E2453" w:rsidP="00387C5D">
      <w:pPr>
        <w:spacing w:before="240"/>
      </w:pPr>
      <w:r>
        <w:t>Stripping away these ‘business as usual’ costs listed above, existing collection locations would face a much lower cost of compliance with the DIIS</w:t>
      </w:r>
      <w:r w:rsidR="00A23085">
        <w:t xml:space="preserve"> than new entrants</w:t>
      </w:r>
      <w:r>
        <w:t>.</w:t>
      </w:r>
      <w:r w:rsidR="00387C5D">
        <w:t xml:space="preserve"> For these companies, annual costs would shrink to $</w:t>
      </w:r>
      <w:r w:rsidR="00A23085">
        <w:t>9,500-$</w:t>
      </w:r>
      <w:r w:rsidR="00387C5D">
        <w:t>1</w:t>
      </w:r>
      <w:r w:rsidR="00A23085">
        <w:t>2,5</w:t>
      </w:r>
      <w:r w:rsidR="00387C5D">
        <w:t xml:space="preserve">00 </w:t>
      </w:r>
      <w:r w:rsidR="00A23085">
        <w:t>for year one and just $5,200-$6,200 per annum averaged over the first 3 years (see Table 2)</w:t>
      </w:r>
      <w:r w:rsidR="00387C5D">
        <w:t>.</w:t>
      </w:r>
    </w:p>
    <w:p w:rsidR="00E22B4B" w:rsidRPr="00AF394B" w:rsidRDefault="00E22B4B" w:rsidP="00E22B4B">
      <w:pPr>
        <w:pStyle w:val="Caption"/>
        <w:keepNext/>
      </w:pPr>
      <w:bookmarkStart w:id="82" w:name="_Toc287018304"/>
      <w:r>
        <w:t xml:space="preserve">Table </w:t>
      </w:r>
      <w:fldSimple w:instr=" SEQ Table \* ARABIC ">
        <w:r w:rsidR="00235045">
          <w:rPr>
            <w:noProof/>
          </w:rPr>
          <w:t>2</w:t>
        </w:r>
      </w:fldSimple>
      <w:r>
        <w:t xml:space="preserve">:  </w:t>
      </w:r>
      <w:r w:rsidRPr="00AF394B">
        <w:t>Cost of implementation of DIIS for collection locations</w:t>
      </w:r>
      <w:r>
        <w:t xml:space="preserve"> (existing)</w:t>
      </w:r>
      <w:bookmarkEnd w:id="82"/>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19"/>
        <w:gridCol w:w="1985"/>
        <w:gridCol w:w="3118"/>
      </w:tblGrid>
      <w:tr w:rsidR="00E22B4B" w:rsidRPr="004F72F0" w:rsidTr="00E22B4B">
        <w:tc>
          <w:tcPr>
            <w:tcW w:w="4219" w:type="dxa"/>
            <w:shd w:val="clear" w:color="auto" w:fill="BFBFBF"/>
            <w:vAlign w:val="center"/>
          </w:tcPr>
          <w:p w:rsidR="00E22B4B" w:rsidRPr="008E5549" w:rsidRDefault="00E22B4B" w:rsidP="00E22B4B">
            <w:pPr>
              <w:jc w:val="center"/>
              <w:rPr>
                <w:b/>
              </w:rPr>
            </w:pPr>
            <w:r w:rsidRPr="008E5549">
              <w:rPr>
                <w:b/>
              </w:rPr>
              <w:t>DIIS implementation requirement</w:t>
            </w:r>
          </w:p>
        </w:tc>
        <w:tc>
          <w:tcPr>
            <w:tcW w:w="1985" w:type="dxa"/>
            <w:shd w:val="clear" w:color="auto" w:fill="BFBFBF"/>
            <w:vAlign w:val="center"/>
          </w:tcPr>
          <w:p w:rsidR="00E22B4B" w:rsidRPr="008E5549" w:rsidRDefault="00E22B4B" w:rsidP="00E22B4B">
            <w:pPr>
              <w:jc w:val="center"/>
              <w:rPr>
                <w:b/>
              </w:rPr>
            </w:pPr>
            <w:r w:rsidRPr="008E5549">
              <w:rPr>
                <w:b/>
              </w:rPr>
              <w:t>Estimated cost ($) per site</w:t>
            </w:r>
          </w:p>
        </w:tc>
        <w:tc>
          <w:tcPr>
            <w:tcW w:w="3118" w:type="dxa"/>
            <w:shd w:val="clear" w:color="auto" w:fill="BFBFBF"/>
            <w:vAlign w:val="center"/>
          </w:tcPr>
          <w:p w:rsidR="00E22B4B" w:rsidRPr="008E5549" w:rsidRDefault="00E22B4B" w:rsidP="00E22B4B">
            <w:pPr>
              <w:jc w:val="center"/>
              <w:rPr>
                <w:b/>
              </w:rPr>
            </w:pPr>
            <w:r w:rsidRPr="008E5549">
              <w:rPr>
                <w:b/>
              </w:rPr>
              <w:t>Type of Cost</w:t>
            </w:r>
          </w:p>
        </w:tc>
      </w:tr>
      <w:tr w:rsidR="00E22B4B" w:rsidRPr="00C07C33" w:rsidTr="00E22B4B">
        <w:tc>
          <w:tcPr>
            <w:tcW w:w="4219" w:type="dxa"/>
          </w:tcPr>
          <w:p w:rsidR="00E22B4B" w:rsidRPr="00C07C33" w:rsidRDefault="00E22B4B" w:rsidP="00E22B4B">
            <w:pPr>
              <w:spacing w:before="60" w:after="120"/>
              <w:jc w:val="left"/>
            </w:pPr>
            <w:r w:rsidRPr="00C07C33">
              <w:t>Periodic random audits</w:t>
            </w:r>
          </w:p>
        </w:tc>
        <w:tc>
          <w:tcPr>
            <w:tcW w:w="1985" w:type="dxa"/>
          </w:tcPr>
          <w:p w:rsidR="00E22B4B" w:rsidRPr="00C07C33" w:rsidRDefault="00E22B4B" w:rsidP="00E22B4B">
            <w:pPr>
              <w:spacing w:before="60" w:after="120"/>
              <w:jc w:val="center"/>
            </w:pPr>
            <w:r w:rsidRPr="00C07C33">
              <w:t>$2,000 - $5,000</w:t>
            </w:r>
          </w:p>
        </w:tc>
        <w:tc>
          <w:tcPr>
            <w:tcW w:w="3118" w:type="dxa"/>
          </w:tcPr>
          <w:p w:rsidR="00E22B4B" w:rsidRPr="00C07C33" w:rsidRDefault="00E22B4B" w:rsidP="00E22B4B">
            <w:pPr>
              <w:spacing w:before="60" w:after="120"/>
              <w:jc w:val="left"/>
              <w:rPr>
                <w:rFonts w:cs="Arial"/>
                <w:szCs w:val="20"/>
              </w:rPr>
            </w:pPr>
            <w:r w:rsidRPr="00C07C33">
              <w:rPr>
                <w:rFonts w:cs="Arial"/>
                <w:szCs w:val="20"/>
              </w:rPr>
              <w:t>Operational – assumed every 3 years</w:t>
            </w:r>
          </w:p>
        </w:tc>
      </w:tr>
      <w:tr w:rsidR="00E22B4B" w:rsidRPr="00C07C33" w:rsidTr="00E22B4B">
        <w:tc>
          <w:tcPr>
            <w:tcW w:w="4219" w:type="dxa"/>
          </w:tcPr>
          <w:p w:rsidR="00E22B4B" w:rsidRPr="00C07C33" w:rsidRDefault="00E22B4B" w:rsidP="00E22B4B">
            <w:pPr>
              <w:spacing w:before="60" w:after="120"/>
            </w:pPr>
            <w:r w:rsidRPr="00C07C33">
              <w:t>Reporting to PSO</w:t>
            </w:r>
          </w:p>
        </w:tc>
        <w:tc>
          <w:tcPr>
            <w:tcW w:w="1985" w:type="dxa"/>
          </w:tcPr>
          <w:p w:rsidR="00E22B4B" w:rsidRPr="00C07C33" w:rsidRDefault="00E22B4B" w:rsidP="00E22B4B">
            <w:pPr>
              <w:spacing w:before="60" w:after="120"/>
              <w:jc w:val="center"/>
            </w:pPr>
            <w:r w:rsidRPr="00C07C33">
              <w:t>$3,000</w:t>
            </w:r>
          </w:p>
        </w:tc>
        <w:tc>
          <w:tcPr>
            <w:tcW w:w="3118" w:type="dxa"/>
          </w:tcPr>
          <w:p w:rsidR="00E22B4B" w:rsidRPr="00C07C33" w:rsidRDefault="00E22B4B" w:rsidP="00E22B4B">
            <w:pPr>
              <w:spacing w:before="60" w:after="120"/>
              <w:jc w:val="left"/>
              <w:rPr>
                <w:rFonts w:cs="Arial"/>
                <w:szCs w:val="20"/>
              </w:rPr>
            </w:pPr>
            <w:r w:rsidRPr="00C07C33">
              <w:rPr>
                <w:rFonts w:cs="Arial"/>
                <w:szCs w:val="20"/>
              </w:rPr>
              <w:t>Operational – assumed annual</w:t>
            </w:r>
          </w:p>
        </w:tc>
      </w:tr>
      <w:tr w:rsidR="00E22B4B" w:rsidTr="00E22B4B">
        <w:tc>
          <w:tcPr>
            <w:tcW w:w="4219" w:type="dxa"/>
          </w:tcPr>
          <w:p w:rsidR="00E22B4B" w:rsidRPr="00C07C33" w:rsidRDefault="00E22B4B" w:rsidP="00E22B4B">
            <w:pPr>
              <w:spacing w:before="60" w:after="120"/>
              <w:jc w:val="left"/>
            </w:pPr>
            <w:r w:rsidRPr="00C07C33">
              <w:t>Establishment of data collection and record keeping  systems</w:t>
            </w:r>
          </w:p>
        </w:tc>
        <w:tc>
          <w:tcPr>
            <w:tcW w:w="1985" w:type="dxa"/>
          </w:tcPr>
          <w:p w:rsidR="00E22B4B" w:rsidRPr="00C07C33" w:rsidRDefault="00E22B4B" w:rsidP="006E2453">
            <w:pPr>
              <w:spacing w:before="60" w:after="120"/>
              <w:jc w:val="center"/>
            </w:pPr>
            <w:r w:rsidRPr="00C07C33">
              <w:t>$</w:t>
            </w:r>
            <w:r w:rsidR="006E2453">
              <w:t>4,500</w:t>
            </w:r>
          </w:p>
        </w:tc>
        <w:tc>
          <w:tcPr>
            <w:tcW w:w="3118" w:type="dxa"/>
          </w:tcPr>
          <w:p w:rsidR="00E22B4B" w:rsidRPr="008E5549" w:rsidRDefault="00E22B4B" w:rsidP="006E2453">
            <w:pPr>
              <w:spacing w:before="60" w:after="120"/>
              <w:jc w:val="left"/>
              <w:rPr>
                <w:rFonts w:cs="Arial"/>
                <w:szCs w:val="20"/>
              </w:rPr>
            </w:pPr>
            <w:r w:rsidRPr="00C07C33">
              <w:rPr>
                <w:rFonts w:cs="Arial"/>
                <w:szCs w:val="20"/>
              </w:rPr>
              <w:t>Establishment – first year only</w:t>
            </w:r>
            <w:r w:rsidR="006E2453">
              <w:rPr>
                <w:rFonts w:cs="Arial"/>
                <w:szCs w:val="20"/>
              </w:rPr>
              <w:t xml:space="preserve"> (assumed existing systems would be upgraded costing 50% </w:t>
            </w:r>
            <w:r w:rsidR="006E2453">
              <w:rPr>
                <w:rFonts w:cs="Arial"/>
                <w:szCs w:val="20"/>
              </w:rPr>
              <w:lastRenderedPageBreak/>
              <w:t xml:space="preserve">of new system establishment </w:t>
            </w:r>
          </w:p>
        </w:tc>
      </w:tr>
      <w:tr w:rsidR="00E22B4B" w:rsidRPr="00BF78A1" w:rsidTr="00E22B4B">
        <w:tc>
          <w:tcPr>
            <w:tcW w:w="4219" w:type="dxa"/>
          </w:tcPr>
          <w:p w:rsidR="00E22B4B" w:rsidRPr="008E5549" w:rsidRDefault="00E22B4B" w:rsidP="00E22B4B">
            <w:pPr>
              <w:spacing w:before="60" w:after="120"/>
              <w:rPr>
                <w:b/>
              </w:rPr>
            </w:pPr>
            <w:r w:rsidRPr="008E5549">
              <w:rPr>
                <w:b/>
              </w:rPr>
              <w:lastRenderedPageBreak/>
              <w:t>Total (1</w:t>
            </w:r>
            <w:r w:rsidRPr="008E5549">
              <w:rPr>
                <w:b/>
                <w:vertAlign w:val="superscript"/>
              </w:rPr>
              <w:t>st</w:t>
            </w:r>
            <w:r w:rsidRPr="008E5549">
              <w:rPr>
                <w:b/>
              </w:rPr>
              <w:t xml:space="preserve"> year)</w:t>
            </w:r>
          </w:p>
        </w:tc>
        <w:tc>
          <w:tcPr>
            <w:tcW w:w="1985" w:type="dxa"/>
          </w:tcPr>
          <w:p w:rsidR="00E22B4B" w:rsidRPr="008E5549" w:rsidRDefault="00E22B4B" w:rsidP="006E2453">
            <w:pPr>
              <w:spacing w:before="60" w:after="120"/>
              <w:jc w:val="center"/>
              <w:rPr>
                <w:b/>
              </w:rPr>
            </w:pPr>
            <w:r w:rsidRPr="008E5549">
              <w:rPr>
                <w:b/>
              </w:rPr>
              <w:t>$</w:t>
            </w:r>
            <w:r w:rsidR="006E2453">
              <w:rPr>
                <w:b/>
              </w:rPr>
              <w:t>9,</w:t>
            </w:r>
            <w:r w:rsidRPr="008E5549">
              <w:rPr>
                <w:b/>
              </w:rPr>
              <w:t>5</w:t>
            </w:r>
            <w:r w:rsidR="006E2453">
              <w:rPr>
                <w:b/>
              </w:rPr>
              <w:t>00 - $12,5</w:t>
            </w:r>
            <w:r w:rsidRPr="008E5549">
              <w:rPr>
                <w:b/>
              </w:rPr>
              <w:t>00</w:t>
            </w:r>
          </w:p>
        </w:tc>
        <w:tc>
          <w:tcPr>
            <w:tcW w:w="3118" w:type="dxa"/>
          </w:tcPr>
          <w:p w:rsidR="00E22B4B" w:rsidRPr="008E5549" w:rsidRDefault="00E22B4B" w:rsidP="00E22B4B">
            <w:pPr>
              <w:spacing w:before="60" w:after="120"/>
              <w:jc w:val="left"/>
              <w:rPr>
                <w:rFonts w:cs="Arial"/>
                <w:b/>
                <w:szCs w:val="20"/>
              </w:rPr>
            </w:pPr>
          </w:p>
        </w:tc>
      </w:tr>
      <w:tr w:rsidR="00E22B4B" w:rsidRPr="00BF78A1" w:rsidTr="00E22B4B">
        <w:tc>
          <w:tcPr>
            <w:tcW w:w="4219" w:type="dxa"/>
          </w:tcPr>
          <w:p w:rsidR="00E22B4B" w:rsidRPr="008E5549" w:rsidRDefault="00E22B4B" w:rsidP="00E22B4B">
            <w:pPr>
              <w:spacing w:before="60" w:after="120"/>
              <w:jc w:val="left"/>
              <w:rPr>
                <w:b/>
              </w:rPr>
            </w:pPr>
            <w:r w:rsidRPr="008E5549">
              <w:rPr>
                <w:b/>
              </w:rPr>
              <w:t>Average cost per year (over 3 year cycle)</w:t>
            </w:r>
          </w:p>
        </w:tc>
        <w:tc>
          <w:tcPr>
            <w:tcW w:w="1985" w:type="dxa"/>
          </w:tcPr>
          <w:p w:rsidR="00E22B4B" w:rsidRPr="008E5549" w:rsidRDefault="00A23085" w:rsidP="00A23085">
            <w:pPr>
              <w:spacing w:before="60" w:after="120"/>
              <w:jc w:val="center"/>
              <w:rPr>
                <w:b/>
              </w:rPr>
            </w:pPr>
            <w:r>
              <w:rPr>
                <w:b/>
              </w:rPr>
              <w:t>$5</w:t>
            </w:r>
            <w:r w:rsidR="00E22B4B" w:rsidRPr="008E5549">
              <w:rPr>
                <w:b/>
              </w:rPr>
              <w:t>,</w:t>
            </w:r>
            <w:r>
              <w:rPr>
                <w:b/>
              </w:rPr>
              <w:t>200 - $6,2</w:t>
            </w:r>
            <w:r w:rsidR="00E22B4B" w:rsidRPr="008E5549">
              <w:rPr>
                <w:b/>
              </w:rPr>
              <w:t>00</w:t>
            </w:r>
          </w:p>
        </w:tc>
        <w:tc>
          <w:tcPr>
            <w:tcW w:w="3118" w:type="dxa"/>
          </w:tcPr>
          <w:p w:rsidR="00E22B4B" w:rsidRPr="008E5549" w:rsidRDefault="00E22B4B" w:rsidP="006E2453">
            <w:pPr>
              <w:spacing w:before="60" w:after="120"/>
              <w:jc w:val="left"/>
              <w:rPr>
                <w:rFonts w:cs="Arial"/>
                <w:b/>
                <w:szCs w:val="20"/>
              </w:rPr>
            </w:pPr>
            <w:r w:rsidRPr="008E5549">
              <w:rPr>
                <w:rFonts w:cs="Arial"/>
                <w:b/>
                <w:szCs w:val="20"/>
              </w:rPr>
              <w:t>$</w:t>
            </w:r>
            <w:r w:rsidR="006E2453">
              <w:rPr>
                <w:rFonts w:cs="Arial"/>
                <w:b/>
                <w:szCs w:val="20"/>
              </w:rPr>
              <w:t>9.5</w:t>
            </w:r>
            <w:r w:rsidRPr="008E5549">
              <w:rPr>
                <w:rFonts w:cs="Arial"/>
                <w:b/>
                <w:szCs w:val="20"/>
              </w:rPr>
              <w:t>-</w:t>
            </w:r>
            <w:r w:rsidR="006E2453">
              <w:rPr>
                <w:rFonts w:cs="Arial"/>
                <w:b/>
                <w:szCs w:val="20"/>
              </w:rPr>
              <w:t>12.5</w:t>
            </w:r>
            <w:r w:rsidR="00A23085">
              <w:rPr>
                <w:rFonts w:cs="Arial"/>
                <w:b/>
                <w:szCs w:val="20"/>
              </w:rPr>
              <w:t>K year 1, $3K year 2, $3</w:t>
            </w:r>
            <w:r w:rsidRPr="008E5549">
              <w:rPr>
                <w:rFonts w:cs="Arial"/>
                <w:b/>
                <w:szCs w:val="20"/>
              </w:rPr>
              <w:t>K year 3</w:t>
            </w:r>
          </w:p>
        </w:tc>
      </w:tr>
    </w:tbl>
    <w:p w:rsidR="00DC371A" w:rsidRDefault="00B82EE6" w:rsidP="00B82EE6">
      <w:pPr>
        <w:spacing w:before="240"/>
      </w:pPr>
      <w:r>
        <w:t>Another more obvious consideration when examining the costs for existing collection locations is</w:t>
      </w:r>
      <w:r w:rsidR="0017611D">
        <w:t xml:space="preserve"> this: </w:t>
      </w:r>
      <w:r>
        <w:t xml:space="preserve">in cases where Councils currently offer e-waste collection for their </w:t>
      </w:r>
      <w:r w:rsidR="0017611D">
        <w:t xml:space="preserve">residents these services are costs that are being borne by such Councils.  </w:t>
      </w:r>
      <w:r w:rsidR="00DC371A">
        <w:t xml:space="preserve">For example, one NSW Council member of the North East Waste Forum has allocated </w:t>
      </w:r>
      <w:r w:rsidR="00DC371A" w:rsidRPr="00DC371A">
        <w:t>$105,000 in 2010/11 to provide this service</w:t>
      </w:r>
      <w:r w:rsidR="00DC371A">
        <w:t>.</w:t>
      </w:r>
    </w:p>
    <w:p w:rsidR="00B82EE6" w:rsidRDefault="0017611D" w:rsidP="00B82EE6">
      <w:pPr>
        <w:spacing w:before="240"/>
      </w:pPr>
      <w:r>
        <w:t xml:space="preserve">The whole purpose of the product stewardship intervention is that collection/ recycling of these wastes is not cost-effective on its own.  While not directly related to the introduction of the DIIS, the fact that such operators stand to save significant money from the introduction of the scheme, through </w:t>
      </w:r>
      <w:r w:rsidR="00DC371A">
        <w:t>cost subsidy by producers, cannot be overlooked when assessing impacts to collection locations.</w:t>
      </w:r>
    </w:p>
    <w:p w:rsidR="003E24B5" w:rsidRDefault="003E24B5" w:rsidP="00162446">
      <w:pPr>
        <w:pStyle w:val="KMHNumberheading20"/>
        <w:numPr>
          <w:ilvl w:val="1"/>
          <w:numId w:val="56"/>
        </w:numPr>
      </w:pPr>
      <w:bookmarkStart w:id="83" w:name="_Toc287018244"/>
      <w:r>
        <w:t>Transportation costs</w:t>
      </w:r>
      <w:bookmarkEnd w:id="83"/>
    </w:p>
    <w:p w:rsidR="003E24B5" w:rsidRDefault="003E24B5" w:rsidP="00FC39CB">
      <w:r w:rsidRPr="007C099D">
        <w:t xml:space="preserve">The </w:t>
      </w:r>
      <w:r>
        <w:t xml:space="preserve">DIIS does not require ISO 14001 certification of transport companies. However, skeleton elements of an EMS, or a similar simple set of systems and procedures, would be required to ensure compliance with the DIIS. Establishing and maintaining compliance to such a system is described and costed in Table </w:t>
      </w:r>
      <w:r w:rsidR="001B1FBF">
        <w:t>3</w:t>
      </w:r>
      <w:r>
        <w:t xml:space="preserve"> below, </w:t>
      </w:r>
      <w:r w:rsidR="00A23085">
        <w:t xml:space="preserve">for facilities not yet established, </w:t>
      </w:r>
      <w:r>
        <w:t>noting the applicable assumptions from section 2.3.2.</w:t>
      </w:r>
    </w:p>
    <w:p w:rsidR="00A23085" w:rsidRDefault="003E24B5" w:rsidP="00FC39CB">
      <w:r>
        <w:t xml:space="preserve">It is noted that the DIIS as it stands has no mechanism for ensuring transporter compliance, so external audit costs have not been included. </w:t>
      </w:r>
      <w:r w:rsidR="00A23085">
        <w:t>Another important difference (to collection locations) is that the transporter estimates below are based on a company rather than a site.</w:t>
      </w:r>
    </w:p>
    <w:p w:rsidR="003E24B5" w:rsidRPr="00AF394B" w:rsidRDefault="003E24B5" w:rsidP="00456097">
      <w:pPr>
        <w:pStyle w:val="Caption"/>
        <w:keepNext/>
      </w:pPr>
      <w:bookmarkStart w:id="84" w:name="_Toc287018305"/>
      <w:r>
        <w:t xml:space="preserve">Table </w:t>
      </w:r>
      <w:fldSimple w:instr=" SEQ Table \* ARABIC ">
        <w:r w:rsidR="00235045">
          <w:rPr>
            <w:noProof/>
          </w:rPr>
          <w:t>3</w:t>
        </w:r>
      </w:fldSimple>
      <w:r>
        <w:t xml:space="preserve">:  </w:t>
      </w:r>
      <w:r w:rsidRPr="00AF394B">
        <w:t xml:space="preserve">Cost of implementation of DIIS for transporters </w:t>
      </w:r>
      <w:r w:rsidR="001B1FBF">
        <w:t xml:space="preserve">(new) </w:t>
      </w:r>
      <w:r w:rsidRPr="00AF394B">
        <w:t>per company</w:t>
      </w:r>
      <w:bookmarkEnd w:id="84"/>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19"/>
        <w:gridCol w:w="1985"/>
        <w:gridCol w:w="3118"/>
      </w:tblGrid>
      <w:tr w:rsidR="003E24B5" w:rsidRPr="004F72F0" w:rsidTr="008E5549">
        <w:tc>
          <w:tcPr>
            <w:tcW w:w="4219" w:type="dxa"/>
            <w:shd w:val="clear" w:color="auto" w:fill="BFBFBF"/>
            <w:vAlign w:val="center"/>
          </w:tcPr>
          <w:p w:rsidR="003E24B5" w:rsidRPr="008E5549" w:rsidRDefault="003E24B5" w:rsidP="008E5549">
            <w:pPr>
              <w:jc w:val="center"/>
              <w:rPr>
                <w:b/>
              </w:rPr>
            </w:pPr>
            <w:r w:rsidRPr="008E5549">
              <w:rPr>
                <w:b/>
              </w:rPr>
              <w:t>DIIS implementation requirement</w:t>
            </w:r>
          </w:p>
        </w:tc>
        <w:tc>
          <w:tcPr>
            <w:tcW w:w="1985" w:type="dxa"/>
            <w:shd w:val="clear" w:color="auto" w:fill="BFBFBF"/>
            <w:vAlign w:val="center"/>
          </w:tcPr>
          <w:p w:rsidR="003E24B5" w:rsidRPr="008E5549" w:rsidRDefault="003E24B5" w:rsidP="008E5549">
            <w:pPr>
              <w:jc w:val="center"/>
              <w:rPr>
                <w:b/>
              </w:rPr>
            </w:pPr>
            <w:r w:rsidRPr="008E5549">
              <w:rPr>
                <w:b/>
              </w:rPr>
              <w:t>Estimated cost ($) per entity</w:t>
            </w:r>
          </w:p>
        </w:tc>
        <w:tc>
          <w:tcPr>
            <w:tcW w:w="3118" w:type="dxa"/>
            <w:shd w:val="clear" w:color="auto" w:fill="BFBFBF"/>
            <w:vAlign w:val="center"/>
          </w:tcPr>
          <w:p w:rsidR="003E24B5" w:rsidRPr="008E5549" w:rsidRDefault="003E24B5" w:rsidP="008E5549">
            <w:pPr>
              <w:jc w:val="center"/>
              <w:rPr>
                <w:b/>
              </w:rPr>
            </w:pPr>
            <w:r w:rsidRPr="008E5549">
              <w:rPr>
                <w:b/>
              </w:rPr>
              <w:t>Type of Cost</w:t>
            </w:r>
          </w:p>
        </w:tc>
      </w:tr>
      <w:tr w:rsidR="003E24B5" w:rsidRPr="006E04FC" w:rsidTr="008E5549">
        <w:tc>
          <w:tcPr>
            <w:tcW w:w="4219" w:type="dxa"/>
          </w:tcPr>
          <w:p w:rsidR="003E24B5" w:rsidRPr="008E5549" w:rsidRDefault="003E24B5" w:rsidP="008E5549">
            <w:pPr>
              <w:spacing w:before="60" w:after="120"/>
              <w:jc w:val="left"/>
              <w:rPr>
                <w:rFonts w:cs="Arial"/>
                <w:szCs w:val="20"/>
              </w:rPr>
            </w:pPr>
            <w:r w:rsidRPr="008E5549">
              <w:rPr>
                <w:rFonts w:cs="Arial"/>
                <w:szCs w:val="20"/>
              </w:rPr>
              <w:t>System establishment to DIIS requirements</w:t>
            </w:r>
          </w:p>
        </w:tc>
        <w:tc>
          <w:tcPr>
            <w:tcW w:w="1985" w:type="dxa"/>
          </w:tcPr>
          <w:p w:rsidR="003E24B5" w:rsidRPr="008E5549" w:rsidRDefault="003E24B5" w:rsidP="008E5549">
            <w:pPr>
              <w:spacing w:before="60" w:after="120"/>
              <w:jc w:val="center"/>
              <w:rPr>
                <w:rFonts w:cs="Arial"/>
                <w:szCs w:val="20"/>
              </w:rPr>
            </w:pPr>
            <w:r w:rsidRPr="008E5549">
              <w:rPr>
                <w:rFonts w:cs="Arial"/>
                <w:szCs w:val="20"/>
              </w:rPr>
              <w:t>$2,000 - 5,000</w:t>
            </w:r>
          </w:p>
        </w:tc>
        <w:tc>
          <w:tcPr>
            <w:tcW w:w="3118" w:type="dxa"/>
          </w:tcPr>
          <w:p w:rsidR="003E24B5" w:rsidRPr="008E5549" w:rsidRDefault="003E24B5" w:rsidP="008E5549">
            <w:pPr>
              <w:spacing w:before="60" w:after="120"/>
              <w:jc w:val="left"/>
              <w:rPr>
                <w:rFonts w:cs="Arial"/>
                <w:szCs w:val="20"/>
              </w:rPr>
            </w:pPr>
            <w:r w:rsidRPr="008E5549">
              <w:rPr>
                <w:rFonts w:cs="Arial"/>
                <w:szCs w:val="20"/>
              </w:rPr>
              <w:t>Establishment – first year only</w:t>
            </w:r>
          </w:p>
        </w:tc>
      </w:tr>
      <w:tr w:rsidR="003E24B5" w:rsidTr="008E5549">
        <w:tc>
          <w:tcPr>
            <w:tcW w:w="4219" w:type="dxa"/>
          </w:tcPr>
          <w:p w:rsidR="003E24B5" w:rsidRDefault="003E24B5" w:rsidP="008E5549">
            <w:pPr>
              <w:spacing w:before="60" w:after="120"/>
            </w:pPr>
            <w:r w:rsidRPr="007C23D9">
              <w:t>Internal Audit</w:t>
            </w:r>
          </w:p>
        </w:tc>
        <w:tc>
          <w:tcPr>
            <w:tcW w:w="1985" w:type="dxa"/>
          </w:tcPr>
          <w:p w:rsidR="003E24B5" w:rsidRPr="008E5549" w:rsidRDefault="003E24B5" w:rsidP="008E5549">
            <w:pPr>
              <w:spacing w:before="60" w:after="120"/>
              <w:jc w:val="center"/>
              <w:rPr>
                <w:rFonts w:cs="Arial"/>
                <w:szCs w:val="20"/>
              </w:rPr>
            </w:pPr>
            <w:r w:rsidRPr="008E5549">
              <w:rPr>
                <w:rFonts w:cs="Arial"/>
                <w:szCs w:val="20"/>
              </w:rPr>
              <w:t>$1,000</w:t>
            </w:r>
          </w:p>
        </w:tc>
        <w:tc>
          <w:tcPr>
            <w:tcW w:w="3118" w:type="dxa"/>
          </w:tcPr>
          <w:p w:rsidR="003E24B5" w:rsidRPr="008E5549" w:rsidRDefault="003E24B5" w:rsidP="008E5549">
            <w:pPr>
              <w:spacing w:before="60" w:after="120"/>
              <w:jc w:val="left"/>
              <w:rPr>
                <w:rFonts w:cs="Arial"/>
                <w:szCs w:val="20"/>
              </w:rPr>
            </w:pPr>
            <w:r w:rsidRPr="008E5549">
              <w:rPr>
                <w:rFonts w:cs="Arial"/>
                <w:szCs w:val="20"/>
              </w:rPr>
              <w:t>Operational – ongoing, assume annual</w:t>
            </w:r>
          </w:p>
        </w:tc>
      </w:tr>
      <w:tr w:rsidR="003E24B5" w:rsidRPr="0044602F" w:rsidTr="008E5549">
        <w:tc>
          <w:tcPr>
            <w:tcW w:w="4219" w:type="dxa"/>
          </w:tcPr>
          <w:p w:rsidR="003E24B5" w:rsidRPr="00C83A90" w:rsidRDefault="003E24B5" w:rsidP="008E5549">
            <w:pPr>
              <w:spacing w:before="60" w:after="120"/>
              <w:jc w:val="left"/>
            </w:pPr>
            <w:r w:rsidRPr="00C83A90">
              <w:t>Making the system work (refresher training, maintenance, integration into business processes)</w:t>
            </w:r>
          </w:p>
        </w:tc>
        <w:tc>
          <w:tcPr>
            <w:tcW w:w="1985" w:type="dxa"/>
          </w:tcPr>
          <w:p w:rsidR="003E24B5" w:rsidRPr="00C83A90" w:rsidRDefault="003E24B5" w:rsidP="008E5549">
            <w:pPr>
              <w:spacing w:before="60" w:after="120"/>
              <w:jc w:val="center"/>
            </w:pPr>
            <w:r w:rsidRPr="00C83A90">
              <w:t>$</w:t>
            </w:r>
            <w:r>
              <w:t>4,0</w:t>
            </w:r>
            <w:r w:rsidRPr="00C83A90">
              <w:t>00</w:t>
            </w:r>
          </w:p>
        </w:tc>
        <w:tc>
          <w:tcPr>
            <w:tcW w:w="3118" w:type="dxa"/>
          </w:tcPr>
          <w:p w:rsidR="003E24B5" w:rsidRPr="008E5549" w:rsidRDefault="003E24B5" w:rsidP="008E5549">
            <w:pPr>
              <w:spacing w:before="60" w:after="120"/>
              <w:jc w:val="left"/>
              <w:rPr>
                <w:rFonts w:cs="Arial"/>
                <w:szCs w:val="20"/>
              </w:rPr>
            </w:pPr>
            <w:r w:rsidRPr="008E5549">
              <w:rPr>
                <w:rFonts w:cs="Arial"/>
                <w:szCs w:val="20"/>
              </w:rPr>
              <w:t>Operational - annual</w:t>
            </w:r>
          </w:p>
        </w:tc>
      </w:tr>
      <w:tr w:rsidR="003E24B5" w:rsidRPr="00BF78A1" w:rsidTr="008E5549">
        <w:tc>
          <w:tcPr>
            <w:tcW w:w="4219" w:type="dxa"/>
          </w:tcPr>
          <w:p w:rsidR="003E24B5" w:rsidRPr="008E5549" w:rsidRDefault="003E24B5" w:rsidP="008E5549">
            <w:pPr>
              <w:spacing w:before="60" w:after="120"/>
              <w:rPr>
                <w:b/>
              </w:rPr>
            </w:pPr>
            <w:r w:rsidRPr="008E5549">
              <w:rPr>
                <w:b/>
              </w:rPr>
              <w:t>Total (1</w:t>
            </w:r>
            <w:r w:rsidRPr="008E5549">
              <w:rPr>
                <w:b/>
                <w:vertAlign w:val="superscript"/>
              </w:rPr>
              <w:t>st</w:t>
            </w:r>
            <w:r w:rsidRPr="008E5549">
              <w:rPr>
                <w:b/>
              </w:rPr>
              <w:t xml:space="preserve"> year)</w:t>
            </w:r>
          </w:p>
        </w:tc>
        <w:tc>
          <w:tcPr>
            <w:tcW w:w="1985" w:type="dxa"/>
          </w:tcPr>
          <w:p w:rsidR="003E24B5" w:rsidRPr="008E5549" w:rsidRDefault="001B1FBF" w:rsidP="001B1FBF">
            <w:pPr>
              <w:spacing w:before="60" w:after="120"/>
              <w:jc w:val="center"/>
              <w:rPr>
                <w:b/>
              </w:rPr>
            </w:pPr>
            <w:r>
              <w:rPr>
                <w:b/>
              </w:rPr>
              <w:t>$7</w:t>
            </w:r>
            <w:r w:rsidR="003E24B5" w:rsidRPr="008E5549">
              <w:rPr>
                <w:b/>
              </w:rPr>
              <w:t>,000 - $1</w:t>
            </w:r>
            <w:r>
              <w:rPr>
                <w:b/>
              </w:rPr>
              <w:t>0</w:t>
            </w:r>
            <w:r w:rsidR="003E24B5" w:rsidRPr="008E5549">
              <w:rPr>
                <w:b/>
              </w:rPr>
              <w:t>,000</w:t>
            </w:r>
          </w:p>
        </w:tc>
        <w:tc>
          <w:tcPr>
            <w:tcW w:w="3118" w:type="dxa"/>
          </w:tcPr>
          <w:p w:rsidR="003E24B5" w:rsidRPr="008E5549" w:rsidRDefault="003E24B5" w:rsidP="008E5549">
            <w:pPr>
              <w:spacing w:before="60" w:after="120"/>
              <w:jc w:val="left"/>
              <w:rPr>
                <w:rFonts w:cs="Arial"/>
                <w:b/>
                <w:szCs w:val="20"/>
              </w:rPr>
            </w:pPr>
          </w:p>
        </w:tc>
      </w:tr>
      <w:tr w:rsidR="003E24B5" w:rsidRPr="00BF78A1" w:rsidTr="008E5549">
        <w:tc>
          <w:tcPr>
            <w:tcW w:w="4219" w:type="dxa"/>
          </w:tcPr>
          <w:p w:rsidR="003E24B5" w:rsidRPr="008E5549" w:rsidRDefault="003E24B5" w:rsidP="008E5549">
            <w:pPr>
              <w:spacing w:before="60" w:after="120"/>
              <w:jc w:val="left"/>
              <w:rPr>
                <w:b/>
              </w:rPr>
            </w:pPr>
            <w:r w:rsidRPr="008E5549">
              <w:rPr>
                <w:b/>
              </w:rPr>
              <w:t>Average cost per year (over 3 year cycle)</w:t>
            </w:r>
          </w:p>
        </w:tc>
        <w:tc>
          <w:tcPr>
            <w:tcW w:w="1985" w:type="dxa"/>
          </w:tcPr>
          <w:p w:rsidR="003E24B5" w:rsidRPr="008E5549" w:rsidRDefault="003E24B5" w:rsidP="008E5549">
            <w:pPr>
              <w:spacing w:before="60" w:after="120"/>
              <w:jc w:val="center"/>
              <w:rPr>
                <w:b/>
              </w:rPr>
            </w:pPr>
            <w:r w:rsidRPr="008E5549">
              <w:rPr>
                <w:b/>
              </w:rPr>
              <w:t>$5,700 - $6,700</w:t>
            </w:r>
          </w:p>
        </w:tc>
        <w:tc>
          <w:tcPr>
            <w:tcW w:w="3118" w:type="dxa"/>
          </w:tcPr>
          <w:p w:rsidR="003E24B5" w:rsidRPr="008E5549" w:rsidRDefault="003E24B5" w:rsidP="008E5549">
            <w:pPr>
              <w:spacing w:before="60" w:after="120"/>
              <w:jc w:val="left"/>
              <w:rPr>
                <w:rFonts w:cs="Arial"/>
                <w:b/>
                <w:szCs w:val="20"/>
              </w:rPr>
            </w:pPr>
            <w:r w:rsidRPr="008E5549">
              <w:rPr>
                <w:rFonts w:cs="Arial"/>
                <w:b/>
                <w:szCs w:val="20"/>
              </w:rPr>
              <w:t>$7 – 10K year 1, $5K year 2, $5K year 3</w:t>
            </w:r>
          </w:p>
        </w:tc>
      </w:tr>
    </w:tbl>
    <w:p w:rsidR="001B1FBF" w:rsidRDefault="00A23085" w:rsidP="001B1FBF">
      <w:pPr>
        <w:spacing w:before="240"/>
      </w:pPr>
      <w:r>
        <w:t xml:space="preserve">Also, similar to the discussion for collection facilities in 4.1, the DIIS’s general and specific requirements to transporters are </w:t>
      </w:r>
      <w:r w:rsidR="001B1FBF">
        <w:t>all</w:t>
      </w:r>
      <w:r>
        <w:t xml:space="preserve"> legal requirements that would be expected to be accounted for in day to day business</w:t>
      </w:r>
      <w:r w:rsidR="001B1FBF">
        <w:t>, particularly as the DIIS currently does not require transporters to undertake reporting to the PSO, nor does it prescribe transporters to be audited for compliance</w:t>
      </w:r>
      <w:r>
        <w:t>.</w:t>
      </w:r>
      <w:r w:rsidR="001B1FBF">
        <w:t xml:space="preserve">  </w:t>
      </w:r>
    </w:p>
    <w:p w:rsidR="001B1FBF" w:rsidRDefault="001B1FBF" w:rsidP="001B1FBF">
      <w:pPr>
        <w:spacing w:before="240"/>
      </w:pPr>
      <w:r>
        <w:t xml:space="preserve">Removing such ‘business as usual’ costs reduces the additional costs </w:t>
      </w:r>
      <w:r w:rsidR="00937A4E">
        <w:t xml:space="preserve">imposed by the DIIS for existing transporters of </w:t>
      </w:r>
      <w:r w:rsidR="000C37E3">
        <w:t xml:space="preserve">this type of waste, perversely, </w:t>
      </w:r>
      <w:r w:rsidR="00937A4E">
        <w:t>to zero.</w:t>
      </w:r>
    </w:p>
    <w:p w:rsidR="003E24B5" w:rsidRDefault="003E24B5" w:rsidP="00162446">
      <w:pPr>
        <w:pStyle w:val="KMHNumberheading20"/>
        <w:numPr>
          <w:ilvl w:val="1"/>
          <w:numId w:val="56"/>
        </w:numPr>
      </w:pPr>
      <w:bookmarkStart w:id="85" w:name="_Toc287018245"/>
      <w:r>
        <w:t>Primary recycler costs</w:t>
      </w:r>
      <w:bookmarkEnd w:id="85"/>
    </w:p>
    <w:p w:rsidR="009A244B" w:rsidRDefault="009A244B" w:rsidP="009A244B">
      <w:r>
        <w:t>Costs discussed below for recycling companies focus largely on the costs of establishing, and having certified, an ISO 14001 compliant Environmental Management System, as this is a key requirement for recyclers in the DIIS.</w:t>
      </w:r>
    </w:p>
    <w:p w:rsidR="003E24B5" w:rsidRDefault="003E24B5" w:rsidP="00257750">
      <w:r>
        <w:t>Establishment of an ISO 14001 compliant system involves the following activities:</w:t>
      </w:r>
    </w:p>
    <w:p w:rsidR="003E24B5" w:rsidRPr="00784B32" w:rsidRDefault="003E24B5" w:rsidP="001325AA">
      <w:pPr>
        <w:spacing w:before="120" w:after="120"/>
        <w:jc w:val="left"/>
        <w:rPr>
          <w:rFonts w:cs="Arial"/>
          <w:b/>
          <w:sz w:val="22"/>
        </w:rPr>
      </w:pPr>
      <w:r w:rsidRPr="00784B32">
        <w:rPr>
          <w:rFonts w:cs="Arial"/>
          <w:b/>
          <w:sz w:val="22"/>
        </w:rPr>
        <w:t>Gap analysis and scoping</w:t>
      </w:r>
    </w:p>
    <w:p w:rsidR="003E24B5" w:rsidRPr="004B70D4" w:rsidRDefault="003E24B5" w:rsidP="00257750">
      <w:r w:rsidRPr="004B70D4">
        <w:lastRenderedPageBreak/>
        <w:t>This stage</w:t>
      </w:r>
      <w:r>
        <w:t xml:space="preserve"> includes</w:t>
      </w:r>
      <w:r w:rsidRPr="004B70D4">
        <w:t xml:space="preserve"> reviewing existing documentation and completing an analysis of the gaps in the current system in terms of the requirements of ISO 14001.</w:t>
      </w:r>
    </w:p>
    <w:p w:rsidR="003E24B5" w:rsidRPr="00784B32" w:rsidRDefault="003E24B5" w:rsidP="001325AA">
      <w:pPr>
        <w:spacing w:before="120" w:after="120"/>
        <w:jc w:val="left"/>
        <w:rPr>
          <w:rFonts w:cs="Arial"/>
          <w:b/>
          <w:sz w:val="22"/>
        </w:rPr>
      </w:pPr>
      <w:r w:rsidRPr="00784B32">
        <w:rPr>
          <w:rFonts w:cs="Arial"/>
          <w:b/>
          <w:sz w:val="22"/>
        </w:rPr>
        <w:t>Aspects and Impacts</w:t>
      </w:r>
      <w:r>
        <w:rPr>
          <w:rFonts w:cs="Arial"/>
          <w:b/>
          <w:sz w:val="22"/>
        </w:rPr>
        <w:t>, Framework EMS and Objectives and Targets</w:t>
      </w:r>
      <w:r w:rsidRPr="00784B32">
        <w:rPr>
          <w:rFonts w:cs="Arial"/>
          <w:b/>
          <w:sz w:val="22"/>
        </w:rPr>
        <w:t xml:space="preserve"> works</w:t>
      </w:r>
      <w:r>
        <w:rPr>
          <w:rFonts w:cs="Arial"/>
          <w:b/>
          <w:sz w:val="22"/>
        </w:rPr>
        <w:t>hops</w:t>
      </w:r>
    </w:p>
    <w:p w:rsidR="003E24B5" w:rsidRPr="004B70D4" w:rsidRDefault="003E24B5" w:rsidP="00257750">
      <w:r>
        <w:t xml:space="preserve">This involves the facilitation of several </w:t>
      </w:r>
      <w:r w:rsidRPr="004B70D4">
        <w:t>workshop</w:t>
      </w:r>
      <w:r>
        <w:t>s</w:t>
      </w:r>
      <w:r w:rsidRPr="004B70D4">
        <w:t xml:space="preserve"> with key operational </w:t>
      </w:r>
      <w:r>
        <w:t xml:space="preserve">and management </w:t>
      </w:r>
      <w:r w:rsidRPr="004B70D4">
        <w:t xml:space="preserve">staff to identify the aspects and impacts of all operations at </w:t>
      </w:r>
      <w:r>
        <w:t xml:space="preserve">the facility, </w:t>
      </w:r>
      <w:r w:rsidRPr="004B70D4">
        <w:t>present</w:t>
      </w:r>
      <w:r>
        <w:t>ation of</w:t>
      </w:r>
      <w:r w:rsidRPr="004B70D4">
        <w:t xml:space="preserve"> the “skeleton” EMS document</w:t>
      </w:r>
      <w:r>
        <w:t xml:space="preserve"> and to develop </w:t>
      </w:r>
      <w:r w:rsidRPr="004B70D4">
        <w:t>objectives and targets for EMS that are appropriate, realistic and measurable</w:t>
      </w:r>
      <w:r>
        <w:t>.</w:t>
      </w:r>
    </w:p>
    <w:p w:rsidR="003E24B5" w:rsidRPr="00784B32" w:rsidRDefault="003E24B5" w:rsidP="001325AA">
      <w:pPr>
        <w:spacing w:before="120" w:after="120"/>
        <w:jc w:val="left"/>
        <w:rPr>
          <w:rFonts w:cs="Arial"/>
          <w:b/>
          <w:sz w:val="22"/>
        </w:rPr>
      </w:pPr>
      <w:r w:rsidRPr="00784B32">
        <w:rPr>
          <w:rFonts w:cs="Arial"/>
          <w:b/>
          <w:sz w:val="22"/>
        </w:rPr>
        <w:t>Draft EMS development</w:t>
      </w:r>
    </w:p>
    <w:p w:rsidR="003E24B5" w:rsidRPr="004B70D4" w:rsidRDefault="003E24B5" w:rsidP="00257750">
      <w:r>
        <w:t>This step involves the p</w:t>
      </w:r>
      <w:r w:rsidRPr="004B70D4">
        <w:t>reparation of all system documentation</w:t>
      </w:r>
      <w:r>
        <w:t xml:space="preserve">, and </w:t>
      </w:r>
      <w:r w:rsidRPr="004B70D4">
        <w:t>includes all</w:t>
      </w:r>
      <w:r>
        <w:t xml:space="preserve"> of</w:t>
      </w:r>
      <w:r w:rsidRPr="004B70D4">
        <w:t xml:space="preserve"> the requirements stipulated under ISO 14001 such as the draf</w:t>
      </w:r>
      <w:r>
        <w:t>t EMS manual itself, as well as r</w:t>
      </w:r>
      <w:r w:rsidRPr="004B70D4">
        <w:rPr>
          <w:rFonts w:cs="Arial"/>
          <w:szCs w:val="20"/>
        </w:rPr>
        <w:t>egisters</w:t>
      </w:r>
      <w:r>
        <w:rPr>
          <w:rFonts w:cs="Arial"/>
          <w:szCs w:val="20"/>
        </w:rPr>
        <w:t>, p</w:t>
      </w:r>
      <w:r w:rsidRPr="004B70D4">
        <w:rPr>
          <w:rFonts w:cs="Arial"/>
          <w:szCs w:val="20"/>
        </w:rPr>
        <w:t>rocedures</w:t>
      </w:r>
      <w:r>
        <w:rPr>
          <w:rFonts w:cs="Arial"/>
          <w:szCs w:val="20"/>
        </w:rPr>
        <w:t xml:space="preserve"> and f</w:t>
      </w:r>
      <w:r w:rsidRPr="004B70D4">
        <w:rPr>
          <w:rFonts w:cs="Arial"/>
          <w:szCs w:val="20"/>
        </w:rPr>
        <w:t>orms</w:t>
      </w:r>
      <w:r>
        <w:rPr>
          <w:rFonts w:cs="Arial"/>
          <w:szCs w:val="20"/>
        </w:rPr>
        <w:t>.</w:t>
      </w:r>
    </w:p>
    <w:p w:rsidR="003E24B5" w:rsidRPr="00784B32" w:rsidRDefault="003E24B5" w:rsidP="001325AA">
      <w:pPr>
        <w:spacing w:before="120" w:after="120"/>
        <w:jc w:val="left"/>
        <w:rPr>
          <w:rFonts w:cs="Arial"/>
          <w:b/>
          <w:sz w:val="22"/>
        </w:rPr>
      </w:pPr>
      <w:r w:rsidRPr="00784B32">
        <w:rPr>
          <w:rFonts w:cs="Arial"/>
          <w:b/>
          <w:sz w:val="22"/>
        </w:rPr>
        <w:t>EMS Training</w:t>
      </w:r>
    </w:p>
    <w:p w:rsidR="003E24B5" w:rsidRPr="004B70D4" w:rsidRDefault="003E24B5" w:rsidP="004B70D4">
      <w:r>
        <w:t xml:space="preserve">Once the system has been developed a </w:t>
      </w:r>
      <w:r w:rsidRPr="004B70D4">
        <w:t>training package</w:t>
      </w:r>
      <w:r>
        <w:t xml:space="preserve"> must be developed and delivered </w:t>
      </w:r>
      <w:r w:rsidRPr="004B70D4">
        <w:t>for staff to facilitate implementation of the EMS across all levels of the organisation.</w:t>
      </w:r>
    </w:p>
    <w:p w:rsidR="003E24B5" w:rsidRPr="004B70D4" w:rsidRDefault="003E24B5" w:rsidP="001325AA">
      <w:pPr>
        <w:spacing w:before="120" w:after="120"/>
        <w:jc w:val="left"/>
        <w:rPr>
          <w:rFonts w:cs="Arial"/>
          <w:b/>
          <w:sz w:val="22"/>
        </w:rPr>
      </w:pPr>
      <w:r w:rsidRPr="004B70D4">
        <w:rPr>
          <w:rFonts w:cs="Arial"/>
          <w:b/>
          <w:sz w:val="22"/>
        </w:rPr>
        <w:t>Internal Audit</w:t>
      </w:r>
    </w:p>
    <w:p w:rsidR="003E24B5" w:rsidRDefault="003E24B5" w:rsidP="004B70D4">
      <w:r w:rsidRPr="004B70D4">
        <w:t xml:space="preserve">Following a period of implementation of the EMS within the organisation, </w:t>
      </w:r>
      <w:r>
        <w:t xml:space="preserve">an internal </w:t>
      </w:r>
      <w:r w:rsidRPr="004B70D4">
        <w:t xml:space="preserve">audit </w:t>
      </w:r>
      <w:r>
        <w:t xml:space="preserve">should be undertaken </w:t>
      </w:r>
      <w:r w:rsidRPr="004B70D4">
        <w:t xml:space="preserve">to identify any non compliances or other potential issues with the EMS implementation prior to </w:t>
      </w:r>
      <w:r>
        <w:t>a</w:t>
      </w:r>
      <w:r w:rsidRPr="004B70D4">
        <w:t>ppl</w:t>
      </w:r>
      <w:r>
        <w:t xml:space="preserve">ication </w:t>
      </w:r>
      <w:r w:rsidRPr="004B70D4">
        <w:t>for accreditation.</w:t>
      </w:r>
    </w:p>
    <w:p w:rsidR="003E24B5" w:rsidRPr="004B70D4" w:rsidRDefault="003E24B5" w:rsidP="008E79B2">
      <w:r>
        <w:t>Other costs as a direct result of implementation of the DIIS would include third party certification of the established system, follow-up audits, environmental/ OHS monitoring costs, reporting requirements as part of the program (including data gathering, management and record keeping) and downstream processor due diligence in the form of the procurement process’ assessment of environment and health and safety risk, as well as periodic audit during operation of the contract.</w:t>
      </w:r>
    </w:p>
    <w:p w:rsidR="003E24B5" w:rsidRDefault="00223F7A">
      <w:pPr>
        <w:spacing w:after="0"/>
        <w:jc w:val="left"/>
        <w:rPr>
          <w:b/>
          <w:bCs/>
          <w:color w:val="235F2A"/>
          <w:sz w:val="18"/>
          <w:szCs w:val="18"/>
        </w:rPr>
      </w:pPr>
      <w:r>
        <w:t xml:space="preserve">All of these requirements for recyclers are costed in Table </w:t>
      </w:r>
      <w:r w:rsidR="00937A4E">
        <w:t>4</w:t>
      </w:r>
      <w:r>
        <w:t xml:space="preserve"> below.</w:t>
      </w:r>
      <w:r w:rsidR="003E24B5">
        <w:br w:type="page"/>
      </w:r>
    </w:p>
    <w:p w:rsidR="003E24B5" w:rsidRPr="00AF394B" w:rsidRDefault="003E24B5" w:rsidP="00456097">
      <w:pPr>
        <w:pStyle w:val="Caption"/>
        <w:keepNext/>
      </w:pPr>
      <w:bookmarkStart w:id="86" w:name="_Toc287018306"/>
      <w:r>
        <w:lastRenderedPageBreak/>
        <w:t xml:space="preserve">Table </w:t>
      </w:r>
      <w:fldSimple w:instr=" SEQ Table \* ARABIC ">
        <w:r w:rsidR="00235045">
          <w:rPr>
            <w:noProof/>
          </w:rPr>
          <w:t>4</w:t>
        </w:r>
      </w:fldSimple>
      <w:r>
        <w:t xml:space="preserve">:  </w:t>
      </w:r>
      <w:r w:rsidRPr="00AF394B">
        <w:t>Cost of implementation of DIIS for primary recyclers</w:t>
      </w:r>
      <w:r w:rsidR="00080782">
        <w:t xml:space="preserve"> (without ISO 14001 certification)</w:t>
      </w:r>
      <w:bookmarkEnd w:id="86"/>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2127"/>
        <w:gridCol w:w="3118"/>
      </w:tblGrid>
      <w:tr w:rsidR="003E24B5" w:rsidRPr="004F72F0" w:rsidTr="008E5549">
        <w:tc>
          <w:tcPr>
            <w:tcW w:w="4077" w:type="dxa"/>
            <w:shd w:val="clear" w:color="auto" w:fill="BFBFBF"/>
            <w:vAlign w:val="center"/>
          </w:tcPr>
          <w:p w:rsidR="003E24B5" w:rsidRPr="008E5549" w:rsidRDefault="003E24B5" w:rsidP="008E5549">
            <w:pPr>
              <w:jc w:val="center"/>
              <w:rPr>
                <w:b/>
              </w:rPr>
            </w:pPr>
            <w:r w:rsidRPr="008E5549">
              <w:rPr>
                <w:b/>
              </w:rPr>
              <w:t>DIIS implementation requirement</w:t>
            </w:r>
          </w:p>
        </w:tc>
        <w:tc>
          <w:tcPr>
            <w:tcW w:w="2127" w:type="dxa"/>
            <w:shd w:val="clear" w:color="auto" w:fill="BFBFBF"/>
            <w:vAlign w:val="center"/>
          </w:tcPr>
          <w:p w:rsidR="003E24B5" w:rsidRPr="008E5549" w:rsidRDefault="003E24B5" w:rsidP="008E5549">
            <w:pPr>
              <w:jc w:val="center"/>
              <w:rPr>
                <w:b/>
              </w:rPr>
            </w:pPr>
            <w:r w:rsidRPr="008E5549">
              <w:rPr>
                <w:b/>
              </w:rPr>
              <w:t>Estimated cost ($) per entity</w:t>
            </w:r>
          </w:p>
        </w:tc>
        <w:tc>
          <w:tcPr>
            <w:tcW w:w="3118" w:type="dxa"/>
            <w:shd w:val="clear" w:color="auto" w:fill="BFBFBF"/>
            <w:vAlign w:val="center"/>
          </w:tcPr>
          <w:p w:rsidR="003E24B5" w:rsidRPr="008E5549" w:rsidRDefault="003E24B5" w:rsidP="008E5549">
            <w:pPr>
              <w:jc w:val="center"/>
              <w:rPr>
                <w:b/>
              </w:rPr>
            </w:pPr>
            <w:r w:rsidRPr="008E5549">
              <w:rPr>
                <w:b/>
              </w:rPr>
              <w:t>Type of Cost</w:t>
            </w:r>
          </w:p>
        </w:tc>
      </w:tr>
      <w:tr w:rsidR="003E24B5" w:rsidTr="008E5549">
        <w:tc>
          <w:tcPr>
            <w:tcW w:w="4077" w:type="dxa"/>
          </w:tcPr>
          <w:p w:rsidR="003E24B5" w:rsidRPr="008E5549" w:rsidRDefault="003E24B5" w:rsidP="008E5549">
            <w:pPr>
              <w:spacing w:before="60" w:after="120"/>
              <w:jc w:val="left"/>
              <w:rPr>
                <w:rFonts w:cs="Arial"/>
                <w:b/>
                <w:szCs w:val="20"/>
              </w:rPr>
            </w:pPr>
            <w:r w:rsidRPr="008E5549">
              <w:rPr>
                <w:rFonts w:cs="Arial"/>
                <w:b/>
                <w:szCs w:val="20"/>
              </w:rPr>
              <w:t>EMS establishment</w:t>
            </w:r>
          </w:p>
        </w:tc>
        <w:tc>
          <w:tcPr>
            <w:tcW w:w="2127" w:type="dxa"/>
          </w:tcPr>
          <w:p w:rsidR="003E24B5" w:rsidRPr="008E5549" w:rsidRDefault="003E24B5" w:rsidP="008E5549">
            <w:pPr>
              <w:spacing w:before="60" w:after="120"/>
              <w:rPr>
                <w:rFonts w:cs="Arial"/>
                <w:szCs w:val="20"/>
              </w:rPr>
            </w:pPr>
          </w:p>
        </w:tc>
        <w:tc>
          <w:tcPr>
            <w:tcW w:w="3118" w:type="dxa"/>
          </w:tcPr>
          <w:p w:rsidR="003E24B5" w:rsidRDefault="003E24B5" w:rsidP="008E5549">
            <w:pPr>
              <w:spacing w:before="60" w:after="120"/>
              <w:jc w:val="left"/>
            </w:pPr>
          </w:p>
        </w:tc>
      </w:tr>
      <w:tr w:rsidR="003E24B5" w:rsidTr="008E5549">
        <w:tc>
          <w:tcPr>
            <w:tcW w:w="4077" w:type="dxa"/>
          </w:tcPr>
          <w:p w:rsidR="003E24B5" w:rsidRPr="008E5549" w:rsidRDefault="003E24B5" w:rsidP="008E5549">
            <w:pPr>
              <w:spacing w:before="60" w:after="120"/>
              <w:jc w:val="left"/>
              <w:rPr>
                <w:rFonts w:cs="Arial"/>
                <w:szCs w:val="20"/>
              </w:rPr>
            </w:pPr>
            <w:r w:rsidRPr="008E5549">
              <w:rPr>
                <w:rFonts w:cs="Arial"/>
                <w:szCs w:val="20"/>
              </w:rPr>
              <w:t>Gap analysis and scoping</w:t>
            </w:r>
          </w:p>
        </w:tc>
        <w:tc>
          <w:tcPr>
            <w:tcW w:w="2127" w:type="dxa"/>
          </w:tcPr>
          <w:p w:rsidR="003E24B5" w:rsidRPr="008E5549" w:rsidRDefault="003E24B5" w:rsidP="008E5549">
            <w:pPr>
              <w:spacing w:before="60" w:after="120"/>
              <w:jc w:val="center"/>
              <w:rPr>
                <w:rFonts w:cs="Arial"/>
                <w:szCs w:val="20"/>
              </w:rPr>
            </w:pPr>
            <w:r w:rsidRPr="008E5549">
              <w:rPr>
                <w:rFonts w:cs="Arial"/>
                <w:szCs w:val="20"/>
              </w:rPr>
              <w:t>$2,000 - $5,000</w:t>
            </w:r>
          </w:p>
        </w:tc>
        <w:tc>
          <w:tcPr>
            <w:tcW w:w="3118" w:type="dxa"/>
          </w:tcPr>
          <w:p w:rsidR="003E24B5" w:rsidRPr="008E5549" w:rsidRDefault="003E24B5" w:rsidP="008E5549">
            <w:pPr>
              <w:spacing w:before="60" w:after="120"/>
              <w:jc w:val="left"/>
              <w:rPr>
                <w:rFonts w:cs="Arial"/>
                <w:szCs w:val="20"/>
              </w:rPr>
            </w:pPr>
            <w:r w:rsidRPr="008E5549">
              <w:rPr>
                <w:rFonts w:cs="Arial"/>
                <w:szCs w:val="20"/>
              </w:rPr>
              <w:t>Establishment – first year only</w:t>
            </w:r>
          </w:p>
        </w:tc>
      </w:tr>
      <w:tr w:rsidR="003E24B5" w:rsidTr="008E5549">
        <w:tc>
          <w:tcPr>
            <w:tcW w:w="4077" w:type="dxa"/>
          </w:tcPr>
          <w:p w:rsidR="003E24B5" w:rsidRPr="008E5549" w:rsidRDefault="003E24B5" w:rsidP="008E5549">
            <w:pPr>
              <w:spacing w:before="60" w:after="120"/>
              <w:jc w:val="left"/>
              <w:rPr>
                <w:rFonts w:cs="Arial"/>
                <w:szCs w:val="20"/>
              </w:rPr>
            </w:pPr>
            <w:r w:rsidRPr="008E5549">
              <w:rPr>
                <w:rFonts w:cs="Arial"/>
                <w:szCs w:val="20"/>
              </w:rPr>
              <w:t>Aspects and Impacts workshop</w:t>
            </w:r>
          </w:p>
        </w:tc>
        <w:tc>
          <w:tcPr>
            <w:tcW w:w="2127" w:type="dxa"/>
          </w:tcPr>
          <w:p w:rsidR="003E24B5" w:rsidRPr="008E5549" w:rsidRDefault="003E24B5" w:rsidP="008E5549">
            <w:pPr>
              <w:spacing w:before="60" w:after="120"/>
              <w:jc w:val="center"/>
              <w:rPr>
                <w:rFonts w:cs="Arial"/>
                <w:szCs w:val="20"/>
              </w:rPr>
            </w:pPr>
            <w:r w:rsidRPr="008E5549">
              <w:rPr>
                <w:rFonts w:cs="Arial"/>
                <w:szCs w:val="20"/>
              </w:rPr>
              <w:t>$2,000 - $5,000</w:t>
            </w:r>
          </w:p>
        </w:tc>
        <w:tc>
          <w:tcPr>
            <w:tcW w:w="3118" w:type="dxa"/>
          </w:tcPr>
          <w:p w:rsidR="003E24B5" w:rsidRPr="008E5549" w:rsidRDefault="003E24B5" w:rsidP="008E5549">
            <w:pPr>
              <w:spacing w:before="60" w:after="120"/>
              <w:jc w:val="left"/>
              <w:rPr>
                <w:rFonts w:cs="Arial"/>
                <w:szCs w:val="20"/>
              </w:rPr>
            </w:pPr>
            <w:r w:rsidRPr="008E5549">
              <w:rPr>
                <w:rFonts w:cs="Arial"/>
                <w:szCs w:val="20"/>
              </w:rPr>
              <w:t>Establishment – first year only</w:t>
            </w:r>
          </w:p>
        </w:tc>
      </w:tr>
      <w:tr w:rsidR="003E24B5" w:rsidTr="008E5549">
        <w:tc>
          <w:tcPr>
            <w:tcW w:w="4077" w:type="dxa"/>
          </w:tcPr>
          <w:p w:rsidR="003E24B5" w:rsidRPr="008E5549" w:rsidRDefault="003E24B5" w:rsidP="008E5549">
            <w:pPr>
              <w:spacing w:before="60" w:after="120"/>
              <w:jc w:val="left"/>
              <w:rPr>
                <w:rFonts w:cs="Arial"/>
                <w:szCs w:val="20"/>
              </w:rPr>
            </w:pPr>
            <w:r w:rsidRPr="008E5549">
              <w:rPr>
                <w:rFonts w:cs="Arial"/>
                <w:szCs w:val="20"/>
              </w:rPr>
              <w:t>Framework EMS workshop</w:t>
            </w:r>
          </w:p>
        </w:tc>
        <w:tc>
          <w:tcPr>
            <w:tcW w:w="2127" w:type="dxa"/>
          </w:tcPr>
          <w:p w:rsidR="003E24B5" w:rsidRPr="008E5549" w:rsidRDefault="003E24B5" w:rsidP="008E5549">
            <w:pPr>
              <w:spacing w:before="60" w:after="120"/>
              <w:jc w:val="center"/>
              <w:rPr>
                <w:rFonts w:cs="Arial"/>
                <w:szCs w:val="20"/>
              </w:rPr>
            </w:pPr>
            <w:r w:rsidRPr="008E5549">
              <w:rPr>
                <w:rFonts w:cs="Arial"/>
                <w:szCs w:val="20"/>
              </w:rPr>
              <w:t>$2,000 - $5,000</w:t>
            </w:r>
          </w:p>
        </w:tc>
        <w:tc>
          <w:tcPr>
            <w:tcW w:w="3118" w:type="dxa"/>
          </w:tcPr>
          <w:p w:rsidR="003E24B5" w:rsidRPr="008E5549" w:rsidRDefault="003E24B5" w:rsidP="008E5549">
            <w:pPr>
              <w:spacing w:before="60" w:after="120"/>
              <w:jc w:val="left"/>
              <w:rPr>
                <w:rFonts w:cs="Arial"/>
                <w:szCs w:val="20"/>
              </w:rPr>
            </w:pPr>
            <w:r w:rsidRPr="008E5549">
              <w:rPr>
                <w:rFonts w:cs="Arial"/>
                <w:szCs w:val="20"/>
              </w:rPr>
              <w:t>Establishment – first year only</w:t>
            </w:r>
          </w:p>
        </w:tc>
      </w:tr>
      <w:tr w:rsidR="003E24B5" w:rsidTr="008E5549">
        <w:tc>
          <w:tcPr>
            <w:tcW w:w="4077" w:type="dxa"/>
          </w:tcPr>
          <w:p w:rsidR="003E24B5" w:rsidRPr="008E5549" w:rsidRDefault="003E24B5" w:rsidP="008E5549">
            <w:pPr>
              <w:spacing w:before="60" w:after="120"/>
              <w:jc w:val="left"/>
              <w:rPr>
                <w:rFonts w:cs="Arial"/>
                <w:szCs w:val="20"/>
              </w:rPr>
            </w:pPr>
            <w:r w:rsidRPr="008E5549">
              <w:rPr>
                <w:rFonts w:cs="Arial"/>
                <w:szCs w:val="20"/>
              </w:rPr>
              <w:t>Objectives and Targets Workshop</w:t>
            </w:r>
          </w:p>
        </w:tc>
        <w:tc>
          <w:tcPr>
            <w:tcW w:w="2127" w:type="dxa"/>
          </w:tcPr>
          <w:p w:rsidR="003E24B5" w:rsidRPr="008E5549" w:rsidRDefault="003E24B5" w:rsidP="008E5549">
            <w:pPr>
              <w:spacing w:before="60" w:after="120"/>
              <w:jc w:val="center"/>
              <w:rPr>
                <w:rFonts w:cs="Arial"/>
                <w:szCs w:val="20"/>
              </w:rPr>
            </w:pPr>
            <w:r w:rsidRPr="008E5549">
              <w:rPr>
                <w:rFonts w:cs="Arial"/>
                <w:szCs w:val="20"/>
              </w:rPr>
              <w:t>$2,000 - $5,000</w:t>
            </w:r>
          </w:p>
        </w:tc>
        <w:tc>
          <w:tcPr>
            <w:tcW w:w="3118" w:type="dxa"/>
          </w:tcPr>
          <w:p w:rsidR="003E24B5" w:rsidRPr="008E5549" w:rsidRDefault="003E24B5" w:rsidP="008E5549">
            <w:pPr>
              <w:spacing w:before="60" w:after="120"/>
              <w:jc w:val="left"/>
              <w:rPr>
                <w:rFonts w:cs="Arial"/>
                <w:szCs w:val="20"/>
              </w:rPr>
            </w:pPr>
            <w:r w:rsidRPr="008E5549">
              <w:rPr>
                <w:rFonts w:cs="Arial"/>
                <w:szCs w:val="20"/>
              </w:rPr>
              <w:t>Establishment – first year only</w:t>
            </w:r>
          </w:p>
        </w:tc>
      </w:tr>
      <w:tr w:rsidR="003E24B5" w:rsidTr="008E5549">
        <w:tc>
          <w:tcPr>
            <w:tcW w:w="4077" w:type="dxa"/>
          </w:tcPr>
          <w:p w:rsidR="003E24B5" w:rsidRPr="008E5549" w:rsidRDefault="003E24B5" w:rsidP="008E5549">
            <w:pPr>
              <w:spacing w:before="60" w:after="120"/>
              <w:jc w:val="left"/>
              <w:rPr>
                <w:rFonts w:cs="Arial"/>
                <w:szCs w:val="20"/>
              </w:rPr>
            </w:pPr>
            <w:r w:rsidRPr="008E5549">
              <w:rPr>
                <w:rFonts w:cs="Arial"/>
                <w:szCs w:val="20"/>
              </w:rPr>
              <w:t xml:space="preserve">Draft EMS established </w:t>
            </w:r>
          </w:p>
        </w:tc>
        <w:tc>
          <w:tcPr>
            <w:tcW w:w="2127" w:type="dxa"/>
          </w:tcPr>
          <w:p w:rsidR="003E24B5" w:rsidRPr="008E5549" w:rsidRDefault="003E24B5" w:rsidP="008E5549">
            <w:pPr>
              <w:spacing w:before="60" w:after="120"/>
              <w:jc w:val="center"/>
              <w:rPr>
                <w:rFonts w:cs="Arial"/>
                <w:szCs w:val="20"/>
              </w:rPr>
            </w:pPr>
            <w:r w:rsidRPr="008E5549">
              <w:rPr>
                <w:rFonts w:cs="Arial"/>
                <w:szCs w:val="20"/>
              </w:rPr>
              <w:t>$8,000 - $20,000</w:t>
            </w:r>
          </w:p>
        </w:tc>
        <w:tc>
          <w:tcPr>
            <w:tcW w:w="3118" w:type="dxa"/>
          </w:tcPr>
          <w:p w:rsidR="003E24B5" w:rsidRPr="008E5549" w:rsidRDefault="003E24B5" w:rsidP="008E5549">
            <w:pPr>
              <w:spacing w:before="60" w:after="120"/>
              <w:jc w:val="left"/>
              <w:rPr>
                <w:rFonts w:cs="Arial"/>
                <w:szCs w:val="20"/>
              </w:rPr>
            </w:pPr>
            <w:r w:rsidRPr="008E5549">
              <w:rPr>
                <w:rFonts w:cs="Arial"/>
                <w:szCs w:val="20"/>
              </w:rPr>
              <w:t>Establishment – first year only</w:t>
            </w:r>
          </w:p>
        </w:tc>
      </w:tr>
      <w:tr w:rsidR="003E24B5" w:rsidTr="008E5549">
        <w:tc>
          <w:tcPr>
            <w:tcW w:w="4077" w:type="dxa"/>
          </w:tcPr>
          <w:p w:rsidR="003E24B5" w:rsidRPr="008E5549" w:rsidRDefault="003E24B5" w:rsidP="008E5549">
            <w:pPr>
              <w:spacing w:before="60" w:after="120"/>
              <w:jc w:val="left"/>
              <w:rPr>
                <w:rFonts w:cs="Arial"/>
                <w:szCs w:val="20"/>
              </w:rPr>
            </w:pPr>
            <w:r w:rsidRPr="008E5549">
              <w:rPr>
                <w:rFonts w:cs="Arial"/>
                <w:szCs w:val="20"/>
              </w:rPr>
              <w:t>EMS Training</w:t>
            </w:r>
          </w:p>
        </w:tc>
        <w:tc>
          <w:tcPr>
            <w:tcW w:w="2127" w:type="dxa"/>
          </w:tcPr>
          <w:p w:rsidR="003E24B5" w:rsidRPr="008E5549" w:rsidRDefault="003E24B5" w:rsidP="008E5549">
            <w:pPr>
              <w:spacing w:before="60" w:after="120"/>
              <w:jc w:val="center"/>
              <w:rPr>
                <w:rFonts w:cs="Arial"/>
                <w:szCs w:val="20"/>
              </w:rPr>
            </w:pPr>
            <w:r w:rsidRPr="008E5549">
              <w:rPr>
                <w:rFonts w:cs="Arial"/>
                <w:szCs w:val="20"/>
              </w:rPr>
              <w:t>$2,000 - $5,000</w:t>
            </w:r>
          </w:p>
        </w:tc>
        <w:tc>
          <w:tcPr>
            <w:tcW w:w="3118" w:type="dxa"/>
          </w:tcPr>
          <w:p w:rsidR="003E24B5" w:rsidRPr="008E5549" w:rsidRDefault="003E24B5" w:rsidP="008E5549">
            <w:pPr>
              <w:spacing w:before="60" w:after="120"/>
              <w:jc w:val="left"/>
              <w:rPr>
                <w:rFonts w:cs="Arial"/>
                <w:szCs w:val="20"/>
              </w:rPr>
            </w:pPr>
            <w:r w:rsidRPr="008E5549">
              <w:rPr>
                <w:rFonts w:cs="Arial"/>
                <w:szCs w:val="20"/>
              </w:rPr>
              <w:t>Operational – ongoing, annual</w:t>
            </w:r>
          </w:p>
        </w:tc>
      </w:tr>
      <w:tr w:rsidR="003E24B5" w:rsidTr="008E5549">
        <w:tc>
          <w:tcPr>
            <w:tcW w:w="4077" w:type="dxa"/>
          </w:tcPr>
          <w:p w:rsidR="003E24B5" w:rsidRDefault="003E24B5" w:rsidP="008E5549">
            <w:pPr>
              <w:spacing w:before="60" w:after="120"/>
            </w:pPr>
            <w:r w:rsidRPr="007C23D9">
              <w:t>Internal Audit</w:t>
            </w:r>
          </w:p>
        </w:tc>
        <w:tc>
          <w:tcPr>
            <w:tcW w:w="2127" w:type="dxa"/>
          </w:tcPr>
          <w:p w:rsidR="003E24B5" w:rsidRPr="008E5549" w:rsidRDefault="003E24B5" w:rsidP="008E5549">
            <w:pPr>
              <w:spacing w:before="60" w:after="120"/>
              <w:jc w:val="center"/>
              <w:rPr>
                <w:rFonts w:cs="Arial"/>
                <w:szCs w:val="20"/>
              </w:rPr>
            </w:pPr>
            <w:r w:rsidRPr="008E5549">
              <w:rPr>
                <w:rFonts w:cs="Arial"/>
                <w:szCs w:val="20"/>
              </w:rPr>
              <w:t>$2,000 - $5,000</w:t>
            </w:r>
          </w:p>
        </w:tc>
        <w:tc>
          <w:tcPr>
            <w:tcW w:w="3118" w:type="dxa"/>
          </w:tcPr>
          <w:p w:rsidR="003E24B5" w:rsidRPr="008E5549" w:rsidRDefault="003E24B5" w:rsidP="008E5549">
            <w:pPr>
              <w:spacing w:before="60" w:after="120"/>
              <w:jc w:val="left"/>
              <w:rPr>
                <w:rFonts w:cs="Arial"/>
                <w:szCs w:val="20"/>
              </w:rPr>
            </w:pPr>
            <w:r w:rsidRPr="008E5549">
              <w:rPr>
                <w:rFonts w:cs="Arial"/>
                <w:szCs w:val="20"/>
              </w:rPr>
              <w:t>Operational – ongoing, assume annual</w:t>
            </w:r>
          </w:p>
        </w:tc>
      </w:tr>
      <w:tr w:rsidR="003E24B5" w:rsidTr="008E5549">
        <w:tc>
          <w:tcPr>
            <w:tcW w:w="4077" w:type="dxa"/>
          </w:tcPr>
          <w:p w:rsidR="003E24B5" w:rsidRPr="008E5549" w:rsidRDefault="003E24B5" w:rsidP="008E5549">
            <w:pPr>
              <w:spacing w:before="60" w:after="120"/>
              <w:rPr>
                <w:b/>
              </w:rPr>
            </w:pPr>
            <w:r w:rsidRPr="008E5549">
              <w:rPr>
                <w:b/>
              </w:rPr>
              <w:t>ISO 14001 certification</w:t>
            </w:r>
          </w:p>
        </w:tc>
        <w:tc>
          <w:tcPr>
            <w:tcW w:w="2127" w:type="dxa"/>
          </w:tcPr>
          <w:p w:rsidR="003E24B5" w:rsidRDefault="003E24B5" w:rsidP="008E5549">
            <w:pPr>
              <w:spacing w:before="60" w:after="120"/>
              <w:jc w:val="center"/>
            </w:pPr>
          </w:p>
        </w:tc>
        <w:tc>
          <w:tcPr>
            <w:tcW w:w="3118" w:type="dxa"/>
          </w:tcPr>
          <w:p w:rsidR="003E24B5" w:rsidRPr="008E5549" w:rsidRDefault="003E24B5" w:rsidP="008E5549">
            <w:pPr>
              <w:spacing w:before="60" w:after="120"/>
              <w:jc w:val="left"/>
              <w:rPr>
                <w:rFonts w:cs="Arial"/>
                <w:szCs w:val="20"/>
              </w:rPr>
            </w:pPr>
          </w:p>
        </w:tc>
      </w:tr>
      <w:tr w:rsidR="003E24B5" w:rsidRPr="00742290" w:rsidTr="008E5549">
        <w:tc>
          <w:tcPr>
            <w:tcW w:w="4077" w:type="dxa"/>
          </w:tcPr>
          <w:p w:rsidR="003E24B5" w:rsidRPr="00742290" w:rsidRDefault="003E24B5" w:rsidP="008E5549">
            <w:pPr>
              <w:spacing w:before="60" w:after="120"/>
              <w:jc w:val="left"/>
            </w:pPr>
            <w:r>
              <w:t>Initial certification</w:t>
            </w:r>
          </w:p>
        </w:tc>
        <w:tc>
          <w:tcPr>
            <w:tcW w:w="2127" w:type="dxa"/>
          </w:tcPr>
          <w:p w:rsidR="003E24B5" w:rsidRPr="00742290" w:rsidRDefault="003E24B5" w:rsidP="008E5549">
            <w:pPr>
              <w:spacing w:before="60" w:after="120"/>
              <w:jc w:val="center"/>
            </w:pPr>
            <w:r>
              <w:t>$4,000 - $10,000</w:t>
            </w:r>
          </w:p>
        </w:tc>
        <w:tc>
          <w:tcPr>
            <w:tcW w:w="3118" w:type="dxa"/>
          </w:tcPr>
          <w:p w:rsidR="003E24B5" w:rsidRPr="008E5549" w:rsidRDefault="003E24B5" w:rsidP="008E5549">
            <w:pPr>
              <w:spacing w:before="60" w:after="120"/>
              <w:jc w:val="left"/>
              <w:rPr>
                <w:rFonts w:cs="Arial"/>
                <w:szCs w:val="20"/>
              </w:rPr>
            </w:pPr>
            <w:r w:rsidRPr="008E5549">
              <w:rPr>
                <w:rFonts w:cs="Arial"/>
                <w:szCs w:val="20"/>
              </w:rPr>
              <w:t>Establishment – first year of 3 year life of certification</w:t>
            </w:r>
          </w:p>
        </w:tc>
      </w:tr>
      <w:tr w:rsidR="003E24B5" w:rsidRPr="00742290" w:rsidTr="008E5549">
        <w:tc>
          <w:tcPr>
            <w:tcW w:w="4077" w:type="dxa"/>
          </w:tcPr>
          <w:p w:rsidR="003E24B5" w:rsidRPr="009B545B" w:rsidRDefault="003E24B5" w:rsidP="008E5549">
            <w:pPr>
              <w:spacing w:before="60" w:after="120"/>
              <w:jc w:val="left"/>
            </w:pPr>
            <w:r w:rsidRPr="009B545B">
              <w:t xml:space="preserve">Follow up audit </w:t>
            </w:r>
            <w:r>
              <w:t xml:space="preserve">by certifier </w:t>
            </w:r>
            <w:r w:rsidRPr="009B545B">
              <w:t>(one per year)</w:t>
            </w:r>
          </w:p>
        </w:tc>
        <w:tc>
          <w:tcPr>
            <w:tcW w:w="2127" w:type="dxa"/>
          </w:tcPr>
          <w:p w:rsidR="003E24B5" w:rsidRPr="009B545B" w:rsidRDefault="003E24B5" w:rsidP="008E5549">
            <w:pPr>
              <w:spacing w:before="60" w:after="120"/>
              <w:jc w:val="center"/>
            </w:pPr>
            <w:r>
              <w:t>$2,000</w:t>
            </w:r>
          </w:p>
        </w:tc>
        <w:tc>
          <w:tcPr>
            <w:tcW w:w="3118" w:type="dxa"/>
          </w:tcPr>
          <w:p w:rsidR="003E24B5" w:rsidRPr="008E5549" w:rsidRDefault="003E24B5" w:rsidP="008E5549">
            <w:pPr>
              <w:spacing w:before="60" w:after="120"/>
              <w:jc w:val="left"/>
              <w:rPr>
                <w:rFonts w:cs="Arial"/>
                <w:szCs w:val="20"/>
              </w:rPr>
            </w:pPr>
            <w:r w:rsidRPr="008E5549">
              <w:rPr>
                <w:rFonts w:cs="Arial"/>
                <w:szCs w:val="20"/>
              </w:rPr>
              <w:t>Operational - annual</w:t>
            </w:r>
          </w:p>
        </w:tc>
      </w:tr>
      <w:tr w:rsidR="003E24B5" w:rsidRPr="0044602F" w:rsidTr="008E5549">
        <w:tc>
          <w:tcPr>
            <w:tcW w:w="4077" w:type="dxa"/>
          </w:tcPr>
          <w:p w:rsidR="003E24B5" w:rsidRPr="00C8357E" w:rsidRDefault="003E24B5" w:rsidP="008E5549">
            <w:pPr>
              <w:spacing w:before="60" w:after="120"/>
              <w:jc w:val="left"/>
            </w:pPr>
            <w:r w:rsidRPr="00C8357E">
              <w:t>Making the EMS work (refresher training, maintenance, integration into business processes)</w:t>
            </w:r>
          </w:p>
        </w:tc>
        <w:tc>
          <w:tcPr>
            <w:tcW w:w="2127" w:type="dxa"/>
          </w:tcPr>
          <w:p w:rsidR="003E24B5" w:rsidRPr="00C8357E" w:rsidRDefault="003E24B5" w:rsidP="008E5549">
            <w:pPr>
              <w:spacing w:before="60" w:after="120"/>
              <w:jc w:val="center"/>
            </w:pPr>
            <w:r w:rsidRPr="00C8357E">
              <w:t>$</w:t>
            </w:r>
            <w:r>
              <w:t>20,000 - $40</w:t>
            </w:r>
            <w:r w:rsidRPr="00C8357E">
              <w:t>,</w:t>
            </w:r>
            <w:r>
              <w:t>0</w:t>
            </w:r>
            <w:r w:rsidRPr="00C8357E">
              <w:t>00</w:t>
            </w:r>
          </w:p>
        </w:tc>
        <w:tc>
          <w:tcPr>
            <w:tcW w:w="3118" w:type="dxa"/>
          </w:tcPr>
          <w:p w:rsidR="003E24B5" w:rsidRPr="008E5549" w:rsidRDefault="003E24B5" w:rsidP="008E5549">
            <w:pPr>
              <w:spacing w:before="60" w:after="120"/>
              <w:jc w:val="left"/>
              <w:rPr>
                <w:rFonts w:cs="Arial"/>
                <w:szCs w:val="20"/>
              </w:rPr>
            </w:pPr>
            <w:r w:rsidRPr="008E5549">
              <w:rPr>
                <w:rFonts w:cs="Arial"/>
                <w:szCs w:val="20"/>
              </w:rPr>
              <w:t>Operational - annual</w:t>
            </w:r>
          </w:p>
        </w:tc>
      </w:tr>
      <w:tr w:rsidR="003E24B5" w:rsidRPr="00742290" w:rsidTr="008E5549">
        <w:tc>
          <w:tcPr>
            <w:tcW w:w="4077" w:type="dxa"/>
          </w:tcPr>
          <w:p w:rsidR="003E24B5" w:rsidRPr="008E5549" w:rsidRDefault="003E24B5" w:rsidP="008E5549">
            <w:pPr>
              <w:spacing w:before="60" w:after="120"/>
              <w:jc w:val="left"/>
              <w:rPr>
                <w:b/>
              </w:rPr>
            </w:pPr>
            <w:r w:rsidRPr="008E5549">
              <w:rPr>
                <w:b/>
              </w:rPr>
              <w:t>Requirements of DIIS likely to be additional to ISO 14001</w:t>
            </w:r>
          </w:p>
        </w:tc>
        <w:tc>
          <w:tcPr>
            <w:tcW w:w="2127" w:type="dxa"/>
          </w:tcPr>
          <w:p w:rsidR="003E24B5" w:rsidRPr="008E5549" w:rsidRDefault="003E24B5" w:rsidP="008E5549">
            <w:pPr>
              <w:spacing w:before="60" w:after="120"/>
              <w:jc w:val="center"/>
              <w:rPr>
                <w:b/>
              </w:rPr>
            </w:pPr>
          </w:p>
        </w:tc>
        <w:tc>
          <w:tcPr>
            <w:tcW w:w="3118" w:type="dxa"/>
          </w:tcPr>
          <w:p w:rsidR="003E24B5" w:rsidRPr="008E5549" w:rsidRDefault="003E24B5" w:rsidP="008E5549">
            <w:pPr>
              <w:spacing w:before="60" w:after="120"/>
              <w:jc w:val="left"/>
              <w:rPr>
                <w:rFonts w:cs="Arial"/>
                <w:szCs w:val="20"/>
              </w:rPr>
            </w:pPr>
          </w:p>
        </w:tc>
      </w:tr>
      <w:tr w:rsidR="003E24B5" w:rsidTr="008E5549">
        <w:tc>
          <w:tcPr>
            <w:tcW w:w="4077" w:type="dxa"/>
          </w:tcPr>
          <w:p w:rsidR="003E24B5" w:rsidRDefault="003E24B5" w:rsidP="008E5549">
            <w:pPr>
              <w:spacing w:before="60" w:after="120"/>
            </w:pPr>
            <w:r>
              <w:t>Environmental monitoring (air quality and noise) – baseline assessment</w:t>
            </w:r>
          </w:p>
        </w:tc>
        <w:tc>
          <w:tcPr>
            <w:tcW w:w="2127" w:type="dxa"/>
          </w:tcPr>
          <w:p w:rsidR="003E24B5" w:rsidRDefault="003E24B5" w:rsidP="008E5549">
            <w:pPr>
              <w:spacing w:before="60" w:after="120"/>
              <w:jc w:val="center"/>
            </w:pPr>
            <w:r>
              <w:t>$10,000</w:t>
            </w:r>
          </w:p>
        </w:tc>
        <w:tc>
          <w:tcPr>
            <w:tcW w:w="3118" w:type="dxa"/>
          </w:tcPr>
          <w:p w:rsidR="003E24B5" w:rsidRPr="008E5549" w:rsidRDefault="003E24B5" w:rsidP="008E5549">
            <w:pPr>
              <w:spacing w:before="60" w:after="120"/>
              <w:jc w:val="left"/>
              <w:rPr>
                <w:rFonts w:cs="Arial"/>
                <w:szCs w:val="20"/>
              </w:rPr>
            </w:pPr>
            <w:r w:rsidRPr="008E5549">
              <w:rPr>
                <w:rFonts w:cs="Arial"/>
                <w:szCs w:val="20"/>
              </w:rPr>
              <w:t>Establishment – first year only but could involve ongoing monitoring if problem identified</w:t>
            </w:r>
          </w:p>
        </w:tc>
      </w:tr>
      <w:tr w:rsidR="003E24B5" w:rsidTr="008E5549">
        <w:tc>
          <w:tcPr>
            <w:tcW w:w="4077" w:type="dxa"/>
          </w:tcPr>
          <w:p w:rsidR="003E24B5" w:rsidRDefault="003E24B5" w:rsidP="008E5549">
            <w:pPr>
              <w:spacing w:before="60" w:after="120"/>
            </w:pPr>
            <w:r>
              <w:t>Reporting to PSO</w:t>
            </w:r>
          </w:p>
        </w:tc>
        <w:tc>
          <w:tcPr>
            <w:tcW w:w="2127" w:type="dxa"/>
          </w:tcPr>
          <w:p w:rsidR="003E24B5" w:rsidRDefault="003E24B5" w:rsidP="008E5549">
            <w:pPr>
              <w:spacing w:before="60" w:after="120"/>
              <w:jc w:val="center"/>
            </w:pPr>
            <w:r>
              <w:t>$6,000</w:t>
            </w:r>
          </w:p>
        </w:tc>
        <w:tc>
          <w:tcPr>
            <w:tcW w:w="3118" w:type="dxa"/>
          </w:tcPr>
          <w:p w:rsidR="003E24B5" w:rsidRPr="008E5549" w:rsidRDefault="003E24B5" w:rsidP="008E5549">
            <w:pPr>
              <w:spacing w:before="60" w:after="120"/>
              <w:jc w:val="left"/>
              <w:rPr>
                <w:rFonts w:cs="Arial"/>
                <w:szCs w:val="20"/>
              </w:rPr>
            </w:pPr>
            <w:r w:rsidRPr="008E5549">
              <w:rPr>
                <w:rFonts w:cs="Arial"/>
                <w:szCs w:val="20"/>
              </w:rPr>
              <w:t>Operational – assumed annual</w:t>
            </w:r>
          </w:p>
        </w:tc>
      </w:tr>
      <w:tr w:rsidR="003E24B5" w:rsidTr="008E5549">
        <w:tc>
          <w:tcPr>
            <w:tcW w:w="4077" w:type="dxa"/>
          </w:tcPr>
          <w:p w:rsidR="003E24B5" w:rsidRDefault="003E24B5" w:rsidP="008E5549">
            <w:pPr>
              <w:spacing w:before="60" w:after="120"/>
            </w:pPr>
            <w:r>
              <w:t>Establishment of data collection and record keeping systems</w:t>
            </w:r>
          </w:p>
        </w:tc>
        <w:tc>
          <w:tcPr>
            <w:tcW w:w="2127" w:type="dxa"/>
          </w:tcPr>
          <w:p w:rsidR="003E24B5" w:rsidRDefault="003E24B5" w:rsidP="008E5549">
            <w:pPr>
              <w:spacing w:before="60" w:after="120"/>
              <w:jc w:val="center"/>
            </w:pPr>
            <w:r>
              <w:t>$18,000</w:t>
            </w:r>
          </w:p>
        </w:tc>
        <w:tc>
          <w:tcPr>
            <w:tcW w:w="3118" w:type="dxa"/>
          </w:tcPr>
          <w:p w:rsidR="003E24B5" w:rsidRPr="008E5549" w:rsidRDefault="003E24B5" w:rsidP="008E5549">
            <w:pPr>
              <w:spacing w:before="60" w:after="120"/>
              <w:jc w:val="left"/>
              <w:rPr>
                <w:rFonts w:cs="Arial"/>
                <w:szCs w:val="20"/>
              </w:rPr>
            </w:pPr>
            <w:r w:rsidRPr="008E5549">
              <w:rPr>
                <w:rFonts w:cs="Arial"/>
                <w:szCs w:val="20"/>
              </w:rPr>
              <w:t>Establishment cost – first year only</w:t>
            </w:r>
          </w:p>
        </w:tc>
      </w:tr>
      <w:tr w:rsidR="003E24B5" w:rsidTr="008E5549">
        <w:tc>
          <w:tcPr>
            <w:tcW w:w="4077" w:type="dxa"/>
          </w:tcPr>
          <w:p w:rsidR="003E24B5" w:rsidRDefault="003E24B5" w:rsidP="008E5549">
            <w:pPr>
              <w:spacing w:before="60" w:after="120"/>
            </w:pPr>
            <w:r>
              <w:t>Downstream processor procurement due diligence re HS&amp;E</w:t>
            </w:r>
          </w:p>
        </w:tc>
        <w:tc>
          <w:tcPr>
            <w:tcW w:w="2127" w:type="dxa"/>
          </w:tcPr>
          <w:p w:rsidR="003E24B5" w:rsidRDefault="003E24B5" w:rsidP="008E5549">
            <w:pPr>
              <w:spacing w:before="60" w:after="120"/>
              <w:jc w:val="center"/>
            </w:pPr>
            <w:r>
              <w:t>$5,000</w:t>
            </w:r>
          </w:p>
        </w:tc>
        <w:tc>
          <w:tcPr>
            <w:tcW w:w="3118" w:type="dxa"/>
          </w:tcPr>
          <w:p w:rsidR="003E24B5" w:rsidRPr="008E5549" w:rsidRDefault="003E24B5" w:rsidP="008E5549">
            <w:pPr>
              <w:spacing w:before="60" w:after="120"/>
              <w:jc w:val="left"/>
              <w:rPr>
                <w:rFonts w:cs="Arial"/>
                <w:szCs w:val="20"/>
              </w:rPr>
            </w:pPr>
            <w:r w:rsidRPr="008E5549">
              <w:rPr>
                <w:rFonts w:cs="Arial"/>
                <w:szCs w:val="20"/>
              </w:rPr>
              <w:t>Contract establishment</w:t>
            </w:r>
          </w:p>
        </w:tc>
      </w:tr>
      <w:tr w:rsidR="003E24B5" w:rsidTr="008E5549">
        <w:tc>
          <w:tcPr>
            <w:tcW w:w="4077" w:type="dxa"/>
          </w:tcPr>
          <w:p w:rsidR="003E24B5" w:rsidRDefault="003E24B5" w:rsidP="008E5549">
            <w:pPr>
              <w:spacing w:before="60" w:after="120"/>
              <w:jc w:val="left"/>
            </w:pPr>
            <w:r>
              <w:t>Downstream processor periodic audit</w:t>
            </w:r>
          </w:p>
        </w:tc>
        <w:tc>
          <w:tcPr>
            <w:tcW w:w="2127" w:type="dxa"/>
          </w:tcPr>
          <w:p w:rsidR="003E24B5" w:rsidRDefault="003E24B5" w:rsidP="008E5549">
            <w:pPr>
              <w:spacing w:before="60" w:after="120"/>
              <w:jc w:val="center"/>
            </w:pPr>
            <w:r>
              <w:t>$2,000</w:t>
            </w:r>
          </w:p>
        </w:tc>
        <w:tc>
          <w:tcPr>
            <w:tcW w:w="3118" w:type="dxa"/>
          </w:tcPr>
          <w:p w:rsidR="003E24B5" w:rsidRPr="008E5549" w:rsidRDefault="003E24B5" w:rsidP="008E5549">
            <w:pPr>
              <w:spacing w:before="60" w:after="120"/>
              <w:jc w:val="left"/>
              <w:rPr>
                <w:rFonts w:cs="Arial"/>
                <w:szCs w:val="20"/>
              </w:rPr>
            </w:pPr>
            <w:r w:rsidRPr="008E5549">
              <w:rPr>
                <w:rFonts w:cs="Arial"/>
                <w:szCs w:val="20"/>
              </w:rPr>
              <w:t>Operational – assumed annual</w:t>
            </w:r>
          </w:p>
        </w:tc>
      </w:tr>
      <w:tr w:rsidR="003E24B5" w:rsidRPr="009B545B" w:rsidTr="008E5549">
        <w:tc>
          <w:tcPr>
            <w:tcW w:w="4077" w:type="dxa"/>
          </w:tcPr>
          <w:p w:rsidR="003E24B5" w:rsidRPr="008E5549" w:rsidRDefault="003E24B5" w:rsidP="008E5549">
            <w:pPr>
              <w:spacing w:before="60" w:after="120"/>
              <w:jc w:val="left"/>
              <w:rPr>
                <w:b/>
              </w:rPr>
            </w:pPr>
            <w:r w:rsidRPr="008E5549">
              <w:rPr>
                <w:b/>
              </w:rPr>
              <w:t>Total (1</w:t>
            </w:r>
            <w:r w:rsidRPr="008E5549">
              <w:rPr>
                <w:b/>
                <w:vertAlign w:val="superscript"/>
              </w:rPr>
              <w:t>st</w:t>
            </w:r>
            <w:r w:rsidRPr="008E5549">
              <w:rPr>
                <w:b/>
              </w:rPr>
              <w:t xml:space="preserve"> year)</w:t>
            </w:r>
          </w:p>
        </w:tc>
        <w:tc>
          <w:tcPr>
            <w:tcW w:w="2127" w:type="dxa"/>
          </w:tcPr>
          <w:p w:rsidR="003E24B5" w:rsidRPr="008E5549" w:rsidRDefault="003E24B5" w:rsidP="008E5549">
            <w:pPr>
              <w:spacing w:before="60" w:after="120"/>
              <w:jc w:val="center"/>
              <w:rPr>
                <w:b/>
              </w:rPr>
            </w:pPr>
            <w:r w:rsidRPr="008E5549">
              <w:rPr>
                <w:b/>
              </w:rPr>
              <w:t>$87,000 – $143,000</w:t>
            </w:r>
          </w:p>
        </w:tc>
        <w:tc>
          <w:tcPr>
            <w:tcW w:w="3118" w:type="dxa"/>
          </w:tcPr>
          <w:p w:rsidR="003E24B5" w:rsidRPr="008E5549" w:rsidRDefault="003E24B5" w:rsidP="008E5549">
            <w:pPr>
              <w:spacing w:before="60" w:after="120"/>
              <w:jc w:val="left"/>
              <w:rPr>
                <w:rFonts w:cs="Arial"/>
                <w:b/>
                <w:szCs w:val="20"/>
              </w:rPr>
            </w:pPr>
          </w:p>
        </w:tc>
      </w:tr>
      <w:tr w:rsidR="003E24B5" w:rsidRPr="009B545B" w:rsidTr="008E5549">
        <w:tc>
          <w:tcPr>
            <w:tcW w:w="4077" w:type="dxa"/>
          </w:tcPr>
          <w:p w:rsidR="003E24B5" w:rsidRPr="008E5549" w:rsidRDefault="003E24B5" w:rsidP="008E5549">
            <w:pPr>
              <w:spacing w:before="60" w:after="120"/>
              <w:jc w:val="left"/>
              <w:rPr>
                <w:b/>
              </w:rPr>
            </w:pPr>
            <w:r w:rsidRPr="008E5549">
              <w:rPr>
                <w:b/>
              </w:rPr>
              <w:t>Average cost per year (over 3 year cycle)</w:t>
            </w:r>
          </w:p>
        </w:tc>
        <w:tc>
          <w:tcPr>
            <w:tcW w:w="2127" w:type="dxa"/>
          </w:tcPr>
          <w:p w:rsidR="003E24B5" w:rsidRPr="008E5549" w:rsidRDefault="003E24B5" w:rsidP="008E5549">
            <w:pPr>
              <w:spacing w:before="60" w:after="120"/>
              <w:jc w:val="center"/>
              <w:rPr>
                <w:b/>
              </w:rPr>
            </w:pPr>
            <w:r w:rsidRPr="008E5549">
              <w:rPr>
                <w:b/>
              </w:rPr>
              <w:t>$52,000 - $88,000</w:t>
            </w:r>
          </w:p>
        </w:tc>
        <w:tc>
          <w:tcPr>
            <w:tcW w:w="3118" w:type="dxa"/>
          </w:tcPr>
          <w:p w:rsidR="003E24B5" w:rsidRPr="008E5549" w:rsidRDefault="003E24B5" w:rsidP="008E5549">
            <w:pPr>
              <w:spacing w:before="60" w:after="120"/>
              <w:jc w:val="left"/>
              <w:rPr>
                <w:rFonts w:cs="Arial"/>
                <w:b/>
                <w:szCs w:val="20"/>
              </w:rPr>
            </w:pPr>
            <w:r w:rsidRPr="008E5549">
              <w:rPr>
                <w:rFonts w:cs="Arial"/>
                <w:b/>
                <w:szCs w:val="20"/>
              </w:rPr>
              <w:t>$87-143K year 1, $34-60K year 2, $34-60K year 3</w:t>
            </w:r>
          </w:p>
        </w:tc>
      </w:tr>
    </w:tbl>
    <w:p w:rsidR="009A244B" w:rsidRDefault="00223F7A" w:rsidP="009A244B">
      <w:pPr>
        <w:spacing w:before="240"/>
      </w:pPr>
      <w:r>
        <w:t>When an ISO certified quality system is</w:t>
      </w:r>
      <w:r w:rsidR="009A244B">
        <w:t xml:space="preserve"> required to be</w:t>
      </w:r>
      <w:r>
        <w:t xml:space="preserve"> built </w:t>
      </w:r>
      <w:r w:rsidR="009A244B">
        <w:t xml:space="preserve">and maintained </w:t>
      </w:r>
      <w:r>
        <w:t>from a base of no</w:t>
      </w:r>
      <w:r w:rsidR="009A244B">
        <w:t xml:space="preserve"> existing system at all</w:t>
      </w:r>
      <w:r>
        <w:t xml:space="preserve">, </w:t>
      </w:r>
      <w:r w:rsidR="009A244B">
        <w:t xml:space="preserve">Table </w:t>
      </w:r>
      <w:r w:rsidR="00937A4E">
        <w:t>4</w:t>
      </w:r>
      <w:r w:rsidR="009A244B">
        <w:t xml:space="preserve"> demonstrates that significant c</w:t>
      </w:r>
      <w:r>
        <w:t>osts</w:t>
      </w:r>
      <w:r w:rsidR="009A244B">
        <w:t xml:space="preserve"> are involved</w:t>
      </w:r>
      <w:r>
        <w:t xml:space="preserve">. In reality, the majority of existing recyclers are already ISO 14001 certified.  </w:t>
      </w:r>
      <w:r w:rsidR="009A244B">
        <w:t>Based on a brief review of the companies that contributed to the Wright/ Rawtec report</w:t>
      </w:r>
      <w:r w:rsidR="009A244B">
        <w:rPr>
          <w:rStyle w:val="FootnoteReference"/>
        </w:rPr>
        <w:footnoteReference w:id="8"/>
      </w:r>
      <w:r w:rsidR="009A244B">
        <w:t xml:space="preserve">, it appears that the overwhelming majority of recyclers currently operating in Australia are </w:t>
      </w:r>
      <w:r w:rsidR="00387C5D">
        <w:t xml:space="preserve">already </w:t>
      </w:r>
      <w:r w:rsidR="009A244B">
        <w:t>certified to ISO 14001.</w:t>
      </w:r>
    </w:p>
    <w:p w:rsidR="00E22B4B" w:rsidRDefault="00223F7A" w:rsidP="00223F7A">
      <w:pPr>
        <w:spacing w:before="240"/>
      </w:pPr>
      <w:r>
        <w:t xml:space="preserve">Indeed many would also be expected to have reasonable systems in place for data collection and reporting and even have undertaken and continue to undertake air quality monitoring in risk areas of </w:t>
      </w:r>
      <w:r>
        <w:lastRenderedPageBreak/>
        <w:t xml:space="preserve">their operations, as part of </w:t>
      </w:r>
      <w:r w:rsidR="00080782">
        <w:t xml:space="preserve">legal </w:t>
      </w:r>
      <w:r>
        <w:t xml:space="preserve">compliance with Work Safe requirements. For such companies, </w:t>
      </w:r>
      <w:r w:rsidR="009A244B">
        <w:t xml:space="preserve">much of the costs of Table </w:t>
      </w:r>
      <w:r w:rsidR="00937A4E">
        <w:t>4</w:t>
      </w:r>
      <w:r w:rsidR="009A244B">
        <w:t xml:space="preserve"> fall away as “business as usual” costs.  </w:t>
      </w:r>
    </w:p>
    <w:p w:rsidR="00223F7A" w:rsidRDefault="00E22B4B" w:rsidP="00223F7A">
      <w:pPr>
        <w:spacing w:before="240"/>
      </w:pPr>
      <w:r>
        <w:t>Assuming half of the costs for establishment of data collection/ record keeping systems are required by the DIIS as additional (upgrade of existing systems)</w:t>
      </w:r>
      <w:r w:rsidR="009A244B">
        <w:t xml:space="preserve">, </w:t>
      </w:r>
      <w:r>
        <w:t xml:space="preserve">for companies with existing ISO 14001 certification, </w:t>
      </w:r>
      <w:r w:rsidR="00223F7A">
        <w:t xml:space="preserve">annual costs would shrink to </w:t>
      </w:r>
      <w:r>
        <w:t>$22</w:t>
      </w:r>
      <w:r w:rsidR="00223F7A">
        <w:t>,0</w:t>
      </w:r>
      <w:r w:rsidR="009A244B">
        <w:t>00 per annum</w:t>
      </w:r>
      <w:r>
        <w:t xml:space="preserve"> for year one and </w:t>
      </w:r>
      <w:r w:rsidR="00387C5D">
        <w:t>$</w:t>
      </w:r>
      <w:r>
        <w:t>13,000</w:t>
      </w:r>
      <w:r w:rsidR="00080782">
        <w:t xml:space="preserve"> per annum averaged </w:t>
      </w:r>
      <w:r w:rsidR="00387C5D">
        <w:t>over the first 3 years</w:t>
      </w:r>
      <w:r w:rsidR="00937A4E">
        <w:t xml:space="preserve"> (see Table 5</w:t>
      </w:r>
      <w:r w:rsidR="009A244B">
        <w:t>).</w:t>
      </w:r>
    </w:p>
    <w:p w:rsidR="00080782" w:rsidRPr="00AF394B" w:rsidRDefault="00080782" w:rsidP="00080782">
      <w:pPr>
        <w:pStyle w:val="Caption"/>
        <w:keepNext/>
      </w:pPr>
      <w:bookmarkStart w:id="87" w:name="_Toc287018307"/>
      <w:r>
        <w:t xml:space="preserve">Table </w:t>
      </w:r>
      <w:fldSimple w:instr=" SEQ Table \* ARABIC ">
        <w:r w:rsidR="00235045">
          <w:rPr>
            <w:noProof/>
          </w:rPr>
          <w:t>5</w:t>
        </w:r>
      </w:fldSimple>
      <w:r>
        <w:t xml:space="preserve">:  </w:t>
      </w:r>
      <w:r w:rsidRPr="00AF394B">
        <w:t>Cost of implementation of DIIS for primary recyclers</w:t>
      </w:r>
      <w:r>
        <w:t xml:space="preserve"> (with ISO 14001 certification)</w:t>
      </w:r>
      <w:bookmarkEnd w:id="87"/>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2127"/>
        <w:gridCol w:w="3118"/>
      </w:tblGrid>
      <w:tr w:rsidR="00080782" w:rsidRPr="004F72F0" w:rsidTr="00080782">
        <w:tc>
          <w:tcPr>
            <w:tcW w:w="4077" w:type="dxa"/>
            <w:shd w:val="clear" w:color="auto" w:fill="BFBFBF"/>
            <w:vAlign w:val="center"/>
          </w:tcPr>
          <w:p w:rsidR="00080782" w:rsidRPr="008E5549" w:rsidRDefault="00080782" w:rsidP="00080782">
            <w:pPr>
              <w:jc w:val="center"/>
              <w:rPr>
                <w:b/>
              </w:rPr>
            </w:pPr>
            <w:r w:rsidRPr="008E5549">
              <w:rPr>
                <w:b/>
              </w:rPr>
              <w:t>DIIS implementation requirement</w:t>
            </w:r>
          </w:p>
        </w:tc>
        <w:tc>
          <w:tcPr>
            <w:tcW w:w="2127" w:type="dxa"/>
            <w:shd w:val="clear" w:color="auto" w:fill="BFBFBF"/>
            <w:vAlign w:val="center"/>
          </w:tcPr>
          <w:p w:rsidR="00080782" w:rsidRPr="008E5549" w:rsidRDefault="00080782" w:rsidP="00080782">
            <w:pPr>
              <w:jc w:val="center"/>
              <w:rPr>
                <w:b/>
              </w:rPr>
            </w:pPr>
            <w:r w:rsidRPr="008E5549">
              <w:rPr>
                <w:b/>
              </w:rPr>
              <w:t>Estimated cost ($) per entity</w:t>
            </w:r>
          </w:p>
        </w:tc>
        <w:tc>
          <w:tcPr>
            <w:tcW w:w="3118" w:type="dxa"/>
            <w:shd w:val="clear" w:color="auto" w:fill="BFBFBF"/>
            <w:vAlign w:val="center"/>
          </w:tcPr>
          <w:p w:rsidR="00080782" w:rsidRPr="008E5549" w:rsidRDefault="00080782" w:rsidP="00080782">
            <w:pPr>
              <w:jc w:val="center"/>
              <w:rPr>
                <w:b/>
              </w:rPr>
            </w:pPr>
            <w:r w:rsidRPr="008E5549">
              <w:rPr>
                <w:b/>
              </w:rPr>
              <w:t>Type of Cost</w:t>
            </w:r>
          </w:p>
        </w:tc>
      </w:tr>
      <w:tr w:rsidR="00080782" w:rsidTr="00080782">
        <w:tc>
          <w:tcPr>
            <w:tcW w:w="4077" w:type="dxa"/>
          </w:tcPr>
          <w:p w:rsidR="00080782" w:rsidRDefault="00080782" w:rsidP="00080782">
            <w:pPr>
              <w:spacing w:before="60" w:after="120"/>
            </w:pPr>
            <w:r>
              <w:t>Reporting to PSO</w:t>
            </w:r>
          </w:p>
        </w:tc>
        <w:tc>
          <w:tcPr>
            <w:tcW w:w="2127" w:type="dxa"/>
          </w:tcPr>
          <w:p w:rsidR="00080782" w:rsidRDefault="00080782" w:rsidP="00080782">
            <w:pPr>
              <w:spacing w:before="60" w:after="120"/>
              <w:jc w:val="center"/>
            </w:pPr>
            <w:r>
              <w:t>$6,000</w:t>
            </w:r>
          </w:p>
        </w:tc>
        <w:tc>
          <w:tcPr>
            <w:tcW w:w="3118" w:type="dxa"/>
          </w:tcPr>
          <w:p w:rsidR="00080782" w:rsidRPr="008E5549" w:rsidRDefault="00080782" w:rsidP="00080782">
            <w:pPr>
              <w:spacing w:before="60" w:after="120"/>
              <w:jc w:val="left"/>
              <w:rPr>
                <w:rFonts w:cs="Arial"/>
                <w:szCs w:val="20"/>
              </w:rPr>
            </w:pPr>
            <w:r w:rsidRPr="008E5549">
              <w:rPr>
                <w:rFonts w:cs="Arial"/>
                <w:szCs w:val="20"/>
              </w:rPr>
              <w:t>Operational – assumed annual</w:t>
            </w:r>
          </w:p>
        </w:tc>
      </w:tr>
      <w:tr w:rsidR="00E22B4B" w:rsidTr="00E22B4B">
        <w:tc>
          <w:tcPr>
            <w:tcW w:w="4077" w:type="dxa"/>
          </w:tcPr>
          <w:p w:rsidR="00E22B4B" w:rsidRDefault="00E22B4B" w:rsidP="00E22B4B">
            <w:pPr>
              <w:spacing w:before="60" w:after="120"/>
            </w:pPr>
            <w:r>
              <w:t>Establishment of data collection and record keeping systems</w:t>
            </w:r>
          </w:p>
        </w:tc>
        <w:tc>
          <w:tcPr>
            <w:tcW w:w="2127" w:type="dxa"/>
          </w:tcPr>
          <w:p w:rsidR="00E22B4B" w:rsidRDefault="00E22B4B" w:rsidP="00E22B4B">
            <w:pPr>
              <w:spacing w:before="60" w:after="120"/>
              <w:jc w:val="center"/>
            </w:pPr>
            <w:r>
              <w:t>$9,000</w:t>
            </w:r>
          </w:p>
        </w:tc>
        <w:tc>
          <w:tcPr>
            <w:tcW w:w="3118" w:type="dxa"/>
          </w:tcPr>
          <w:p w:rsidR="00E22B4B" w:rsidRPr="008E5549" w:rsidRDefault="00E22B4B" w:rsidP="00E22B4B">
            <w:pPr>
              <w:spacing w:before="60" w:after="120"/>
              <w:jc w:val="left"/>
              <w:rPr>
                <w:rFonts w:cs="Arial"/>
                <w:szCs w:val="20"/>
              </w:rPr>
            </w:pPr>
            <w:r w:rsidRPr="008E5549">
              <w:rPr>
                <w:rFonts w:cs="Arial"/>
                <w:szCs w:val="20"/>
              </w:rPr>
              <w:t>Establishment cost – first year only</w:t>
            </w:r>
            <w:r w:rsidR="00C07C33">
              <w:rPr>
                <w:rFonts w:cs="Arial"/>
                <w:szCs w:val="20"/>
              </w:rPr>
              <w:t xml:space="preserve"> (assumes upgrade of existing systems)</w:t>
            </w:r>
          </w:p>
        </w:tc>
      </w:tr>
      <w:tr w:rsidR="00080782" w:rsidTr="00080782">
        <w:tc>
          <w:tcPr>
            <w:tcW w:w="4077" w:type="dxa"/>
          </w:tcPr>
          <w:p w:rsidR="00080782" w:rsidRDefault="00080782" w:rsidP="00080782">
            <w:pPr>
              <w:spacing w:before="60" w:after="120"/>
            </w:pPr>
            <w:r>
              <w:t>Downstream processor procurement due diligence re HS&amp;E</w:t>
            </w:r>
          </w:p>
        </w:tc>
        <w:tc>
          <w:tcPr>
            <w:tcW w:w="2127" w:type="dxa"/>
          </w:tcPr>
          <w:p w:rsidR="00080782" w:rsidRDefault="00080782" w:rsidP="00080782">
            <w:pPr>
              <w:spacing w:before="60" w:after="120"/>
              <w:jc w:val="center"/>
            </w:pPr>
            <w:r>
              <w:t>$5,000</w:t>
            </w:r>
          </w:p>
        </w:tc>
        <w:tc>
          <w:tcPr>
            <w:tcW w:w="3118" w:type="dxa"/>
          </w:tcPr>
          <w:p w:rsidR="00080782" w:rsidRPr="008E5549" w:rsidRDefault="00080782" w:rsidP="00080782">
            <w:pPr>
              <w:spacing w:before="60" w:after="120"/>
              <w:jc w:val="left"/>
              <w:rPr>
                <w:rFonts w:cs="Arial"/>
                <w:szCs w:val="20"/>
              </w:rPr>
            </w:pPr>
            <w:r w:rsidRPr="008E5549">
              <w:rPr>
                <w:rFonts w:cs="Arial"/>
                <w:szCs w:val="20"/>
              </w:rPr>
              <w:t>Contract establishment</w:t>
            </w:r>
          </w:p>
        </w:tc>
      </w:tr>
      <w:tr w:rsidR="00080782" w:rsidTr="00080782">
        <w:tc>
          <w:tcPr>
            <w:tcW w:w="4077" w:type="dxa"/>
          </w:tcPr>
          <w:p w:rsidR="00080782" w:rsidRDefault="00080782" w:rsidP="00080782">
            <w:pPr>
              <w:spacing w:before="60" w:after="120"/>
              <w:jc w:val="left"/>
            </w:pPr>
            <w:r>
              <w:t>Downstream processor periodic audit</w:t>
            </w:r>
          </w:p>
        </w:tc>
        <w:tc>
          <w:tcPr>
            <w:tcW w:w="2127" w:type="dxa"/>
          </w:tcPr>
          <w:p w:rsidR="00080782" w:rsidRDefault="00080782" w:rsidP="00080782">
            <w:pPr>
              <w:spacing w:before="60" w:after="120"/>
              <w:jc w:val="center"/>
            </w:pPr>
            <w:r>
              <w:t>$2,000</w:t>
            </w:r>
          </w:p>
        </w:tc>
        <w:tc>
          <w:tcPr>
            <w:tcW w:w="3118" w:type="dxa"/>
          </w:tcPr>
          <w:p w:rsidR="00080782" w:rsidRPr="008E5549" w:rsidRDefault="00080782" w:rsidP="00080782">
            <w:pPr>
              <w:spacing w:before="60" w:after="120"/>
              <w:jc w:val="left"/>
              <w:rPr>
                <w:rFonts w:cs="Arial"/>
                <w:szCs w:val="20"/>
              </w:rPr>
            </w:pPr>
            <w:r w:rsidRPr="008E5549">
              <w:rPr>
                <w:rFonts w:cs="Arial"/>
                <w:szCs w:val="20"/>
              </w:rPr>
              <w:t>Operational – assumed annual</w:t>
            </w:r>
          </w:p>
        </w:tc>
      </w:tr>
      <w:tr w:rsidR="00080782" w:rsidRPr="009B545B" w:rsidTr="00080782">
        <w:tc>
          <w:tcPr>
            <w:tcW w:w="4077" w:type="dxa"/>
          </w:tcPr>
          <w:p w:rsidR="00080782" w:rsidRPr="008E5549" w:rsidRDefault="00080782" w:rsidP="00080782">
            <w:pPr>
              <w:spacing w:before="60" w:after="120"/>
              <w:jc w:val="left"/>
              <w:rPr>
                <w:b/>
              </w:rPr>
            </w:pPr>
            <w:r w:rsidRPr="008E5549">
              <w:rPr>
                <w:b/>
              </w:rPr>
              <w:t>Total (1</w:t>
            </w:r>
            <w:r w:rsidRPr="008E5549">
              <w:rPr>
                <w:b/>
                <w:vertAlign w:val="superscript"/>
              </w:rPr>
              <w:t>st</w:t>
            </w:r>
            <w:r w:rsidRPr="008E5549">
              <w:rPr>
                <w:b/>
              </w:rPr>
              <w:t xml:space="preserve"> year)</w:t>
            </w:r>
          </w:p>
        </w:tc>
        <w:tc>
          <w:tcPr>
            <w:tcW w:w="2127" w:type="dxa"/>
          </w:tcPr>
          <w:p w:rsidR="00080782" w:rsidRPr="008E5549" w:rsidRDefault="00080782" w:rsidP="00E22B4B">
            <w:pPr>
              <w:spacing w:before="60" w:after="120"/>
              <w:jc w:val="center"/>
              <w:rPr>
                <w:b/>
              </w:rPr>
            </w:pPr>
            <w:r w:rsidRPr="008E5549">
              <w:rPr>
                <w:b/>
              </w:rPr>
              <w:t>$</w:t>
            </w:r>
            <w:r w:rsidR="00E22B4B">
              <w:rPr>
                <w:b/>
              </w:rPr>
              <w:t>22</w:t>
            </w:r>
            <w:r>
              <w:rPr>
                <w:b/>
              </w:rPr>
              <w:t>,000</w:t>
            </w:r>
          </w:p>
        </w:tc>
        <w:tc>
          <w:tcPr>
            <w:tcW w:w="3118" w:type="dxa"/>
          </w:tcPr>
          <w:p w:rsidR="00080782" w:rsidRPr="008E5549" w:rsidRDefault="00080782" w:rsidP="00080782">
            <w:pPr>
              <w:spacing w:before="60" w:after="120"/>
              <w:jc w:val="left"/>
              <w:rPr>
                <w:rFonts w:cs="Arial"/>
                <w:b/>
                <w:szCs w:val="20"/>
              </w:rPr>
            </w:pPr>
          </w:p>
        </w:tc>
      </w:tr>
      <w:tr w:rsidR="00080782" w:rsidRPr="009B545B" w:rsidTr="00080782">
        <w:tc>
          <w:tcPr>
            <w:tcW w:w="4077" w:type="dxa"/>
          </w:tcPr>
          <w:p w:rsidR="00080782" w:rsidRPr="008E5549" w:rsidRDefault="00080782" w:rsidP="00080782">
            <w:pPr>
              <w:spacing w:before="60" w:after="120"/>
              <w:jc w:val="left"/>
              <w:rPr>
                <w:b/>
              </w:rPr>
            </w:pPr>
            <w:r w:rsidRPr="008E5549">
              <w:rPr>
                <w:b/>
              </w:rPr>
              <w:t>Average cost per year (over 3 year cycle)</w:t>
            </w:r>
          </w:p>
        </w:tc>
        <w:tc>
          <w:tcPr>
            <w:tcW w:w="2127" w:type="dxa"/>
          </w:tcPr>
          <w:p w:rsidR="00080782" w:rsidRPr="008E5549" w:rsidRDefault="00080782" w:rsidP="00E22B4B">
            <w:pPr>
              <w:spacing w:before="60" w:after="120"/>
              <w:jc w:val="center"/>
              <w:rPr>
                <w:b/>
              </w:rPr>
            </w:pPr>
            <w:r w:rsidRPr="008E5549">
              <w:rPr>
                <w:b/>
              </w:rPr>
              <w:t>$</w:t>
            </w:r>
            <w:r w:rsidR="00E22B4B">
              <w:rPr>
                <w:b/>
              </w:rPr>
              <w:t>13,000</w:t>
            </w:r>
          </w:p>
        </w:tc>
        <w:tc>
          <w:tcPr>
            <w:tcW w:w="3118" w:type="dxa"/>
          </w:tcPr>
          <w:p w:rsidR="00080782" w:rsidRPr="008E5549" w:rsidRDefault="00080782" w:rsidP="00E22B4B">
            <w:pPr>
              <w:spacing w:before="60" w:after="120"/>
              <w:jc w:val="left"/>
              <w:rPr>
                <w:rFonts w:cs="Arial"/>
                <w:b/>
                <w:szCs w:val="20"/>
              </w:rPr>
            </w:pPr>
            <w:r w:rsidRPr="008E5549">
              <w:rPr>
                <w:rFonts w:cs="Arial"/>
                <w:b/>
                <w:szCs w:val="20"/>
              </w:rPr>
              <w:t>$</w:t>
            </w:r>
            <w:r w:rsidR="00E22B4B">
              <w:rPr>
                <w:rFonts w:cs="Arial"/>
                <w:b/>
                <w:szCs w:val="20"/>
              </w:rPr>
              <w:t>22</w:t>
            </w:r>
            <w:r w:rsidRPr="008E5549">
              <w:rPr>
                <w:rFonts w:cs="Arial"/>
                <w:b/>
                <w:szCs w:val="20"/>
              </w:rPr>
              <w:t>K year 1, $</w:t>
            </w:r>
            <w:r>
              <w:rPr>
                <w:rFonts w:cs="Arial"/>
                <w:b/>
                <w:szCs w:val="20"/>
              </w:rPr>
              <w:t>8</w:t>
            </w:r>
            <w:r w:rsidRPr="008E5549">
              <w:rPr>
                <w:rFonts w:cs="Arial"/>
                <w:b/>
                <w:szCs w:val="20"/>
              </w:rPr>
              <w:t>K year 2, $</w:t>
            </w:r>
            <w:r>
              <w:rPr>
                <w:rFonts w:cs="Arial"/>
                <w:b/>
                <w:szCs w:val="20"/>
              </w:rPr>
              <w:t>8</w:t>
            </w:r>
            <w:r w:rsidRPr="008E5549">
              <w:rPr>
                <w:rFonts w:cs="Arial"/>
                <w:b/>
                <w:szCs w:val="20"/>
              </w:rPr>
              <w:t>K year 3</w:t>
            </w:r>
            <w:r>
              <w:rPr>
                <w:rFonts w:cs="Arial"/>
                <w:b/>
                <w:szCs w:val="20"/>
              </w:rPr>
              <w:t xml:space="preserve"> (assuming 3 year contracts)</w:t>
            </w:r>
          </w:p>
        </w:tc>
      </w:tr>
    </w:tbl>
    <w:p w:rsidR="003E24B5" w:rsidRDefault="003E24B5" w:rsidP="00162446">
      <w:pPr>
        <w:pStyle w:val="KMHNumberheading20"/>
        <w:numPr>
          <w:ilvl w:val="1"/>
          <w:numId w:val="56"/>
        </w:numPr>
        <w:spacing w:before="240"/>
        <w:ind w:left="573" w:hanging="431"/>
      </w:pPr>
      <w:bookmarkStart w:id="88" w:name="_Toc231628793"/>
      <w:bookmarkStart w:id="89" w:name="_Toc287018246"/>
      <w:bookmarkEnd w:id="88"/>
      <w:r>
        <w:t>Downstream processor costs</w:t>
      </w:r>
      <w:bookmarkEnd w:id="89"/>
    </w:p>
    <w:p w:rsidR="003E24B5" w:rsidRDefault="003E24B5" w:rsidP="00D96696">
      <w:r>
        <w:t>While downstream processors are an important party to the National Television and Computer Product Stewardship Scheme, they are not directly required to comply with the DIIS because they will not be contracted directly by the PSO. However, the primary recycler may choose, as part of due diligence in their procurement process, to require a downstream processor to comply with the DIIS as a condition of contract.</w:t>
      </w:r>
    </w:p>
    <w:p w:rsidR="003E24B5" w:rsidRDefault="003E24B5" w:rsidP="00D96696">
      <w:r>
        <w:t>At this stage no costs associated with implementation of the DIIS have been levied at downstream processors as part of this analysis.</w:t>
      </w:r>
    </w:p>
    <w:p w:rsidR="003E24B5" w:rsidRDefault="003E24B5" w:rsidP="00162446">
      <w:pPr>
        <w:pStyle w:val="KMHNumberheading20"/>
        <w:numPr>
          <w:ilvl w:val="1"/>
          <w:numId w:val="56"/>
        </w:numPr>
      </w:pPr>
      <w:bookmarkStart w:id="90" w:name="_Toc287018247"/>
      <w:r>
        <w:t>Program administration costs</w:t>
      </w:r>
      <w:bookmarkEnd w:id="90"/>
    </w:p>
    <w:p w:rsidR="003E24B5" w:rsidRDefault="003E24B5" w:rsidP="00436358">
      <w:pPr>
        <w:pStyle w:val="Caption"/>
        <w:rPr>
          <w:b w:val="0"/>
          <w:bCs w:val="0"/>
          <w:color w:val="auto"/>
          <w:sz w:val="20"/>
          <w:szCs w:val="22"/>
        </w:rPr>
      </w:pPr>
      <w:r>
        <w:rPr>
          <w:b w:val="0"/>
          <w:bCs w:val="0"/>
          <w:color w:val="auto"/>
          <w:sz w:val="20"/>
          <w:szCs w:val="22"/>
        </w:rPr>
        <w:t>The PSO is the industry body that would administer the program and government would also continue to have an administrative role once the program commences. Both of these costs are estimated in the Decision RIS</w:t>
      </w:r>
      <w:r>
        <w:rPr>
          <w:rStyle w:val="FootnoteReference"/>
          <w:b w:val="0"/>
          <w:bCs w:val="0"/>
          <w:color w:val="auto"/>
          <w:sz w:val="20"/>
          <w:szCs w:val="22"/>
        </w:rPr>
        <w:footnoteReference w:id="9"/>
      </w:r>
      <w:r>
        <w:rPr>
          <w:b w:val="0"/>
          <w:bCs w:val="0"/>
          <w:color w:val="auto"/>
          <w:sz w:val="20"/>
          <w:szCs w:val="22"/>
        </w:rPr>
        <w:t xml:space="preserve"> (Table 23). These costs are not directly impacted by the presence of the DIIS as compliance with the DIIS applies only to collection locations, transporters and primary recyclers.</w:t>
      </w:r>
    </w:p>
    <w:p w:rsidR="003E24B5" w:rsidRDefault="003E24B5" w:rsidP="00162446">
      <w:pPr>
        <w:pStyle w:val="KMHNumberheading20"/>
        <w:numPr>
          <w:ilvl w:val="1"/>
          <w:numId w:val="56"/>
        </w:numPr>
      </w:pPr>
      <w:bookmarkStart w:id="91" w:name="_Toc287018248"/>
      <w:r>
        <w:t>Discussion</w:t>
      </w:r>
      <w:bookmarkEnd w:id="91"/>
    </w:p>
    <w:p w:rsidR="003E24B5" w:rsidRDefault="003E24B5" w:rsidP="00FC39CB">
      <w:pPr>
        <w:pStyle w:val="Caption"/>
        <w:rPr>
          <w:b w:val="0"/>
          <w:bCs w:val="0"/>
          <w:color w:val="auto"/>
          <w:sz w:val="20"/>
          <w:szCs w:val="22"/>
        </w:rPr>
      </w:pPr>
      <w:r>
        <w:rPr>
          <w:b w:val="0"/>
          <w:bCs w:val="0"/>
          <w:color w:val="auto"/>
          <w:sz w:val="20"/>
          <w:szCs w:val="22"/>
        </w:rPr>
        <w:t>Estimates for annualised costs averaged over three years and first year costs, for each program participant</w:t>
      </w:r>
      <w:r w:rsidR="00937A4E">
        <w:rPr>
          <w:b w:val="0"/>
          <w:bCs w:val="0"/>
          <w:color w:val="auto"/>
          <w:sz w:val="20"/>
          <w:szCs w:val="22"/>
        </w:rPr>
        <w:t xml:space="preserve"> as an existing supplier of these services</w:t>
      </w:r>
      <w:r>
        <w:rPr>
          <w:b w:val="0"/>
          <w:bCs w:val="0"/>
          <w:color w:val="auto"/>
          <w:sz w:val="20"/>
          <w:szCs w:val="22"/>
        </w:rPr>
        <w:t xml:space="preserve">, are summarised </w:t>
      </w:r>
      <w:r w:rsidR="00937A4E">
        <w:rPr>
          <w:b w:val="0"/>
          <w:bCs w:val="0"/>
          <w:color w:val="auto"/>
          <w:sz w:val="20"/>
          <w:szCs w:val="22"/>
        </w:rPr>
        <w:t>in Table 6</w:t>
      </w:r>
      <w:r>
        <w:rPr>
          <w:b w:val="0"/>
          <w:bCs w:val="0"/>
          <w:color w:val="auto"/>
          <w:sz w:val="20"/>
          <w:szCs w:val="22"/>
        </w:rPr>
        <w:t>.</w:t>
      </w:r>
    </w:p>
    <w:p w:rsidR="003E24B5" w:rsidRPr="00AF394B" w:rsidRDefault="003E24B5" w:rsidP="00456097">
      <w:pPr>
        <w:pStyle w:val="Caption"/>
        <w:keepNext/>
      </w:pPr>
      <w:bookmarkStart w:id="92" w:name="_Toc287018308"/>
      <w:r>
        <w:t xml:space="preserve">Table </w:t>
      </w:r>
      <w:fldSimple w:instr=" SEQ Table \* ARABIC ">
        <w:r w:rsidR="00235045">
          <w:rPr>
            <w:noProof/>
          </w:rPr>
          <w:t>6</w:t>
        </w:r>
      </w:fldSimple>
      <w:r w:rsidRPr="00AF394B">
        <w:t>:  Summarised costs of DIIS implementation per participant</w:t>
      </w:r>
      <w:r w:rsidR="00937A4E">
        <w:t xml:space="preserve"> (existing)</w:t>
      </w:r>
      <w:bookmarkEnd w:id="92"/>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19"/>
        <w:gridCol w:w="1985"/>
        <w:gridCol w:w="3118"/>
      </w:tblGrid>
      <w:tr w:rsidR="003E24B5" w:rsidRPr="004F72F0" w:rsidTr="008E5549">
        <w:tc>
          <w:tcPr>
            <w:tcW w:w="4219" w:type="dxa"/>
            <w:shd w:val="clear" w:color="auto" w:fill="BFBFBF"/>
            <w:vAlign w:val="center"/>
          </w:tcPr>
          <w:p w:rsidR="003E24B5" w:rsidRPr="008E5549" w:rsidRDefault="003E24B5" w:rsidP="008E5549">
            <w:pPr>
              <w:jc w:val="center"/>
              <w:rPr>
                <w:b/>
              </w:rPr>
            </w:pPr>
            <w:r w:rsidRPr="008E5549">
              <w:rPr>
                <w:b/>
              </w:rPr>
              <w:t>Program Participant</w:t>
            </w:r>
          </w:p>
        </w:tc>
        <w:tc>
          <w:tcPr>
            <w:tcW w:w="1985" w:type="dxa"/>
            <w:shd w:val="clear" w:color="auto" w:fill="BFBFBF"/>
            <w:vAlign w:val="center"/>
          </w:tcPr>
          <w:p w:rsidR="003E24B5" w:rsidRPr="008E5549" w:rsidRDefault="003E24B5" w:rsidP="008E5549">
            <w:pPr>
              <w:jc w:val="center"/>
              <w:rPr>
                <w:b/>
              </w:rPr>
            </w:pPr>
            <w:r w:rsidRPr="008E5549">
              <w:rPr>
                <w:b/>
              </w:rPr>
              <w:t>Estimated annual cost ($) per entity</w:t>
            </w:r>
          </w:p>
        </w:tc>
        <w:tc>
          <w:tcPr>
            <w:tcW w:w="3118" w:type="dxa"/>
            <w:shd w:val="clear" w:color="auto" w:fill="BFBFBF"/>
            <w:vAlign w:val="center"/>
          </w:tcPr>
          <w:p w:rsidR="003E24B5" w:rsidRPr="008E5549" w:rsidRDefault="003E24B5" w:rsidP="008E5549">
            <w:pPr>
              <w:jc w:val="center"/>
              <w:rPr>
                <w:b/>
              </w:rPr>
            </w:pPr>
            <w:r w:rsidRPr="008E5549">
              <w:rPr>
                <w:b/>
              </w:rPr>
              <w:t>Estimated first year cost ($) per entity</w:t>
            </w:r>
          </w:p>
        </w:tc>
      </w:tr>
      <w:tr w:rsidR="003E24B5" w:rsidRPr="006E04FC" w:rsidTr="008E5549">
        <w:tc>
          <w:tcPr>
            <w:tcW w:w="4219" w:type="dxa"/>
          </w:tcPr>
          <w:p w:rsidR="003E24B5" w:rsidRPr="008E5549" w:rsidRDefault="003E24B5" w:rsidP="008E5549">
            <w:pPr>
              <w:spacing w:before="60" w:after="120"/>
              <w:jc w:val="left"/>
              <w:rPr>
                <w:rFonts w:cs="Arial"/>
                <w:szCs w:val="20"/>
              </w:rPr>
            </w:pPr>
            <w:r w:rsidRPr="008E5549">
              <w:rPr>
                <w:rFonts w:cs="Arial"/>
                <w:szCs w:val="20"/>
              </w:rPr>
              <w:t>Collection location</w:t>
            </w:r>
          </w:p>
        </w:tc>
        <w:tc>
          <w:tcPr>
            <w:tcW w:w="1985" w:type="dxa"/>
          </w:tcPr>
          <w:p w:rsidR="003E24B5" w:rsidRPr="00937A4E" w:rsidRDefault="00937A4E" w:rsidP="008E5549">
            <w:pPr>
              <w:spacing w:before="60" w:after="120"/>
              <w:jc w:val="center"/>
              <w:rPr>
                <w:rFonts w:cs="Arial"/>
                <w:szCs w:val="20"/>
              </w:rPr>
            </w:pPr>
            <w:r w:rsidRPr="00937A4E">
              <w:t>$5,200 - $6,200</w:t>
            </w:r>
          </w:p>
        </w:tc>
        <w:tc>
          <w:tcPr>
            <w:tcW w:w="3118" w:type="dxa"/>
          </w:tcPr>
          <w:p w:rsidR="003E24B5" w:rsidRPr="008E5549" w:rsidRDefault="003E24B5" w:rsidP="00937A4E">
            <w:pPr>
              <w:spacing w:before="60" w:after="120"/>
              <w:jc w:val="center"/>
              <w:rPr>
                <w:rFonts w:cs="Arial"/>
                <w:szCs w:val="20"/>
              </w:rPr>
            </w:pPr>
            <w:r w:rsidRPr="00634D6C">
              <w:t>$</w:t>
            </w:r>
            <w:r w:rsidR="00937A4E">
              <w:t>9,500-$12,500</w:t>
            </w:r>
          </w:p>
        </w:tc>
      </w:tr>
      <w:tr w:rsidR="003E24B5" w:rsidTr="008E5549">
        <w:tc>
          <w:tcPr>
            <w:tcW w:w="4219" w:type="dxa"/>
          </w:tcPr>
          <w:p w:rsidR="003E24B5" w:rsidRDefault="003E24B5" w:rsidP="008E5549">
            <w:pPr>
              <w:spacing w:before="60" w:after="120"/>
            </w:pPr>
            <w:r>
              <w:t>Transporter</w:t>
            </w:r>
            <w:r w:rsidR="00937A4E">
              <w:t xml:space="preserve"> company</w:t>
            </w:r>
          </w:p>
        </w:tc>
        <w:tc>
          <w:tcPr>
            <w:tcW w:w="1985" w:type="dxa"/>
          </w:tcPr>
          <w:p w:rsidR="003E24B5" w:rsidRPr="008E5549" w:rsidRDefault="003E24B5" w:rsidP="00937A4E">
            <w:pPr>
              <w:spacing w:before="60" w:after="120"/>
              <w:jc w:val="center"/>
              <w:rPr>
                <w:rFonts w:cs="Arial"/>
                <w:szCs w:val="20"/>
              </w:rPr>
            </w:pPr>
            <w:r w:rsidRPr="00634D6C">
              <w:t>$</w:t>
            </w:r>
            <w:r w:rsidR="00937A4E">
              <w:t>0</w:t>
            </w:r>
          </w:p>
        </w:tc>
        <w:tc>
          <w:tcPr>
            <w:tcW w:w="3118" w:type="dxa"/>
          </w:tcPr>
          <w:p w:rsidR="003E24B5" w:rsidRPr="008E5549" w:rsidRDefault="003E24B5" w:rsidP="00937A4E">
            <w:pPr>
              <w:spacing w:before="60" w:after="120"/>
              <w:jc w:val="center"/>
              <w:rPr>
                <w:rFonts w:cs="Arial"/>
                <w:szCs w:val="20"/>
              </w:rPr>
            </w:pPr>
            <w:r w:rsidRPr="00634D6C">
              <w:t>$</w:t>
            </w:r>
            <w:r w:rsidR="00937A4E">
              <w:t>0</w:t>
            </w:r>
          </w:p>
        </w:tc>
      </w:tr>
      <w:tr w:rsidR="003E24B5" w:rsidRPr="0044602F" w:rsidTr="008E5549">
        <w:tc>
          <w:tcPr>
            <w:tcW w:w="4219" w:type="dxa"/>
          </w:tcPr>
          <w:p w:rsidR="003E24B5" w:rsidRPr="00C83A90" w:rsidRDefault="003E24B5" w:rsidP="008E5549">
            <w:pPr>
              <w:spacing w:before="60" w:after="120"/>
              <w:jc w:val="left"/>
            </w:pPr>
            <w:r>
              <w:t>Recycler</w:t>
            </w:r>
          </w:p>
        </w:tc>
        <w:tc>
          <w:tcPr>
            <w:tcW w:w="1985" w:type="dxa"/>
          </w:tcPr>
          <w:p w:rsidR="003E24B5" w:rsidRPr="00634D6C" w:rsidRDefault="003E24B5" w:rsidP="00937A4E">
            <w:pPr>
              <w:spacing w:before="60" w:after="120"/>
              <w:jc w:val="center"/>
            </w:pPr>
            <w:r w:rsidRPr="00634D6C">
              <w:t>$</w:t>
            </w:r>
            <w:r w:rsidR="00937A4E">
              <w:t>13,000</w:t>
            </w:r>
          </w:p>
        </w:tc>
        <w:tc>
          <w:tcPr>
            <w:tcW w:w="3118" w:type="dxa"/>
          </w:tcPr>
          <w:p w:rsidR="003E24B5" w:rsidRPr="008E5549" w:rsidRDefault="003E24B5" w:rsidP="00937A4E">
            <w:pPr>
              <w:spacing w:before="60" w:after="120"/>
              <w:jc w:val="center"/>
              <w:rPr>
                <w:rFonts w:cs="Arial"/>
                <w:szCs w:val="20"/>
              </w:rPr>
            </w:pPr>
            <w:r w:rsidRPr="00634D6C">
              <w:t>$</w:t>
            </w:r>
            <w:r w:rsidR="00937A4E">
              <w:t>22,000</w:t>
            </w:r>
          </w:p>
        </w:tc>
      </w:tr>
    </w:tbl>
    <w:p w:rsidR="00937A4E" w:rsidRDefault="00937A4E" w:rsidP="00937A4E">
      <w:pPr>
        <w:pStyle w:val="Caption"/>
        <w:rPr>
          <w:b w:val="0"/>
          <w:bCs w:val="0"/>
          <w:color w:val="auto"/>
          <w:sz w:val="20"/>
          <w:szCs w:val="22"/>
        </w:rPr>
      </w:pPr>
      <w:r>
        <w:rPr>
          <w:b w:val="0"/>
          <w:bCs w:val="0"/>
          <w:color w:val="auto"/>
          <w:sz w:val="20"/>
          <w:szCs w:val="22"/>
        </w:rPr>
        <w:lastRenderedPageBreak/>
        <w:t>Estimates for annualised costs averaged over three years and first year costs, for each program participant as a new entrant, are summarised in Table 7.</w:t>
      </w:r>
    </w:p>
    <w:p w:rsidR="00D34F05" w:rsidRDefault="00D34F05" w:rsidP="00D34F05">
      <w:pPr>
        <w:pStyle w:val="Caption"/>
        <w:keepNext/>
      </w:pPr>
      <w:bookmarkStart w:id="93" w:name="_Toc287018309"/>
      <w:r>
        <w:t xml:space="preserve">Table </w:t>
      </w:r>
      <w:fldSimple w:instr=" SEQ Table \* ARABIC ">
        <w:r w:rsidR="00235045">
          <w:rPr>
            <w:noProof/>
          </w:rPr>
          <w:t>7</w:t>
        </w:r>
      </w:fldSimple>
      <w:r w:rsidRPr="00AF394B">
        <w:t>:  Summarised costs of DIIS implementation per participant</w:t>
      </w:r>
      <w:r>
        <w:t xml:space="preserve"> (new)</w:t>
      </w:r>
      <w:bookmarkEnd w:id="93"/>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19"/>
        <w:gridCol w:w="1985"/>
        <w:gridCol w:w="3118"/>
      </w:tblGrid>
      <w:tr w:rsidR="00D34F05" w:rsidRPr="004F72F0" w:rsidTr="00D34F05">
        <w:tc>
          <w:tcPr>
            <w:tcW w:w="4219" w:type="dxa"/>
            <w:shd w:val="clear" w:color="auto" w:fill="BFBFBF"/>
            <w:vAlign w:val="center"/>
          </w:tcPr>
          <w:p w:rsidR="00D34F05" w:rsidRPr="008E5549" w:rsidRDefault="00D34F05" w:rsidP="00D34F05">
            <w:pPr>
              <w:jc w:val="center"/>
              <w:rPr>
                <w:b/>
              </w:rPr>
            </w:pPr>
            <w:r w:rsidRPr="008E5549">
              <w:rPr>
                <w:b/>
              </w:rPr>
              <w:t>Program Participant</w:t>
            </w:r>
          </w:p>
        </w:tc>
        <w:tc>
          <w:tcPr>
            <w:tcW w:w="1985" w:type="dxa"/>
            <w:shd w:val="clear" w:color="auto" w:fill="BFBFBF"/>
            <w:vAlign w:val="center"/>
          </w:tcPr>
          <w:p w:rsidR="00D34F05" w:rsidRPr="008E5549" w:rsidRDefault="00D34F05" w:rsidP="00D34F05">
            <w:pPr>
              <w:jc w:val="center"/>
              <w:rPr>
                <w:b/>
              </w:rPr>
            </w:pPr>
            <w:r w:rsidRPr="008E5549">
              <w:rPr>
                <w:b/>
              </w:rPr>
              <w:t>Estimated annual cost ($) per entity</w:t>
            </w:r>
          </w:p>
        </w:tc>
        <w:tc>
          <w:tcPr>
            <w:tcW w:w="3118" w:type="dxa"/>
            <w:shd w:val="clear" w:color="auto" w:fill="BFBFBF"/>
            <w:vAlign w:val="center"/>
          </w:tcPr>
          <w:p w:rsidR="00D34F05" w:rsidRPr="008E5549" w:rsidRDefault="00D34F05" w:rsidP="00D34F05">
            <w:pPr>
              <w:jc w:val="center"/>
              <w:rPr>
                <w:b/>
              </w:rPr>
            </w:pPr>
            <w:r w:rsidRPr="008E5549">
              <w:rPr>
                <w:b/>
              </w:rPr>
              <w:t>Estimated first year cost ($) per entity</w:t>
            </w:r>
          </w:p>
        </w:tc>
      </w:tr>
      <w:tr w:rsidR="00D34F05" w:rsidRPr="006E04FC" w:rsidTr="00D34F05">
        <w:tc>
          <w:tcPr>
            <w:tcW w:w="4219" w:type="dxa"/>
          </w:tcPr>
          <w:p w:rsidR="00D34F05" w:rsidRPr="008E5549" w:rsidRDefault="00D34F05" w:rsidP="00D34F05">
            <w:pPr>
              <w:spacing w:before="60" w:after="120"/>
              <w:jc w:val="left"/>
              <w:rPr>
                <w:rFonts w:cs="Arial"/>
                <w:szCs w:val="20"/>
              </w:rPr>
            </w:pPr>
            <w:r w:rsidRPr="008E5549">
              <w:rPr>
                <w:rFonts w:cs="Arial"/>
                <w:szCs w:val="20"/>
              </w:rPr>
              <w:t>Collection location</w:t>
            </w:r>
          </w:p>
        </w:tc>
        <w:tc>
          <w:tcPr>
            <w:tcW w:w="1985" w:type="dxa"/>
          </w:tcPr>
          <w:p w:rsidR="00D34F05" w:rsidRPr="008E5549" w:rsidRDefault="00D34F05" w:rsidP="00D34F05">
            <w:pPr>
              <w:spacing w:before="60" w:after="120"/>
              <w:jc w:val="center"/>
              <w:rPr>
                <w:rFonts w:cs="Arial"/>
                <w:szCs w:val="20"/>
              </w:rPr>
            </w:pPr>
            <w:r w:rsidRPr="00634D6C">
              <w:t>$16,000 - $18,000</w:t>
            </w:r>
          </w:p>
        </w:tc>
        <w:tc>
          <w:tcPr>
            <w:tcW w:w="3118" w:type="dxa"/>
          </w:tcPr>
          <w:p w:rsidR="00D34F05" w:rsidRPr="008E5549" w:rsidRDefault="00D34F05" w:rsidP="00D34F05">
            <w:pPr>
              <w:spacing w:before="60" w:after="120"/>
              <w:jc w:val="center"/>
              <w:rPr>
                <w:rFonts w:cs="Arial"/>
                <w:szCs w:val="20"/>
              </w:rPr>
            </w:pPr>
            <w:r w:rsidRPr="00634D6C">
              <w:t>$25,000 - $31,000</w:t>
            </w:r>
          </w:p>
        </w:tc>
      </w:tr>
      <w:tr w:rsidR="00D34F05" w:rsidTr="00D34F05">
        <w:tc>
          <w:tcPr>
            <w:tcW w:w="4219" w:type="dxa"/>
          </w:tcPr>
          <w:p w:rsidR="00D34F05" w:rsidRDefault="00D34F05" w:rsidP="00D34F05">
            <w:pPr>
              <w:spacing w:before="60" w:after="120"/>
            </w:pPr>
            <w:r>
              <w:t>Transporter</w:t>
            </w:r>
          </w:p>
        </w:tc>
        <w:tc>
          <w:tcPr>
            <w:tcW w:w="1985" w:type="dxa"/>
          </w:tcPr>
          <w:p w:rsidR="00D34F05" w:rsidRPr="008E5549" w:rsidRDefault="00D34F05" w:rsidP="00D34F05">
            <w:pPr>
              <w:spacing w:before="60" w:after="120"/>
              <w:jc w:val="center"/>
              <w:rPr>
                <w:rFonts w:cs="Arial"/>
                <w:szCs w:val="20"/>
              </w:rPr>
            </w:pPr>
            <w:r w:rsidRPr="00634D6C">
              <w:t>$5,700 - $6,700</w:t>
            </w:r>
          </w:p>
        </w:tc>
        <w:tc>
          <w:tcPr>
            <w:tcW w:w="3118" w:type="dxa"/>
          </w:tcPr>
          <w:p w:rsidR="00D34F05" w:rsidRPr="008E5549" w:rsidRDefault="00D34F05" w:rsidP="00D34F05">
            <w:pPr>
              <w:spacing w:before="60" w:after="120"/>
              <w:jc w:val="center"/>
              <w:rPr>
                <w:rFonts w:cs="Arial"/>
                <w:szCs w:val="20"/>
              </w:rPr>
            </w:pPr>
            <w:r w:rsidRPr="00634D6C">
              <w:t>$</w:t>
            </w:r>
            <w:r>
              <w:t>7</w:t>
            </w:r>
            <w:r w:rsidRPr="00634D6C">
              <w:t>,000 - $1</w:t>
            </w:r>
            <w:r>
              <w:t>0</w:t>
            </w:r>
            <w:r w:rsidRPr="00634D6C">
              <w:t>,000</w:t>
            </w:r>
          </w:p>
        </w:tc>
      </w:tr>
      <w:tr w:rsidR="00D34F05" w:rsidRPr="0044602F" w:rsidTr="00D34F05">
        <w:tc>
          <w:tcPr>
            <w:tcW w:w="4219" w:type="dxa"/>
          </w:tcPr>
          <w:p w:rsidR="00D34F05" w:rsidRPr="00C83A90" w:rsidRDefault="00D34F05" w:rsidP="00D34F05">
            <w:pPr>
              <w:spacing w:before="60" w:after="120"/>
              <w:jc w:val="left"/>
            </w:pPr>
            <w:r>
              <w:t>Recycler</w:t>
            </w:r>
          </w:p>
        </w:tc>
        <w:tc>
          <w:tcPr>
            <w:tcW w:w="1985" w:type="dxa"/>
          </w:tcPr>
          <w:p w:rsidR="00D34F05" w:rsidRPr="00634D6C" w:rsidRDefault="00D34F05" w:rsidP="00D34F05">
            <w:pPr>
              <w:spacing w:before="60" w:after="120"/>
              <w:jc w:val="center"/>
            </w:pPr>
            <w:r w:rsidRPr="00634D6C">
              <w:t>$52,000 - $88,000</w:t>
            </w:r>
          </w:p>
        </w:tc>
        <w:tc>
          <w:tcPr>
            <w:tcW w:w="3118" w:type="dxa"/>
          </w:tcPr>
          <w:p w:rsidR="00D34F05" w:rsidRPr="008E5549" w:rsidRDefault="00D34F05" w:rsidP="00D34F05">
            <w:pPr>
              <w:spacing w:before="60" w:after="120"/>
              <w:jc w:val="center"/>
              <w:rPr>
                <w:rFonts w:cs="Arial"/>
                <w:szCs w:val="20"/>
              </w:rPr>
            </w:pPr>
            <w:r w:rsidRPr="00634D6C">
              <w:t>$87,000 – $143,000</w:t>
            </w:r>
          </w:p>
        </w:tc>
      </w:tr>
    </w:tbl>
    <w:p w:rsidR="00770E8A" w:rsidRDefault="00770E8A" w:rsidP="003E62F4">
      <w:pPr>
        <w:spacing w:before="240"/>
      </w:pPr>
      <w:r>
        <w:t>The key observation from Table 6 is that the DIIS imposes low to negligible cost to all 3 participants, where they are an existing business carrying out these activities.  This is because so much of the DIIS’s requirements are already in place as ‘business as usual’ activities for these companies.</w:t>
      </w:r>
    </w:p>
    <w:p w:rsidR="00770E8A" w:rsidRDefault="00770E8A" w:rsidP="00FC39CB">
      <w:r>
        <w:t>Equally, the key observation from Table 7 is that costs for new entrants are much higher, with the increasing scale of cost a reasonable reflection of the increasing risk of environmental or occupational health and safety harm that is possible from the activities of each participant with respect to TV and computer waste.  Costs to a new rec</w:t>
      </w:r>
      <w:r w:rsidR="003E24B5">
        <w:t xml:space="preserve">ycler </w:t>
      </w:r>
      <w:r>
        <w:t xml:space="preserve">entering the market are by far the highest, </w:t>
      </w:r>
      <w:r w:rsidR="003E24B5">
        <w:t xml:space="preserve">because there is </w:t>
      </w:r>
      <w:r w:rsidR="003E62F4">
        <w:t xml:space="preserve">significant </w:t>
      </w:r>
      <w:r w:rsidR="003E24B5">
        <w:t xml:space="preserve">cost in establishing and maintaining an ISO 14001 system, when coming from a base of no existing system. </w:t>
      </w:r>
    </w:p>
    <w:p w:rsidR="00770E8A" w:rsidRDefault="00770E8A" w:rsidP="00FC39CB">
      <w:r>
        <w:t>The question this raises is whether the DIIS poses an unreasonable burden on such companies, thereby providing a financial barrier to new entrants.</w:t>
      </w:r>
    </w:p>
    <w:p w:rsidR="003E62F4" w:rsidRDefault="003E62F4" w:rsidP="00FC39CB">
      <w:r>
        <w:t>For transporters, this is a redundant question, as the introduction of this scheme is unlikely to be reason alone for a new entrant into the mature industry of waste transport.  Besides this, the costs are low and associated entirely with existing legal compliance for the industry.</w:t>
      </w:r>
    </w:p>
    <w:p w:rsidR="003E62F4" w:rsidRDefault="003E62F4" w:rsidP="00FC39CB">
      <w:r>
        <w:t xml:space="preserve">For collection locations, two thirds of costs to a new entrant are also associated with simple legal compliance, </w:t>
      </w:r>
      <w:r w:rsidR="00851098">
        <w:t>which would have to be borne by a new organisation regardless of the existence of the DIIS.  This leaves an average annual cost directly as a result of compliance with the DIIS of approximately $6,000, which is not a barrier for entry, given the projected size of the market.</w:t>
      </w:r>
    </w:p>
    <w:p w:rsidR="00851098" w:rsidRDefault="00851098" w:rsidP="00FC39CB">
      <w:r>
        <w:t xml:space="preserve">Lastly for new entrant recyclers, there are substantial costs involved, particularly in relation to ISO 14001 establishment and certification.  However, given </w:t>
      </w:r>
      <w:r w:rsidR="003E24B5">
        <w:t>the majority of existing recyclers are already ISO 14001 certified</w:t>
      </w:r>
      <w:r>
        <w:t xml:space="preserve">, then this appears to be simply a cost of participating, and managing the risks inherent, in the industry, unrelated to the introduction of the DIIS. By this logic, costs </w:t>
      </w:r>
      <w:r w:rsidR="00EA00F3">
        <w:t xml:space="preserve">specifically </w:t>
      </w:r>
      <w:r>
        <w:t xml:space="preserve">imposed by the DIIS </w:t>
      </w:r>
      <w:r w:rsidR="00EA00F3">
        <w:t>for this group reduce to exactly the same as those for existing recyclers (Table 6) and are therefore</w:t>
      </w:r>
      <w:r>
        <w:t xml:space="preserve"> not prohibitive to new entrants.</w:t>
      </w:r>
    </w:p>
    <w:p w:rsidR="003E24B5" w:rsidRDefault="003E24B5" w:rsidP="00FC39CB">
      <w:r>
        <w:t xml:space="preserve">Another way to gauge the relative cost of implementation of the DIIS for the </w:t>
      </w:r>
      <w:r w:rsidR="00851098">
        <w:t xml:space="preserve">new </w:t>
      </w:r>
      <w:r>
        <w:t>recycler is to compare this to the potential size of contracts possible under the program. The Wright/ Rawtec report</w:t>
      </w:r>
      <w:r>
        <w:rPr>
          <w:rStyle w:val="FootnoteReference"/>
        </w:rPr>
        <w:footnoteReference w:id="10"/>
      </w:r>
      <w:r>
        <w:t xml:space="preserve"> (Figure 5-6, p.39) models four scenarios of the number of units likely to be recycled over the first ten years of the program. At the end of the first 3 years, the average annual number of units recycled across these different scenarios is approximately 18 million units (range from 10-25 million units). The Decision RIS estimates the cost to recyclers at $4/unit (Table 22, p.113). This calculates to a potential annual recycling market after 3 years of $70M. Assuming approximately 8 key players active in that market, this makes a potential contract worth around $9M per year per player. Even assuming the highest range of annual costs of compliance with the DIIS for </w:t>
      </w:r>
      <w:r w:rsidR="00B82EE6">
        <w:t xml:space="preserve">new entrant </w:t>
      </w:r>
      <w:r>
        <w:t>recyclers ($88,000 per year), this equates to 1% of potential revenues from the program after 3 years.</w:t>
      </w:r>
    </w:p>
    <w:p w:rsidR="00B82EE6" w:rsidRDefault="00B82EE6" w:rsidP="00FC39CB"/>
    <w:p w:rsidR="003E24B5" w:rsidRPr="00C13CA1" w:rsidRDefault="003E24B5" w:rsidP="00162446">
      <w:pPr>
        <w:pStyle w:val="KMHNumberHeading1"/>
        <w:numPr>
          <w:ilvl w:val="0"/>
          <w:numId w:val="56"/>
        </w:numPr>
      </w:pPr>
      <w:r>
        <w:br w:type="page"/>
      </w:r>
      <w:bookmarkStart w:id="94" w:name="_Toc287018249"/>
      <w:r>
        <w:lastRenderedPageBreak/>
        <w:t>Stakeholder views</w:t>
      </w:r>
      <w:bookmarkEnd w:id="94"/>
    </w:p>
    <w:p w:rsidR="003E24B5" w:rsidRPr="00450577" w:rsidRDefault="003E24B5" w:rsidP="00C171A2">
      <w:pPr>
        <w:rPr>
          <w:color w:val="000000"/>
          <w:lang w:val="en-US"/>
        </w:rPr>
      </w:pPr>
      <w:r w:rsidRPr="0008503C">
        <w:rPr>
          <w:color w:val="000000"/>
          <w:lang w:val="en-US"/>
        </w:rPr>
        <w:t xml:space="preserve">Consolidated stakeholder comments received on the </w:t>
      </w:r>
      <w:r>
        <w:rPr>
          <w:color w:val="000000"/>
          <w:lang w:val="en-US"/>
        </w:rPr>
        <w:t>DIIS are provided at Appendix A.</w:t>
      </w:r>
      <w:r w:rsidRPr="0008503C">
        <w:rPr>
          <w:color w:val="000000"/>
          <w:lang w:val="en-US"/>
        </w:rPr>
        <w:t xml:space="preserve"> </w:t>
      </w:r>
      <w:r w:rsidRPr="0008503C">
        <w:rPr>
          <w:rFonts w:cs="Arial"/>
        </w:rPr>
        <w:t>These comments have been taken into account in drafting the recommendations in Section 7.</w:t>
      </w:r>
      <w:r>
        <w:rPr>
          <w:rFonts w:cs="Arial"/>
        </w:rPr>
        <w:t xml:space="preserve"> S</w:t>
      </w:r>
      <w:r w:rsidRPr="0008503C">
        <w:rPr>
          <w:color w:val="000000"/>
          <w:lang w:val="en-US"/>
        </w:rPr>
        <w:t>ome of the pertinent issues</w:t>
      </w:r>
      <w:r>
        <w:rPr>
          <w:color w:val="000000"/>
          <w:lang w:val="en-US"/>
        </w:rPr>
        <w:t xml:space="preserve"> raised were</w:t>
      </w:r>
      <w:r w:rsidRPr="0008503C">
        <w:rPr>
          <w:color w:val="000000"/>
          <w:lang w:val="en-US"/>
        </w:rPr>
        <w:t xml:space="preserve">.  </w:t>
      </w:r>
    </w:p>
    <w:p w:rsidR="003E24B5" w:rsidRPr="008E679A" w:rsidRDefault="003E24B5" w:rsidP="00162446">
      <w:pPr>
        <w:pStyle w:val="ListParagraph"/>
        <w:numPr>
          <w:ilvl w:val="0"/>
          <w:numId w:val="59"/>
        </w:numPr>
        <w:spacing w:after="120"/>
        <w:rPr>
          <w:color w:val="000000"/>
          <w:lang w:val="en-US"/>
        </w:rPr>
      </w:pPr>
      <w:r w:rsidRPr="008E679A">
        <w:rPr>
          <w:color w:val="000000"/>
          <w:lang w:val="en-US"/>
        </w:rPr>
        <w:t>Reuse not promoted</w:t>
      </w:r>
      <w:r>
        <w:rPr>
          <w:color w:val="000000"/>
          <w:lang w:val="en-US"/>
        </w:rPr>
        <w:t>;;</w:t>
      </w:r>
    </w:p>
    <w:p w:rsidR="003E24B5" w:rsidRPr="008E679A" w:rsidRDefault="003E24B5" w:rsidP="00162446">
      <w:pPr>
        <w:pStyle w:val="ListParagraph"/>
        <w:numPr>
          <w:ilvl w:val="0"/>
          <w:numId w:val="59"/>
        </w:numPr>
        <w:spacing w:after="120"/>
        <w:rPr>
          <w:color w:val="000000"/>
          <w:lang w:val="en-US"/>
        </w:rPr>
      </w:pPr>
      <w:r w:rsidRPr="008E679A">
        <w:rPr>
          <w:color w:val="000000"/>
          <w:lang w:val="en-US"/>
        </w:rPr>
        <w:t>Brominated Flame Retardants (BFRs) not properly managed</w:t>
      </w:r>
    </w:p>
    <w:p w:rsidR="003E24B5" w:rsidRPr="008E679A" w:rsidRDefault="003E24B5" w:rsidP="00162446">
      <w:pPr>
        <w:pStyle w:val="ListParagraph"/>
        <w:numPr>
          <w:ilvl w:val="0"/>
          <w:numId w:val="59"/>
        </w:numPr>
        <w:spacing w:after="120"/>
        <w:rPr>
          <w:color w:val="000000"/>
          <w:lang w:val="en-US"/>
        </w:rPr>
      </w:pPr>
      <w:r w:rsidRPr="008E679A">
        <w:rPr>
          <w:color w:val="000000"/>
          <w:lang w:val="en-US"/>
        </w:rPr>
        <w:t>Other hazardous materials not properly managed</w:t>
      </w:r>
      <w:r>
        <w:rPr>
          <w:color w:val="000000"/>
          <w:lang w:val="en-US"/>
        </w:rPr>
        <w:t>;</w:t>
      </w:r>
    </w:p>
    <w:p w:rsidR="003E24B5" w:rsidRPr="008E679A" w:rsidRDefault="003E24B5" w:rsidP="00162446">
      <w:pPr>
        <w:pStyle w:val="ListParagraph"/>
        <w:numPr>
          <w:ilvl w:val="0"/>
          <w:numId w:val="59"/>
        </w:numPr>
        <w:spacing w:after="120"/>
        <w:rPr>
          <w:color w:val="000000"/>
          <w:lang w:val="en-US"/>
        </w:rPr>
      </w:pPr>
      <w:r w:rsidRPr="008E679A">
        <w:rPr>
          <w:color w:val="000000"/>
          <w:lang w:val="en-US"/>
        </w:rPr>
        <w:t>No minimum recycling rate/ impact on landfilling</w:t>
      </w:r>
      <w:r>
        <w:rPr>
          <w:color w:val="000000"/>
          <w:lang w:val="en-US"/>
        </w:rPr>
        <w:t>;</w:t>
      </w:r>
    </w:p>
    <w:p w:rsidR="003E24B5" w:rsidRPr="008E679A" w:rsidRDefault="003E24B5" w:rsidP="00162446">
      <w:pPr>
        <w:pStyle w:val="ListParagraph"/>
        <w:numPr>
          <w:ilvl w:val="0"/>
          <w:numId w:val="59"/>
        </w:numPr>
        <w:spacing w:after="120"/>
        <w:rPr>
          <w:color w:val="000000"/>
          <w:lang w:val="en-US"/>
        </w:rPr>
      </w:pPr>
      <w:r w:rsidRPr="008E679A">
        <w:rPr>
          <w:color w:val="000000"/>
          <w:lang w:val="en-US"/>
        </w:rPr>
        <w:t xml:space="preserve">No guidance on minimising carbon emissions  </w:t>
      </w:r>
      <w:r>
        <w:rPr>
          <w:color w:val="000000"/>
          <w:lang w:val="en-US"/>
        </w:rPr>
        <w:t>;</w:t>
      </w:r>
    </w:p>
    <w:p w:rsidR="003E24B5" w:rsidRPr="008E679A" w:rsidRDefault="003E24B5" w:rsidP="00162446">
      <w:pPr>
        <w:pStyle w:val="ListParagraph"/>
        <w:numPr>
          <w:ilvl w:val="0"/>
          <w:numId w:val="59"/>
        </w:numPr>
        <w:spacing w:after="120"/>
        <w:rPr>
          <w:color w:val="000000"/>
          <w:lang w:val="en-US"/>
        </w:rPr>
      </w:pPr>
      <w:r w:rsidRPr="008E679A">
        <w:rPr>
          <w:color w:val="000000"/>
          <w:lang w:val="en-US"/>
        </w:rPr>
        <w:t>Limited mention of packaging waste recycling</w:t>
      </w:r>
      <w:r>
        <w:rPr>
          <w:color w:val="000000"/>
          <w:lang w:val="en-US"/>
        </w:rPr>
        <w:t>;</w:t>
      </w:r>
    </w:p>
    <w:p w:rsidR="003E24B5" w:rsidRPr="008E679A" w:rsidRDefault="003E24B5" w:rsidP="00162446">
      <w:pPr>
        <w:pStyle w:val="ListParagraph"/>
        <w:numPr>
          <w:ilvl w:val="0"/>
          <w:numId w:val="59"/>
        </w:numPr>
        <w:spacing w:after="120"/>
        <w:rPr>
          <w:color w:val="000000"/>
          <w:lang w:val="en-US"/>
        </w:rPr>
      </w:pPr>
      <w:r w:rsidRPr="008E679A">
        <w:rPr>
          <w:color w:val="000000"/>
          <w:lang w:val="en-US"/>
        </w:rPr>
        <w:t>Reporting and Records Management questions</w:t>
      </w:r>
      <w:r>
        <w:rPr>
          <w:color w:val="000000"/>
          <w:lang w:val="en-US"/>
        </w:rPr>
        <w:t>;</w:t>
      </w:r>
    </w:p>
    <w:p w:rsidR="003E24B5" w:rsidRPr="008E679A" w:rsidRDefault="003E24B5" w:rsidP="00162446">
      <w:pPr>
        <w:pStyle w:val="ListParagraph"/>
        <w:numPr>
          <w:ilvl w:val="0"/>
          <w:numId w:val="59"/>
        </w:numPr>
        <w:spacing w:after="120"/>
        <w:rPr>
          <w:color w:val="000000"/>
          <w:lang w:val="en-US"/>
        </w:rPr>
      </w:pPr>
      <w:r w:rsidRPr="008E679A">
        <w:rPr>
          <w:color w:val="000000"/>
          <w:lang w:val="en-US"/>
        </w:rPr>
        <w:t>Negative impacts on charity organisations/ social enterprises</w:t>
      </w:r>
      <w:r>
        <w:rPr>
          <w:color w:val="000000"/>
          <w:lang w:val="en-US"/>
        </w:rPr>
        <w:t>;</w:t>
      </w:r>
    </w:p>
    <w:p w:rsidR="003E24B5" w:rsidRPr="008E679A" w:rsidRDefault="003E24B5" w:rsidP="00162446">
      <w:pPr>
        <w:pStyle w:val="ListParagraph"/>
        <w:numPr>
          <w:ilvl w:val="0"/>
          <w:numId w:val="59"/>
        </w:numPr>
        <w:spacing w:after="120"/>
        <w:rPr>
          <w:color w:val="000000"/>
          <w:lang w:val="en-US"/>
        </w:rPr>
      </w:pPr>
      <w:r w:rsidRPr="008E679A">
        <w:rPr>
          <w:color w:val="000000"/>
          <w:lang w:val="en-US"/>
        </w:rPr>
        <w:t>Clarification/ concern about auditing, compliance and enforcement arrangements</w:t>
      </w:r>
      <w:r>
        <w:rPr>
          <w:color w:val="000000"/>
          <w:lang w:val="en-US"/>
        </w:rPr>
        <w:t>;</w:t>
      </w:r>
    </w:p>
    <w:p w:rsidR="003E24B5" w:rsidRPr="008E679A" w:rsidRDefault="003E24B5" w:rsidP="00162446">
      <w:pPr>
        <w:pStyle w:val="ListParagraph"/>
        <w:numPr>
          <w:ilvl w:val="0"/>
          <w:numId w:val="59"/>
        </w:numPr>
        <w:spacing w:after="120"/>
        <w:rPr>
          <w:color w:val="000000"/>
          <w:lang w:val="en-US"/>
        </w:rPr>
      </w:pPr>
      <w:r w:rsidRPr="008E679A">
        <w:rPr>
          <w:color w:val="000000"/>
          <w:lang w:val="en-US"/>
        </w:rPr>
        <w:t>Appropriateness for the Australian context</w:t>
      </w:r>
      <w:r>
        <w:rPr>
          <w:color w:val="000000"/>
          <w:lang w:val="en-US"/>
        </w:rPr>
        <w:t>;</w:t>
      </w:r>
    </w:p>
    <w:p w:rsidR="003E24B5" w:rsidRPr="008E679A" w:rsidRDefault="003E24B5" w:rsidP="00162446">
      <w:pPr>
        <w:pStyle w:val="ListParagraph"/>
        <w:numPr>
          <w:ilvl w:val="0"/>
          <w:numId w:val="59"/>
        </w:numPr>
        <w:spacing w:after="120"/>
        <w:rPr>
          <w:color w:val="000000"/>
          <w:lang w:val="en-US"/>
        </w:rPr>
      </w:pPr>
      <w:r w:rsidRPr="008E679A">
        <w:rPr>
          <w:color w:val="000000"/>
          <w:lang w:val="en-US"/>
        </w:rPr>
        <w:t>Costs</w:t>
      </w:r>
      <w:r>
        <w:rPr>
          <w:color w:val="000000"/>
          <w:lang w:val="en-US"/>
        </w:rPr>
        <w:t>;</w:t>
      </w:r>
    </w:p>
    <w:p w:rsidR="003E24B5" w:rsidRPr="008E679A" w:rsidRDefault="003E24B5" w:rsidP="00162446">
      <w:pPr>
        <w:pStyle w:val="ListParagraph"/>
        <w:numPr>
          <w:ilvl w:val="0"/>
          <w:numId w:val="59"/>
        </w:numPr>
        <w:spacing w:after="120"/>
        <w:rPr>
          <w:color w:val="000000"/>
          <w:lang w:val="en-US"/>
        </w:rPr>
      </w:pPr>
      <w:r w:rsidRPr="008E679A">
        <w:rPr>
          <w:color w:val="000000"/>
          <w:lang w:val="en-US"/>
        </w:rPr>
        <w:t>Prison labour concerns</w:t>
      </w:r>
      <w:r>
        <w:rPr>
          <w:color w:val="000000"/>
          <w:lang w:val="en-US"/>
        </w:rPr>
        <w:t>; and</w:t>
      </w:r>
    </w:p>
    <w:p w:rsidR="003E24B5" w:rsidRPr="008E679A" w:rsidRDefault="003E24B5" w:rsidP="00162446">
      <w:pPr>
        <w:pStyle w:val="ListParagraph"/>
        <w:numPr>
          <w:ilvl w:val="0"/>
          <w:numId w:val="59"/>
        </w:numPr>
        <w:spacing w:after="120"/>
        <w:rPr>
          <w:color w:val="000000"/>
          <w:lang w:val="en-US"/>
        </w:rPr>
      </w:pPr>
      <w:r w:rsidRPr="008E679A">
        <w:rPr>
          <w:color w:val="000000"/>
          <w:lang w:val="en-US"/>
        </w:rPr>
        <w:t>Signage and public communication</w:t>
      </w:r>
      <w:r>
        <w:rPr>
          <w:color w:val="000000"/>
          <w:lang w:val="en-US"/>
        </w:rPr>
        <w:t>.</w:t>
      </w:r>
    </w:p>
    <w:p w:rsidR="003E24B5" w:rsidRPr="00C13CA1" w:rsidRDefault="003E24B5" w:rsidP="00162446">
      <w:pPr>
        <w:pStyle w:val="KMHNumberHeading1"/>
        <w:numPr>
          <w:ilvl w:val="0"/>
          <w:numId w:val="56"/>
        </w:numPr>
      </w:pPr>
      <w:r w:rsidRPr="0044602F">
        <w:rPr>
          <w:rFonts w:cs="Times New Roman"/>
          <w:b w:val="0"/>
          <w:color w:val="auto"/>
          <w:sz w:val="20"/>
          <w:szCs w:val="22"/>
        </w:rPr>
        <w:br w:type="page"/>
      </w:r>
      <w:bookmarkStart w:id="95" w:name="_Toc231628800"/>
      <w:bookmarkStart w:id="96" w:name="_Toc287018250"/>
      <w:bookmarkEnd w:id="95"/>
      <w:r>
        <w:lastRenderedPageBreak/>
        <w:t>Conclusions</w:t>
      </w:r>
      <w:bookmarkEnd w:id="96"/>
    </w:p>
    <w:p w:rsidR="003E24B5" w:rsidRPr="00EC70FC" w:rsidRDefault="003E24B5" w:rsidP="00162446">
      <w:pPr>
        <w:pStyle w:val="KMHNumberheading20"/>
        <w:numPr>
          <w:ilvl w:val="1"/>
          <w:numId w:val="56"/>
        </w:numPr>
      </w:pPr>
      <w:bookmarkStart w:id="97" w:name="_Toc287018251"/>
      <w:r w:rsidRPr="00421FE0">
        <w:t>Risk</w:t>
      </w:r>
      <w:bookmarkEnd w:id="97"/>
    </w:p>
    <w:p w:rsidR="003E24B5" w:rsidRDefault="003E24B5" w:rsidP="008D5CBC">
      <w:pPr>
        <w:spacing w:after="120"/>
      </w:pPr>
      <w:r>
        <w:t xml:space="preserve">Having conducted a thorough risk assessment of the DIIS and associated documentation and studies, the following conclusions can be drawn: </w:t>
      </w:r>
    </w:p>
    <w:p w:rsidR="003E24B5" w:rsidRDefault="003E24B5" w:rsidP="00162446">
      <w:pPr>
        <w:pStyle w:val="ListParagraph"/>
        <w:numPr>
          <w:ilvl w:val="0"/>
          <w:numId w:val="45"/>
        </w:numPr>
        <w:spacing w:after="120"/>
        <w:ind w:hanging="357"/>
        <w:contextualSpacing w:val="0"/>
      </w:pPr>
      <w:r>
        <w:t xml:space="preserve">Despite adequate control measures included in the DIIS, there are a number risks that, simply due to their potential consequence, ranked high and are difficult to further mitigate through improved controls. </w:t>
      </w:r>
    </w:p>
    <w:p w:rsidR="003E24B5" w:rsidRDefault="003E24B5" w:rsidP="00162446">
      <w:pPr>
        <w:pStyle w:val="ListParagraph"/>
        <w:numPr>
          <w:ilvl w:val="0"/>
          <w:numId w:val="45"/>
        </w:numPr>
        <w:spacing w:after="120"/>
        <w:ind w:hanging="357"/>
        <w:contextualSpacing w:val="0"/>
      </w:pPr>
      <w:r>
        <w:t>The high ranking risks relate specifically to the following key areas:</w:t>
      </w:r>
    </w:p>
    <w:p w:rsidR="003E24B5" w:rsidRDefault="003E24B5" w:rsidP="00162446">
      <w:pPr>
        <w:pStyle w:val="ListParagraph"/>
        <w:numPr>
          <w:ilvl w:val="2"/>
          <w:numId w:val="45"/>
        </w:numPr>
        <w:spacing w:after="60"/>
        <w:ind w:hanging="357"/>
        <w:contextualSpacing w:val="0"/>
      </w:pPr>
      <w:r w:rsidRPr="006B1198">
        <w:rPr>
          <w:i/>
          <w:u w:val="single"/>
        </w:rPr>
        <w:t>General operating requirements</w:t>
      </w:r>
      <w:r>
        <w:t>: - lack of systems and procedures to ensure safe work methods.</w:t>
      </w:r>
    </w:p>
    <w:p w:rsidR="003E24B5" w:rsidRPr="0001060B" w:rsidRDefault="003E24B5" w:rsidP="00162446">
      <w:pPr>
        <w:pStyle w:val="ListParagraph"/>
        <w:numPr>
          <w:ilvl w:val="2"/>
          <w:numId w:val="45"/>
        </w:numPr>
        <w:spacing w:after="60"/>
        <w:ind w:hanging="357"/>
        <w:contextualSpacing w:val="0"/>
      </w:pPr>
      <w:r>
        <w:rPr>
          <w:i/>
          <w:u w:val="single"/>
        </w:rPr>
        <w:t xml:space="preserve">Carbon emissions from associated recycling practises </w:t>
      </w:r>
    </w:p>
    <w:p w:rsidR="003E24B5" w:rsidRDefault="003E24B5" w:rsidP="00162446">
      <w:pPr>
        <w:pStyle w:val="ListParagraph"/>
        <w:numPr>
          <w:ilvl w:val="2"/>
          <w:numId w:val="45"/>
        </w:numPr>
        <w:spacing w:after="60"/>
        <w:ind w:hanging="357"/>
        <w:contextualSpacing w:val="0"/>
      </w:pPr>
      <w:r>
        <w:rPr>
          <w:i/>
          <w:u w:val="single"/>
        </w:rPr>
        <w:t xml:space="preserve">Safe removal of critical components prior to shredding or treating: - </w:t>
      </w:r>
      <w:r>
        <w:t>leads to unnecessary exposure to hazardous substances and/or causes a fire</w:t>
      </w:r>
    </w:p>
    <w:p w:rsidR="003E24B5" w:rsidRDefault="003E24B5" w:rsidP="00162446">
      <w:pPr>
        <w:pStyle w:val="ListParagraph"/>
        <w:numPr>
          <w:ilvl w:val="2"/>
          <w:numId w:val="45"/>
        </w:numPr>
        <w:spacing w:after="60"/>
        <w:ind w:hanging="357"/>
        <w:contextualSpacing w:val="0"/>
      </w:pPr>
      <w:r w:rsidRPr="0001060B">
        <w:rPr>
          <w:i/>
          <w:u w:val="single"/>
        </w:rPr>
        <w:t xml:space="preserve">Regulatory </w:t>
      </w:r>
      <w:r>
        <w:rPr>
          <w:i/>
          <w:u w:val="single"/>
        </w:rPr>
        <w:t xml:space="preserve">and transport risks: - </w:t>
      </w:r>
      <w:r w:rsidRPr="0001060B">
        <w:t xml:space="preserve">associated with the export and sale of recovered components </w:t>
      </w:r>
      <w:r>
        <w:t xml:space="preserve">under the Hazardous Waste Act and the Basel and Stockholm conventions. </w:t>
      </w:r>
    </w:p>
    <w:p w:rsidR="003E24B5" w:rsidRDefault="003E24B5" w:rsidP="00162446">
      <w:pPr>
        <w:pStyle w:val="ListParagraph"/>
        <w:numPr>
          <w:ilvl w:val="0"/>
          <w:numId w:val="45"/>
        </w:numPr>
        <w:spacing w:after="0"/>
        <w:ind w:hanging="357"/>
        <w:contextualSpacing w:val="0"/>
      </w:pPr>
      <w:r>
        <w:t xml:space="preserve">Whilst a risk treatment plan has been developed as part of this review (refer to Appendix F) for every high ranking risk, a number of the “medium’ risks were also deemed to have inadequate controls in place. </w:t>
      </w:r>
      <w:r>
        <w:rPr>
          <w:rFonts w:cs="Arial"/>
          <w:szCs w:val="20"/>
        </w:rPr>
        <w:t>The “Medium” ranking risks with incomplete or weak controls were:</w:t>
      </w:r>
    </w:p>
    <w:p w:rsidR="003E24B5" w:rsidRPr="007676D7" w:rsidRDefault="003E24B5" w:rsidP="00162446">
      <w:pPr>
        <w:pStyle w:val="ListParagraph"/>
        <w:numPr>
          <w:ilvl w:val="2"/>
          <w:numId w:val="45"/>
        </w:numPr>
        <w:spacing w:after="60"/>
        <w:ind w:hanging="357"/>
        <w:contextualSpacing w:val="0"/>
        <w:rPr>
          <w:i/>
        </w:rPr>
      </w:pPr>
      <w:r w:rsidRPr="007676D7">
        <w:rPr>
          <w:i/>
        </w:rPr>
        <w:t xml:space="preserve">EOL goods received at an unsuitable premises/location that is operated by an unauthorised recycler. </w:t>
      </w:r>
    </w:p>
    <w:p w:rsidR="003E24B5" w:rsidRPr="007676D7" w:rsidRDefault="003E24B5" w:rsidP="00162446">
      <w:pPr>
        <w:pStyle w:val="ListParagraph"/>
        <w:numPr>
          <w:ilvl w:val="2"/>
          <w:numId w:val="45"/>
        </w:numPr>
        <w:spacing w:after="60"/>
        <w:ind w:hanging="357"/>
        <w:contextualSpacing w:val="0"/>
        <w:rPr>
          <w:i/>
        </w:rPr>
      </w:pPr>
      <w:r w:rsidRPr="007676D7">
        <w:rPr>
          <w:i/>
        </w:rPr>
        <w:t>Inappropriate separation techniques are applied to recover resources.</w:t>
      </w:r>
    </w:p>
    <w:p w:rsidR="003E24B5" w:rsidRPr="007676D7" w:rsidRDefault="003E24B5" w:rsidP="00162446">
      <w:pPr>
        <w:pStyle w:val="ListParagraph"/>
        <w:numPr>
          <w:ilvl w:val="2"/>
          <w:numId w:val="45"/>
        </w:numPr>
        <w:spacing w:after="60"/>
        <w:ind w:hanging="357"/>
        <w:contextualSpacing w:val="0"/>
        <w:rPr>
          <w:i/>
        </w:rPr>
      </w:pPr>
      <w:r w:rsidRPr="007676D7">
        <w:rPr>
          <w:i/>
        </w:rPr>
        <w:t>Failure to ensure staff are provided with necessary personal protective equipment.</w:t>
      </w:r>
    </w:p>
    <w:p w:rsidR="003E24B5" w:rsidRPr="007676D7" w:rsidRDefault="003E24B5" w:rsidP="00162446">
      <w:pPr>
        <w:pStyle w:val="ListParagraph"/>
        <w:numPr>
          <w:ilvl w:val="2"/>
          <w:numId w:val="45"/>
        </w:numPr>
        <w:spacing w:after="60"/>
        <w:ind w:hanging="357"/>
        <w:contextualSpacing w:val="0"/>
        <w:rPr>
          <w:i/>
        </w:rPr>
      </w:pPr>
      <w:r w:rsidRPr="007676D7">
        <w:rPr>
          <w:i/>
        </w:rPr>
        <w:t>Failure to appropriately separate materials for recycling.</w:t>
      </w:r>
    </w:p>
    <w:p w:rsidR="003E24B5" w:rsidRPr="007676D7" w:rsidRDefault="003E24B5" w:rsidP="00162446">
      <w:pPr>
        <w:pStyle w:val="ListParagraph"/>
        <w:numPr>
          <w:ilvl w:val="2"/>
          <w:numId w:val="45"/>
        </w:numPr>
        <w:spacing w:after="60"/>
        <w:ind w:hanging="357"/>
        <w:contextualSpacing w:val="0"/>
        <w:rPr>
          <w:i/>
        </w:rPr>
      </w:pPr>
      <w:r w:rsidRPr="007676D7">
        <w:rPr>
          <w:i/>
        </w:rPr>
        <w:t>Improper mechanical or manual dismantling results in the release of hazardous substances to which employees are exposed.</w:t>
      </w:r>
    </w:p>
    <w:p w:rsidR="003E24B5" w:rsidRPr="007676D7" w:rsidRDefault="003E24B5" w:rsidP="00162446">
      <w:pPr>
        <w:pStyle w:val="ListParagraph"/>
        <w:numPr>
          <w:ilvl w:val="2"/>
          <w:numId w:val="45"/>
        </w:numPr>
        <w:spacing w:after="60"/>
        <w:ind w:hanging="357"/>
        <w:contextualSpacing w:val="0"/>
        <w:rPr>
          <w:i/>
        </w:rPr>
      </w:pPr>
      <w:r w:rsidRPr="007676D7">
        <w:rPr>
          <w:i/>
        </w:rPr>
        <w:t>Inappropriate secondary application of recovered resources eg: use of leaded glass from plasma screens as a substitute for sand.</w:t>
      </w:r>
    </w:p>
    <w:p w:rsidR="003E24B5" w:rsidRPr="007676D7" w:rsidRDefault="003E24B5" w:rsidP="00162446">
      <w:pPr>
        <w:pStyle w:val="ListParagraph"/>
        <w:numPr>
          <w:ilvl w:val="2"/>
          <w:numId w:val="45"/>
        </w:numPr>
        <w:spacing w:after="60"/>
        <w:ind w:hanging="357"/>
        <w:contextualSpacing w:val="0"/>
        <w:rPr>
          <w:i/>
        </w:rPr>
      </w:pPr>
      <w:r w:rsidRPr="007676D7">
        <w:rPr>
          <w:i/>
        </w:rPr>
        <w:t>Lack of minimum recycling rate or requirement for highest use practices, in the DIIS discourages recyclers from recovering materials leading to unnecessary disposal to landfill.</w:t>
      </w:r>
    </w:p>
    <w:p w:rsidR="003E24B5" w:rsidRPr="007676D7" w:rsidRDefault="003E24B5" w:rsidP="00162446">
      <w:pPr>
        <w:pStyle w:val="ListParagraph"/>
        <w:numPr>
          <w:ilvl w:val="2"/>
          <w:numId w:val="45"/>
        </w:numPr>
        <w:spacing w:after="60"/>
        <w:ind w:hanging="357"/>
        <w:contextualSpacing w:val="0"/>
        <w:rPr>
          <w:i/>
        </w:rPr>
      </w:pPr>
      <w:r w:rsidRPr="007676D7">
        <w:rPr>
          <w:i/>
        </w:rPr>
        <w:t>Failure of the DIIS to require identification of hazardous substances prior to disposal.</w:t>
      </w:r>
    </w:p>
    <w:p w:rsidR="003E24B5" w:rsidRPr="007676D7" w:rsidRDefault="003E24B5" w:rsidP="00162446">
      <w:pPr>
        <w:pStyle w:val="ListParagraph"/>
        <w:numPr>
          <w:ilvl w:val="2"/>
          <w:numId w:val="45"/>
        </w:numPr>
        <w:spacing w:after="60"/>
        <w:ind w:hanging="357"/>
        <w:contextualSpacing w:val="0"/>
        <w:rPr>
          <w:i/>
        </w:rPr>
      </w:pPr>
      <w:r w:rsidRPr="007676D7">
        <w:rPr>
          <w:i/>
        </w:rPr>
        <w:t>Brominated Fire Retardant contaminated plastics are sent to landfill.</w:t>
      </w:r>
    </w:p>
    <w:p w:rsidR="003E24B5" w:rsidRPr="007676D7" w:rsidRDefault="003E24B5" w:rsidP="00162446">
      <w:pPr>
        <w:pStyle w:val="ListParagraph"/>
        <w:numPr>
          <w:ilvl w:val="2"/>
          <w:numId w:val="45"/>
        </w:numPr>
        <w:spacing w:after="60"/>
        <w:ind w:hanging="357"/>
        <w:contextualSpacing w:val="0"/>
        <w:rPr>
          <w:i/>
        </w:rPr>
      </w:pPr>
      <w:r w:rsidRPr="007676D7">
        <w:rPr>
          <w:i/>
        </w:rPr>
        <w:t>Failure of the DIIS to accurately define the role of recyclers results in uncontrolled practices.</w:t>
      </w:r>
    </w:p>
    <w:p w:rsidR="003E24B5" w:rsidRPr="007676D7" w:rsidRDefault="003E24B5" w:rsidP="00162446">
      <w:pPr>
        <w:pStyle w:val="ListParagraph"/>
        <w:numPr>
          <w:ilvl w:val="2"/>
          <w:numId w:val="45"/>
        </w:numPr>
        <w:spacing w:after="60"/>
        <w:ind w:hanging="357"/>
        <w:contextualSpacing w:val="0"/>
        <w:rPr>
          <w:i/>
        </w:rPr>
      </w:pPr>
      <w:r w:rsidRPr="007676D7">
        <w:rPr>
          <w:i/>
        </w:rPr>
        <w:t>Failure to separate substances of concern for integrity and traceability.</w:t>
      </w:r>
    </w:p>
    <w:p w:rsidR="003E24B5" w:rsidRDefault="003E24B5" w:rsidP="00DC72AB">
      <w:pPr>
        <w:ind w:left="60"/>
      </w:pPr>
      <w:r>
        <w:t xml:space="preserve">Improvement suggestions to enhance the strength of the controls for medium rated risks have been developed and included in the risk assessment table (Table </w:t>
      </w:r>
      <w:r w:rsidR="00235045">
        <w:t>8</w:t>
      </w:r>
      <w:r>
        <w:t xml:space="preserve"> - Appendix D).</w:t>
      </w:r>
    </w:p>
    <w:p w:rsidR="003E24B5" w:rsidRDefault="003E24B5" w:rsidP="008D5CBC">
      <w:pPr>
        <w:spacing w:after="120"/>
        <w:ind w:left="60"/>
        <w:rPr>
          <w:lang w:val="en-US"/>
        </w:rPr>
      </w:pPr>
      <w:r>
        <w:t xml:space="preserve">In conducting the risk assessment, KMH has also considered the adequacy of the DIIS for auditing and validation requirements in associated contracts </w:t>
      </w:r>
      <w:r w:rsidRPr="003F3297">
        <w:rPr>
          <w:lang w:val="en-US"/>
        </w:rPr>
        <w:t xml:space="preserve">between the industry-led </w:t>
      </w:r>
      <w:r>
        <w:rPr>
          <w:lang w:val="en-US"/>
        </w:rPr>
        <w:t xml:space="preserve">National </w:t>
      </w:r>
      <w:r w:rsidRPr="003F3297">
        <w:rPr>
          <w:lang w:val="en-US"/>
        </w:rPr>
        <w:t xml:space="preserve">Television and Computer </w:t>
      </w:r>
      <w:r>
        <w:rPr>
          <w:lang w:val="en-US"/>
        </w:rPr>
        <w:t xml:space="preserve">Product Stewardship </w:t>
      </w:r>
      <w:r w:rsidRPr="003F3297">
        <w:rPr>
          <w:lang w:val="en-US"/>
        </w:rPr>
        <w:t>S</w:t>
      </w:r>
      <w:r>
        <w:rPr>
          <w:lang w:val="en-US"/>
        </w:rPr>
        <w:t>cheme and service providers. As highlighted in the risk assessment table, the DIIS in its current format refers to and provides guidelines that are extracts from other international standards/ guidelines without formally adopting or prescribing these other references as a part of the DIIS. For auditing and validation purposes the Standard needs to be more prescriptive in its adoption of other international standards. A number of improvement suggestions are included in the risk assessment table. In summary these include:</w:t>
      </w:r>
    </w:p>
    <w:p w:rsidR="003E24B5" w:rsidRPr="006043CC" w:rsidRDefault="003E24B5" w:rsidP="00162446">
      <w:pPr>
        <w:pStyle w:val="ListParagraph"/>
        <w:numPr>
          <w:ilvl w:val="0"/>
          <w:numId w:val="46"/>
        </w:numPr>
        <w:spacing w:after="60"/>
        <w:ind w:left="777" w:hanging="357"/>
        <w:contextualSpacing w:val="0"/>
        <w:rPr>
          <w:rFonts w:cs="Arial"/>
          <w:szCs w:val="20"/>
        </w:rPr>
      </w:pPr>
      <w:r w:rsidRPr="006043CC">
        <w:rPr>
          <w:rFonts w:cs="Arial"/>
          <w:szCs w:val="20"/>
        </w:rPr>
        <w:t>The implementation of  a structured auditing regime to regulate the industry</w:t>
      </w:r>
    </w:p>
    <w:p w:rsidR="003E24B5" w:rsidRPr="006043CC" w:rsidRDefault="003E24B5" w:rsidP="00162446">
      <w:pPr>
        <w:pStyle w:val="ListParagraph"/>
        <w:numPr>
          <w:ilvl w:val="0"/>
          <w:numId w:val="46"/>
        </w:numPr>
        <w:spacing w:before="120" w:after="60"/>
        <w:ind w:left="777" w:hanging="357"/>
        <w:contextualSpacing w:val="0"/>
        <w:rPr>
          <w:lang w:val="en-US"/>
        </w:rPr>
      </w:pPr>
      <w:r w:rsidRPr="006043CC">
        <w:rPr>
          <w:rFonts w:cs="Arial"/>
          <w:szCs w:val="20"/>
        </w:rPr>
        <w:t xml:space="preserve">Guidelines provided in Appendix 1 (extract from a Canadian guideline) should be rewritten to be more prescriptive and </w:t>
      </w:r>
      <w:r w:rsidRPr="006043CC">
        <w:rPr>
          <w:lang w:val="en-US"/>
        </w:rPr>
        <w:t>become a formal requirement of industry operators/recyclers.  This appendix should be re-titled along the lines of “Detailed Requirements for Environmentally Sound Recycling of EOL Televisions and Computers”</w:t>
      </w:r>
    </w:p>
    <w:p w:rsidR="003E24B5" w:rsidRPr="006043CC" w:rsidRDefault="003E24B5" w:rsidP="00162446">
      <w:pPr>
        <w:pStyle w:val="ListParagraph"/>
        <w:numPr>
          <w:ilvl w:val="0"/>
          <w:numId w:val="46"/>
        </w:numPr>
        <w:spacing w:after="120"/>
        <w:ind w:left="777" w:hanging="357"/>
        <w:contextualSpacing w:val="0"/>
        <w:rPr>
          <w:rFonts w:cs="Arial"/>
          <w:szCs w:val="20"/>
        </w:rPr>
      </w:pPr>
      <w:r w:rsidRPr="006043CC">
        <w:lastRenderedPageBreak/>
        <w:t>Appendix 5 of the DIIS provides a checklist of requirements for employees working in the facilities. This should become a mandatory requirement and auditable record as a part of the industry certification process</w:t>
      </w:r>
      <w:r w:rsidRPr="006043CC">
        <w:rPr>
          <w:rFonts w:cs="Arial"/>
          <w:szCs w:val="20"/>
        </w:rPr>
        <w:t>.</w:t>
      </w:r>
    </w:p>
    <w:p w:rsidR="003E24B5" w:rsidRDefault="003E24B5" w:rsidP="00D14924">
      <w:pPr>
        <w:ind w:left="60"/>
      </w:pPr>
      <w:r>
        <w:t>While a number of inconsistencies with international standards of a similar nature were identified, only the requirement to specifically include</w:t>
      </w:r>
      <w:r w:rsidRPr="00D14924">
        <w:t xml:space="preserve"> written policies for hygiene, eating and drinking</w:t>
      </w:r>
      <w:r>
        <w:t>, as a means of managing exposure to harmful substances such as lead,</w:t>
      </w:r>
      <w:r w:rsidRPr="00D14924">
        <w:t xml:space="preserve"> </w:t>
      </w:r>
      <w:r>
        <w:t xml:space="preserve">is suggested as an outcome of the international best practice review. </w:t>
      </w:r>
    </w:p>
    <w:p w:rsidR="003E24B5" w:rsidRPr="0054164D" w:rsidRDefault="003E24B5" w:rsidP="0054164D">
      <w:pPr>
        <w:ind w:left="60"/>
      </w:pPr>
      <w:r w:rsidRPr="0054164D">
        <w:t>International obligations</w:t>
      </w:r>
      <w:r>
        <w:t xml:space="preserve"> </w:t>
      </w:r>
      <w:r w:rsidRPr="0054164D">
        <w:t xml:space="preserve">such as the Basel and Stockholm conventions apply directly to the Australian Government as the party to the agreement, who in turn put policy/ monitoring/ legal responses (controls) </w:t>
      </w:r>
      <w:r>
        <w:t xml:space="preserve">in place to ensure compliance. </w:t>
      </w:r>
      <w:r w:rsidRPr="0054164D">
        <w:t xml:space="preserve">The DIIS applies to scheme participants who are </w:t>
      </w:r>
      <w:r>
        <w:t xml:space="preserve">not parties these conventions. Consequently </w:t>
      </w:r>
      <w:r w:rsidRPr="0054164D">
        <w:t xml:space="preserve">the DIIS does not directly influence these conventions, </w:t>
      </w:r>
      <w:r>
        <w:t xml:space="preserve">but </w:t>
      </w:r>
      <w:r w:rsidRPr="0054164D">
        <w:t>it should not lead to behaviours on the part of scheme participants that could risk Australia</w:t>
      </w:r>
      <w:r>
        <w:t xml:space="preserve">’s compliance with them. While the DIIS’s unresolved position on the management of BFR-containing plastics could be argued as just this, due to the temporary exemption for recycling of such materials it is technically not in breach of these aspects of the Stockholm Convention. The regulations will require that the Regulator is satisfied that the environmental and OH&amp;S standards have been met. </w:t>
      </w:r>
    </w:p>
    <w:p w:rsidR="003E24B5" w:rsidRPr="00EC70FC" w:rsidRDefault="003E24B5" w:rsidP="00162446">
      <w:pPr>
        <w:pStyle w:val="KMHNumberheading20"/>
        <w:numPr>
          <w:ilvl w:val="1"/>
          <w:numId w:val="56"/>
        </w:numPr>
      </w:pPr>
      <w:bookmarkStart w:id="98" w:name="_Toc287018252"/>
      <w:r w:rsidRPr="00421FE0">
        <w:t>Cost</w:t>
      </w:r>
      <w:bookmarkEnd w:id="98"/>
    </w:p>
    <w:p w:rsidR="00BC0452" w:rsidRDefault="00BC0452" w:rsidP="00BC0452">
      <w:pPr>
        <w:spacing w:after="120"/>
      </w:pPr>
      <w:bookmarkStart w:id="99" w:name="_Toc231628807"/>
      <w:bookmarkEnd w:id="99"/>
      <w:r w:rsidRPr="007812C3">
        <w:t xml:space="preserve">Annual costs </w:t>
      </w:r>
      <w:r>
        <w:t xml:space="preserve">imposed as a result of requirements to comply with the DIIS, </w:t>
      </w:r>
      <w:r w:rsidRPr="007812C3">
        <w:t>averaged over a three year cycle</w:t>
      </w:r>
      <w:r>
        <w:t>,</w:t>
      </w:r>
      <w:r w:rsidRPr="007812C3">
        <w:t xml:space="preserve"> for transporters, collection locations and recyclers are provided in Table </w:t>
      </w:r>
      <w:r>
        <w:t>6</w:t>
      </w:r>
      <w:r w:rsidRPr="007812C3">
        <w:t xml:space="preserve"> and can be summarised as:</w:t>
      </w:r>
    </w:p>
    <w:p w:rsidR="00BC0452" w:rsidRDefault="00BC0452" w:rsidP="00162446">
      <w:pPr>
        <w:pStyle w:val="ListParagraph"/>
        <w:numPr>
          <w:ilvl w:val="0"/>
          <w:numId w:val="60"/>
        </w:numPr>
      </w:pPr>
      <w:r>
        <w:t xml:space="preserve">Transporters </w:t>
      </w:r>
      <w:r>
        <w:tab/>
      </w:r>
      <w:r>
        <w:tab/>
      </w:r>
      <w:r w:rsidRPr="00634D6C">
        <w:t>$</w:t>
      </w:r>
      <w:r>
        <w:t>0;</w:t>
      </w:r>
    </w:p>
    <w:p w:rsidR="00BC0452" w:rsidRDefault="00BC0452" w:rsidP="00162446">
      <w:pPr>
        <w:pStyle w:val="ListParagraph"/>
        <w:numPr>
          <w:ilvl w:val="0"/>
          <w:numId w:val="60"/>
        </w:numPr>
      </w:pPr>
      <w:r>
        <w:t xml:space="preserve">Collection locations </w:t>
      </w:r>
      <w:r>
        <w:tab/>
        <w:t xml:space="preserve">$5,200 - $6,200; and </w:t>
      </w:r>
    </w:p>
    <w:p w:rsidR="00BC0452" w:rsidRDefault="00BC0452" w:rsidP="00162446">
      <w:pPr>
        <w:pStyle w:val="ListParagraph"/>
        <w:numPr>
          <w:ilvl w:val="0"/>
          <w:numId w:val="60"/>
        </w:numPr>
        <w:spacing w:after="120"/>
      </w:pPr>
      <w:r>
        <w:t xml:space="preserve">Recyclers </w:t>
      </w:r>
      <w:r>
        <w:tab/>
      </w:r>
      <w:r>
        <w:tab/>
      </w:r>
      <w:r w:rsidRPr="00634D6C">
        <w:t>$</w:t>
      </w:r>
      <w:r>
        <w:t>13,000.</w:t>
      </w:r>
    </w:p>
    <w:p w:rsidR="00BC0452" w:rsidRDefault="00BC0452" w:rsidP="00BC0452">
      <w:pPr>
        <w:spacing w:before="240"/>
      </w:pPr>
      <w:r>
        <w:t>The DIIS imposes low to negligible cost to all 3 participants, where they are an existing business carrying out these activities.  This is because so much of the DIIS’s requirements are already in place as ‘business as usual’ activities for these companies.</w:t>
      </w:r>
    </w:p>
    <w:p w:rsidR="00BC0452" w:rsidRDefault="00BC0452" w:rsidP="00BC0452">
      <w:r>
        <w:t>While costs to new entrants are much higher (as shown in Table 7), subtracting out those costs of DIIS compliance that can be demonstrated to be ‘business as usual’ for entry into this market, regardless of the presence of the DIIS, reduces new entrant costs to be identical to those for existing service providers (see dot points above).  These figures are the true costs of DIIS implementation for all providers, i.e. those that can be attributed to DIIS compliance over and above any existing industry norms or legal requirements.</w:t>
      </w:r>
    </w:p>
    <w:p w:rsidR="00BC0452" w:rsidRDefault="00BC0452" w:rsidP="00BC0452">
      <w:r>
        <w:t>Accounting for these as inherent costs of doing business in this sector, which also happen to be required by the DIIS, the DIIS does not pose an unreasonable burden, or provide a financial barrier, to new entrants.</w:t>
      </w:r>
    </w:p>
    <w:p w:rsidR="00BC0452" w:rsidRDefault="00BC0452" w:rsidP="00BC0452">
      <w:r>
        <w:t xml:space="preserve">The requirement for recyclers of certification to a standard such as ISO 14001 is appropriate to maximise the chance of mitigating these risks, which comes at a cost. Because such systems are pre-existing for most current players the estimated additional cost of </w:t>
      </w:r>
      <w:r w:rsidRPr="00634D6C">
        <w:t>$52,000 - $88,000</w:t>
      </w:r>
      <w:r>
        <w:t xml:space="preserve"> per annum can more accurately be seen as $13,000 per annum for the majority.</w:t>
      </w:r>
    </w:p>
    <w:p w:rsidR="00BC0452" w:rsidRDefault="00BC0452" w:rsidP="00BC0452">
      <w:r>
        <w:t xml:space="preserve">Put another way, even at $88,000 per year, the impact to recyclers is 1% of the potential share of contracts likely to be available to them from the program by the end of year 3. </w:t>
      </w:r>
    </w:p>
    <w:p w:rsidR="00BC0452" w:rsidRDefault="00BC0452" w:rsidP="00BC0452">
      <w:r w:rsidRPr="00B17711">
        <w:t>It has been suggested that the requirement for recyclers to be ISO 14001 certified could either be applied from day one operation of the program, or alternatively contracts could be let to companies who haven’t yet attained certification but are in the process of seeking it.</w:t>
      </w:r>
    </w:p>
    <w:p w:rsidR="00BC0452" w:rsidRDefault="00BC0452" w:rsidP="00BC0452">
      <w:r>
        <w:t xml:space="preserve">The former has the advantage of lowest risk, simply because there is strong assurance that the DIIS can be met from the onset of the program. It is evident that there are ample providers that have the capacity to supply the services now, who are ISO 14001 certified.  The latter carries more risk to the PSO and ultimately Government, in the event that a significant incident occurs. </w:t>
      </w:r>
    </w:p>
    <w:p w:rsidR="00BC0452" w:rsidRDefault="00BC0452" w:rsidP="00BC0452">
      <w:r>
        <w:t xml:space="preserve">ISO 14001 should be a requirement from day one since it is the most effective option to prevent the occurrence of incidents related to environmental or occupational health and safety.  However, there may be circumstances where consideration could be given to contracting a non-ISO 14001-certified recycler, such as to minimise transport costs/ emissions by using a local provider in a remote location, or where the environmental outcome may clearly be more beneficial through using a non-certified </w:t>
      </w:r>
      <w:r>
        <w:lastRenderedPageBreak/>
        <w:t>supplier over a certified one.  It may be prudent to allow for this situation, on the assumption that it will be rare, and that such a decision be subject to:</w:t>
      </w:r>
    </w:p>
    <w:p w:rsidR="00BC0452" w:rsidRDefault="00BC0452" w:rsidP="00162446">
      <w:pPr>
        <w:pStyle w:val="ListParagraph"/>
        <w:numPr>
          <w:ilvl w:val="0"/>
          <w:numId w:val="44"/>
        </w:numPr>
      </w:pPr>
      <w:r>
        <w:t>a risk assessment;</w:t>
      </w:r>
    </w:p>
    <w:p w:rsidR="00BC0452" w:rsidRDefault="00BC0452" w:rsidP="00162446">
      <w:pPr>
        <w:pStyle w:val="ListParagraph"/>
        <w:numPr>
          <w:ilvl w:val="0"/>
          <w:numId w:val="44"/>
        </w:numPr>
      </w:pPr>
      <w:r>
        <w:t xml:space="preserve">the supplier already having a functioning (if not certified) system in place; and </w:t>
      </w:r>
    </w:p>
    <w:p w:rsidR="00BC0452" w:rsidRDefault="00BC0452" w:rsidP="00162446">
      <w:pPr>
        <w:pStyle w:val="ListParagraph"/>
        <w:numPr>
          <w:ilvl w:val="0"/>
          <w:numId w:val="44"/>
        </w:numPr>
      </w:pPr>
      <w:r>
        <w:t>auditing of the supplier be carried out before contracts are established, to satisfy the PSO that it can comply with the DIIS.</w:t>
      </w:r>
    </w:p>
    <w:p w:rsidR="00BC0452" w:rsidRDefault="00BC0452">
      <w:pPr>
        <w:spacing w:after="0"/>
        <w:jc w:val="left"/>
        <w:rPr>
          <w:rFonts w:cs="Arial"/>
          <w:b/>
          <w:color w:val="235F2A"/>
          <w:sz w:val="40"/>
          <w:szCs w:val="28"/>
        </w:rPr>
      </w:pPr>
      <w:r>
        <w:br w:type="page"/>
      </w:r>
    </w:p>
    <w:p w:rsidR="003E24B5" w:rsidRPr="00C13CA1" w:rsidRDefault="003E24B5" w:rsidP="00162446">
      <w:pPr>
        <w:pStyle w:val="KMHNumberHeading1"/>
        <w:numPr>
          <w:ilvl w:val="0"/>
          <w:numId w:val="56"/>
        </w:numPr>
      </w:pPr>
      <w:bookmarkStart w:id="100" w:name="_Toc287018253"/>
      <w:r>
        <w:lastRenderedPageBreak/>
        <w:t>Recommendations</w:t>
      </w:r>
      <w:bookmarkEnd w:id="100"/>
    </w:p>
    <w:p w:rsidR="003E24B5" w:rsidRPr="00EC70FC" w:rsidRDefault="003E24B5" w:rsidP="00162446">
      <w:pPr>
        <w:pStyle w:val="KMHNumberheading20"/>
        <w:numPr>
          <w:ilvl w:val="1"/>
          <w:numId w:val="56"/>
        </w:numPr>
      </w:pPr>
      <w:bookmarkStart w:id="101" w:name="_Toc287018254"/>
      <w:r w:rsidRPr="001D68F9">
        <w:t>Risk</w:t>
      </w:r>
      <w:bookmarkEnd w:id="101"/>
    </w:p>
    <w:p w:rsidR="003E24B5" w:rsidRDefault="003E24B5" w:rsidP="00FC39CB">
      <w:r w:rsidRPr="00401549">
        <w:t>The risk assessment process recommends a number of opportunities for improvement prior to consideration by the Regulator of the DIIS</w:t>
      </w:r>
      <w:r>
        <w:t>. The following recommendations provide directions that once adopted will enhance the strength of the Standard and ensure the overall objective of “</w:t>
      </w:r>
      <w:r w:rsidRPr="00425ACD">
        <w:rPr>
          <w:i/>
        </w:rPr>
        <w:t>ensuring EOL Television and Computers are managed safely and in an environmentally sound manner at the end of their useful life .....</w:t>
      </w:r>
      <w:r>
        <w:t>” is achieved. Our recommendations are:</w:t>
      </w:r>
    </w:p>
    <w:p w:rsidR="003E24B5" w:rsidRPr="001E31CF" w:rsidRDefault="003E24B5" w:rsidP="00162446">
      <w:pPr>
        <w:pStyle w:val="ListParagraph"/>
        <w:numPr>
          <w:ilvl w:val="0"/>
          <w:numId w:val="65"/>
        </w:numPr>
        <w:spacing w:after="120"/>
        <w:rPr>
          <w:i/>
          <w:u w:val="single"/>
        </w:rPr>
      </w:pPr>
      <w:r w:rsidRPr="001E31CF">
        <w:rPr>
          <w:i/>
          <w:u w:val="single"/>
        </w:rPr>
        <w:t>Develop</w:t>
      </w:r>
      <w:r>
        <w:rPr>
          <w:i/>
          <w:u w:val="single"/>
        </w:rPr>
        <w:t xml:space="preserve"> an </w:t>
      </w:r>
      <w:r w:rsidRPr="001E31CF">
        <w:rPr>
          <w:i/>
          <w:u w:val="single"/>
        </w:rPr>
        <w:t>education/training/familiarisation plan to accompany</w:t>
      </w:r>
      <w:r>
        <w:rPr>
          <w:i/>
          <w:u w:val="single"/>
        </w:rPr>
        <w:t xml:space="preserve"> the</w:t>
      </w:r>
      <w:r w:rsidRPr="001E31CF">
        <w:rPr>
          <w:i/>
          <w:u w:val="single"/>
        </w:rPr>
        <w:t xml:space="preserve"> DIIS -  </w:t>
      </w:r>
      <w:r>
        <w:t xml:space="preserve">the majority of the risk treatment plans suggest additional information be provided to stakeholders in a formal manner such as a training program, to ensure service providers fully understand the requirements of the DIIS and the information contained in other related documents to which the DIIS refers. </w:t>
      </w:r>
    </w:p>
    <w:p w:rsidR="003E24B5" w:rsidRPr="00296802" w:rsidRDefault="003E24B5" w:rsidP="00162446">
      <w:pPr>
        <w:pStyle w:val="ListParagraph"/>
        <w:numPr>
          <w:ilvl w:val="0"/>
          <w:numId w:val="65"/>
        </w:numPr>
        <w:spacing w:after="120"/>
        <w:contextualSpacing w:val="0"/>
        <w:rPr>
          <w:i/>
          <w:u w:val="single"/>
        </w:rPr>
      </w:pPr>
      <w:r w:rsidRPr="00296802">
        <w:rPr>
          <w:i/>
          <w:u w:val="single"/>
        </w:rPr>
        <w:t xml:space="preserve">Implement </w:t>
      </w:r>
      <w:r>
        <w:rPr>
          <w:i/>
          <w:u w:val="single"/>
        </w:rPr>
        <w:t xml:space="preserve">the </w:t>
      </w:r>
      <w:r w:rsidRPr="00296802">
        <w:rPr>
          <w:i/>
          <w:u w:val="single"/>
        </w:rPr>
        <w:t>risk treatment plan</w:t>
      </w:r>
      <w:r>
        <w:rPr>
          <w:i/>
          <w:u w:val="single"/>
        </w:rPr>
        <w:t xml:space="preserve"> - </w:t>
      </w:r>
      <w:r>
        <w:t xml:space="preserve">according to Appendix F. </w:t>
      </w:r>
    </w:p>
    <w:p w:rsidR="003E24B5" w:rsidRPr="00B63FEF" w:rsidRDefault="003E24B5" w:rsidP="00162446">
      <w:pPr>
        <w:pStyle w:val="ListParagraph"/>
        <w:numPr>
          <w:ilvl w:val="0"/>
          <w:numId w:val="65"/>
        </w:numPr>
        <w:spacing w:after="120"/>
        <w:contextualSpacing w:val="0"/>
      </w:pPr>
      <w:r>
        <w:rPr>
          <w:i/>
          <w:u w:val="single"/>
        </w:rPr>
        <w:t>Adopt</w:t>
      </w:r>
      <w:r w:rsidRPr="00B63FEF">
        <w:rPr>
          <w:i/>
          <w:u w:val="single"/>
        </w:rPr>
        <w:t xml:space="preserve"> additional control measures for medium risks</w:t>
      </w:r>
    </w:p>
    <w:p w:rsidR="003E24B5" w:rsidRDefault="003E24B5" w:rsidP="00162446">
      <w:pPr>
        <w:pStyle w:val="ListParagraph"/>
        <w:numPr>
          <w:ilvl w:val="0"/>
          <w:numId w:val="65"/>
        </w:numPr>
        <w:spacing w:after="120"/>
        <w:contextualSpacing w:val="0"/>
      </w:pPr>
      <w:r>
        <w:rPr>
          <w:i/>
          <w:u w:val="single"/>
        </w:rPr>
        <w:t>Formalise Appendix 1 as prescriptive requirements</w:t>
      </w:r>
      <w:r w:rsidRPr="00B63FEF">
        <w:rPr>
          <w:i/>
          <w:u w:val="single"/>
        </w:rPr>
        <w:t xml:space="preserve">:- </w:t>
      </w:r>
      <w:r w:rsidRPr="0045686B">
        <w:t xml:space="preserve">information currently contained in the guidelines of Appendix </w:t>
      </w:r>
      <w:r>
        <w:t xml:space="preserve">1 provide useful information that should be </w:t>
      </w:r>
      <w:r w:rsidRPr="006043CC">
        <w:rPr>
          <w:rFonts w:cs="Arial"/>
          <w:szCs w:val="20"/>
        </w:rPr>
        <w:t xml:space="preserve">more prescriptive and </w:t>
      </w:r>
      <w:r w:rsidRPr="006043CC">
        <w:rPr>
          <w:lang w:val="en-US"/>
        </w:rPr>
        <w:t xml:space="preserve">become a formal requirement of industry </w:t>
      </w:r>
      <w:r>
        <w:rPr>
          <w:lang w:val="en-US"/>
        </w:rPr>
        <w:t>operators/recyclers</w:t>
      </w:r>
      <w:r>
        <w:t xml:space="preserve">. This information has been extracted from the Electronics Product Stewardship Council of Canada Guidance Document on Environmentally Sound Recycling of Electronics. Whilst the Preface of the DIIS states that it is based on a number of international e-waste standards particularly the Canadian standard, it falls short of formally adopting this Standard and thus requiring adherence to these guidelines. </w:t>
      </w:r>
    </w:p>
    <w:p w:rsidR="003E24B5" w:rsidRDefault="003E24B5" w:rsidP="00162446">
      <w:pPr>
        <w:pStyle w:val="ListParagraph"/>
        <w:numPr>
          <w:ilvl w:val="0"/>
          <w:numId w:val="65"/>
        </w:numPr>
        <w:spacing w:after="120"/>
        <w:contextualSpacing w:val="0"/>
      </w:pPr>
      <w:r>
        <w:rPr>
          <w:i/>
          <w:u w:val="single"/>
        </w:rPr>
        <w:t xml:space="preserve">Auditing regime to ensure operational best practice throughout the industry:- </w:t>
      </w:r>
      <w:r>
        <w:t>develop and communicate an auditing schedule to notify operators of what they can expect along with associated penalties for non conformance.</w:t>
      </w:r>
    </w:p>
    <w:p w:rsidR="003E24B5" w:rsidRPr="00B42E34" w:rsidRDefault="003E24B5" w:rsidP="00162446">
      <w:pPr>
        <w:pStyle w:val="ListParagraph"/>
        <w:numPr>
          <w:ilvl w:val="0"/>
          <w:numId w:val="65"/>
        </w:numPr>
        <w:spacing w:after="120"/>
        <w:contextualSpacing w:val="0"/>
      </w:pPr>
      <w:r w:rsidRPr="00D14924">
        <w:rPr>
          <w:i/>
          <w:u w:val="single"/>
        </w:rPr>
        <w:t>Add written policies for hygiene, eating and drinking</w:t>
      </w:r>
      <w:r>
        <w:rPr>
          <w:i/>
          <w:u w:val="single"/>
        </w:rPr>
        <w:t>:-</w:t>
      </w:r>
      <w:r w:rsidRPr="00D14924">
        <w:rPr>
          <w:lang w:val="en-US"/>
        </w:rPr>
        <w:t xml:space="preserve"> to reduce worker exposure to contaminants</w:t>
      </w:r>
      <w:r>
        <w:rPr>
          <w:lang w:val="en-US"/>
        </w:rPr>
        <w:t xml:space="preserve">.  This should be added to section 4.1 Risk Management, of the DIIS, with guidance taken from the Canadian standard, ie: </w:t>
      </w:r>
    </w:p>
    <w:p w:rsidR="003E24B5" w:rsidRPr="002E76D1" w:rsidRDefault="003E24B5" w:rsidP="002E76D1">
      <w:pPr>
        <w:spacing w:after="120"/>
        <w:ind w:left="1440"/>
        <w:rPr>
          <w:i/>
        </w:rPr>
      </w:pPr>
      <w:r w:rsidRPr="002E76D1">
        <w:rPr>
          <w:i/>
        </w:rPr>
        <w:t>“Implement policies and procedures for hygiene, eating and drinking to reduce worker exposure to lead and other toxic substances.”</w:t>
      </w:r>
    </w:p>
    <w:p w:rsidR="003E24B5" w:rsidRDefault="003E24B5" w:rsidP="00162446">
      <w:pPr>
        <w:pStyle w:val="ListParagraph"/>
        <w:numPr>
          <w:ilvl w:val="0"/>
          <w:numId w:val="65"/>
        </w:numPr>
        <w:spacing w:after="120"/>
        <w:contextualSpacing w:val="0"/>
      </w:pPr>
      <w:r w:rsidRPr="001E31CF">
        <w:rPr>
          <w:i/>
          <w:u w:val="single"/>
        </w:rPr>
        <w:t>Consider International obligations:-</w:t>
      </w:r>
      <w:r w:rsidRPr="001E31CF">
        <w:t xml:space="preserve"> We recommend that the Department continue to consider the relevance of the Basel and Stockholm Conventions in providing its position on the DIIS</w:t>
      </w:r>
      <w:r>
        <w:t xml:space="preserve">, particularly in relation to </w:t>
      </w:r>
      <w:r w:rsidRPr="001E31CF">
        <w:t>the DIIS’s unresolved position on the treatment of BFR-</w:t>
      </w:r>
      <w:r>
        <w:t>containing plastics. The Commonwealth Government’s apparent lack of a control to mitigate the risk of export of a Stockholm Convention POP for inappropriate use, as identified in the Regulatory Risk Review of Appendix F, should be further assessed and resolved.</w:t>
      </w:r>
    </w:p>
    <w:p w:rsidR="003E24B5" w:rsidRPr="001E31CF" w:rsidRDefault="003E24B5" w:rsidP="001F6A8B">
      <w:pPr>
        <w:spacing w:after="120"/>
        <w:ind w:left="720"/>
      </w:pPr>
      <w:r w:rsidRPr="001E31CF">
        <w:t xml:space="preserve"> </w:t>
      </w:r>
      <w:r>
        <w:t>By contrast, i</w:t>
      </w:r>
      <w:r w:rsidRPr="001E31CF">
        <w:t>t is</w:t>
      </w:r>
      <w:r>
        <w:t xml:space="preserve"> the</w:t>
      </w:r>
      <w:r w:rsidRPr="001E31CF">
        <w:t xml:space="preserve"> industry’s responsibility to ensure </w:t>
      </w:r>
      <w:r>
        <w:t xml:space="preserve">that in implementing </w:t>
      </w:r>
      <w:r w:rsidRPr="001E31CF">
        <w:t xml:space="preserve">the DIIS </w:t>
      </w:r>
      <w:r>
        <w:t xml:space="preserve">they </w:t>
      </w:r>
      <w:r w:rsidRPr="001E31CF">
        <w:t>meet all Australian legal requirements.</w:t>
      </w:r>
    </w:p>
    <w:p w:rsidR="003E24B5" w:rsidRPr="00EC70FC" w:rsidRDefault="003E24B5" w:rsidP="00162446">
      <w:pPr>
        <w:pStyle w:val="KMHNumberheading20"/>
        <w:numPr>
          <w:ilvl w:val="1"/>
          <w:numId w:val="56"/>
        </w:numPr>
        <w:spacing w:before="240"/>
        <w:ind w:left="573" w:hanging="431"/>
      </w:pPr>
      <w:bookmarkStart w:id="102" w:name="_Toc287018255"/>
      <w:r w:rsidRPr="009C43C1">
        <w:t>Cost</w:t>
      </w:r>
      <w:bookmarkEnd w:id="102"/>
    </w:p>
    <w:p w:rsidR="003E24B5" w:rsidRPr="00D14924" w:rsidRDefault="003E24B5" w:rsidP="00162446">
      <w:pPr>
        <w:pStyle w:val="ListParagraph"/>
        <w:numPr>
          <w:ilvl w:val="0"/>
          <w:numId w:val="65"/>
        </w:numPr>
        <w:spacing w:after="120"/>
        <w:contextualSpacing w:val="0"/>
      </w:pPr>
      <w:r w:rsidRPr="001E31CF">
        <w:rPr>
          <w:i/>
          <w:u w:val="single"/>
        </w:rPr>
        <w:t>No changes to the DIIS are recommended</w:t>
      </w:r>
      <w:r w:rsidRPr="00D14924">
        <w:t xml:space="preserve"> directly as a result of the cost burdens estimated in</w:t>
      </w:r>
      <w:r>
        <w:t xml:space="preserve"> Section 4 of</w:t>
      </w:r>
      <w:r w:rsidRPr="00D14924">
        <w:t xml:space="preserve"> this report.</w:t>
      </w:r>
    </w:p>
    <w:p w:rsidR="003E24B5" w:rsidRDefault="003E24B5" w:rsidP="00162446">
      <w:pPr>
        <w:pStyle w:val="ListParagraph"/>
        <w:numPr>
          <w:ilvl w:val="0"/>
          <w:numId w:val="65"/>
        </w:numPr>
        <w:spacing w:after="120"/>
        <w:contextualSpacing w:val="0"/>
      </w:pPr>
      <w:r w:rsidRPr="001E31CF">
        <w:rPr>
          <w:i/>
          <w:u w:val="single"/>
        </w:rPr>
        <w:t>ISO 14001 Requirement:-</w:t>
      </w:r>
      <w:r w:rsidRPr="00B63FEF">
        <w:t xml:space="preserve"> </w:t>
      </w:r>
      <w:r>
        <w:t>ISO 14001 should be set as a requirement from day one since it is the most effective option to prevent the occurrence of incidents related to environmental or occupational health and safety. However, there may be circumstances where there is a legitimate advantage to contracting a non-ISO 14001-certified recycler, such as to minimise transport costs/ emissions by using a local provider in a remote location, or where the environmental outcome may clearly be more beneficial through using a non-certified supplier over a certified one.  It is recommended to allow for this situation, on the assumption that it will be rare, and that such a decision be subject to:</w:t>
      </w:r>
    </w:p>
    <w:p w:rsidR="003E24B5" w:rsidRDefault="003E24B5" w:rsidP="00162446">
      <w:pPr>
        <w:pStyle w:val="ListParagraph"/>
        <w:numPr>
          <w:ilvl w:val="1"/>
          <w:numId w:val="44"/>
        </w:numPr>
      </w:pPr>
      <w:r>
        <w:t>a risk assessment;</w:t>
      </w:r>
    </w:p>
    <w:p w:rsidR="003E24B5" w:rsidRDefault="003E24B5" w:rsidP="00162446">
      <w:pPr>
        <w:pStyle w:val="ListParagraph"/>
        <w:numPr>
          <w:ilvl w:val="1"/>
          <w:numId w:val="44"/>
        </w:numPr>
      </w:pPr>
      <w:r>
        <w:t xml:space="preserve">the supplier already having a functioning (if not certified) system in place; and </w:t>
      </w:r>
    </w:p>
    <w:p w:rsidR="003E24B5" w:rsidRDefault="003E24B5" w:rsidP="00162446">
      <w:pPr>
        <w:pStyle w:val="ListParagraph"/>
        <w:numPr>
          <w:ilvl w:val="1"/>
          <w:numId w:val="44"/>
        </w:numPr>
      </w:pPr>
      <w:r>
        <w:t>auditing of the supplier be carried out before contracts are established, to satisfy the approved arrangement manager that it can comply with the DIIS.</w:t>
      </w:r>
    </w:p>
    <w:p w:rsidR="003E24B5" w:rsidRDefault="003E24B5" w:rsidP="00162446">
      <w:pPr>
        <w:pStyle w:val="KMHNumberheading20"/>
        <w:keepNext/>
        <w:keepLines/>
        <w:numPr>
          <w:ilvl w:val="1"/>
          <w:numId w:val="56"/>
        </w:numPr>
      </w:pPr>
      <w:bookmarkStart w:id="103" w:name="_Toc287018256"/>
      <w:r>
        <w:lastRenderedPageBreak/>
        <w:t>Other</w:t>
      </w:r>
      <w:bookmarkEnd w:id="103"/>
    </w:p>
    <w:p w:rsidR="003E24B5" w:rsidRDefault="003E24B5" w:rsidP="008D5CBC">
      <w:pPr>
        <w:keepNext/>
        <w:keepLines/>
      </w:pPr>
      <w:r>
        <w:t>A number of other recommendations arising from stakeholder comments and our general review of the document are suggested.  These are:</w:t>
      </w:r>
    </w:p>
    <w:p w:rsidR="003E24B5" w:rsidRDefault="003E24B5" w:rsidP="00162446">
      <w:pPr>
        <w:pStyle w:val="ListParagraph"/>
        <w:numPr>
          <w:ilvl w:val="0"/>
          <w:numId w:val="65"/>
        </w:numPr>
        <w:spacing w:after="120"/>
        <w:contextualSpacing w:val="0"/>
      </w:pPr>
      <w:r>
        <w:rPr>
          <w:i/>
          <w:u w:val="single"/>
        </w:rPr>
        <w:t xml:space="preserve">Clarification amendments to the document:- </w:t>
      </w:r>
      <w:r w:rsidRPr="005144C0">
        <w:t>Improve the</w:t>
      </w:r>
      <w:r>
        <w:rPr>
          <w:i/>
          <w:u w:val="single"/>
        </w:rPr>
        <w:t xml:space="preserve"> </w:t>
      </w:r>
      <w:r>
        <w:rPr>
          <w:color w:val="000000"/>
        </w:rPr>
        <w:t xml:space="preserve">purpose and accuracy of the </w:t>
      </w:r>
      <w:r w:rsidRPr="00EF136A">
        <w:rPr>
          <w:color w:val="000000"/>
        </w:rPr>
        <w:t>DIIS</w:t>
      </w:r>
      <w:r w:rsidRPr="00EF136A">
        <w:t xml:space="preserve"> </w:t>
      </w:r>
      <w:r>
        <w:t>by making the following editorial changes:</w:t>
      </w:r>
    </w:p>
    <w:p w:rsidR="003E24B5" w:rsidRDefault="003E24B5" w:rsidP="00162446">
      <w:pPr>
        <w:pStyle w:val="ListParagraph"/>
        <w:numPr>
          <w:ilvl w:val="1"/>
          <w:numId w:val="47"/>
        </w:numPr>
        <w:spacing w:after="120"/>
        <w:contextualSpacing w:val="0"/>
        <w:rPr>
          <w:color w:val="000000"/>
        </w:rPr>
      </w:pPr>
      <w:r w:rsidRPr="00EF136A">
        <w:rPr>
          <w:b/>
        </w:rPr>
        <w:t>Section 1. “Scope</w:t>
      </w:r>
      <w:r>
        <w:t xml:space="preserve">”: </w:t>
      </w:r>
      <w:r w:rsidRPr="00EF136A">
        <w:rPr>
          <w:i/>
          <w:color w:val="000000"/>
        </w:rPr>
        <w:t xml:space="preserve">“This Interim Industry Standard applies to the </w:t>
      </w:r>
      <w:r>
        <w:rPr>
          <w:i/>
          <w:color w:val="FF0000"/>
        </w:rPr>
        <w:t xml:space="preserve">drop-off, </w:t>
      </w:r>
      <w:r>
        <w:rPr>
          <w:i/>
          <w:color w:val="000000"/>
        </w:rPr>
        <w:t xml:space="preserve">collection, transport </w:t>
      </w:r>
      <w:r w:rsidRPr="00EF136A">
        <w:rPr>
          <w:i/>
          <w:color w:val="FF0000"/>
        </w:rPr>
        <w:t>and</w:t>
      </w:r>
      <w:r w:rsidRPr="00EF136A">
        <w:rPr>
          <w:i/>
          <w:color w:val="000000"/>
        </w:rPr>
        <w:t xml:space="preserve"> recycling</w:t>
      </w:r>
      <w:r w:rsidRPr="00EF136A">
        <w:rPr>
          <w:rFonts w:ascii="Arial (W1)" w:hAnsi="Arial (W1)"/>
          <w:i/>
          <w:strike/>
          <w:color w:val="FF0000"/>
        </w:rPr>
        <w:t>, and disposal</w:t>
      </w:r>
      <w:r w:rsidRPr="00EF136A">
        <w:rPr>
          <w:i/>
          <w:color w:val="000000"/>
        </w:rPr>
        <w:t xml:space="preserve"> of products covered under the National Television and Computer Product Stewardship Scheme ie End of Life (EOL) Televisions and Computers</w:t>
      </w:r>
      <w:r w:rsidRPr="00EF136A">
        <w:rPr>
          <w:color w:val="000000"/>
        </w:rPr>
        <w:t>.”</w:t>
      </w:r>
    </w:p>
    <w:p w:rsidR="003E24B5" w:rsidRPr="00EF136A" w:rsidRDefault="003E24B5" w:rsidP="00162446">
      <w:pPr>
        <w:pStyle w:val="ListParagraph"/>
        <w:numPr>
          <w:ilvl w:val="1"/>
          <w:numId w:val="47"/>
        </w:numPr>
        <w:spacing w:after="120"/>
        <w:contextualSpacing w:val="0"/>
        <w:rPr>
          <w:color w:val="000000"/>
        </w:rPr>
      </w:pPr>
      <w:r w:rsidRPr="00EF136A">
        <w:rPr>
          <w:b/>
        </w:rPr>
        <w:t xml:space="preserve">Section </w:t>
      </w:r>
      <w:r>
        <w:rPr>
          <w:b/>
        </w:rPr>
        <w:t>2</w:t>
      </w:r>
      <w:r w:rsidRPr="00EF136A">
        <w:rPr>
          <w:b/>
        </w:rPr>
        <w:t>. “</w:t>
      </w:r>
      <w:r>
        <w:rPr>
          <w:b/>
        </w:rPr>
        <w:t>Application”</w:t>
      </w:r>
      <w:r>
        <w:t>: Include a paragraph clarifying situations where the DIIS must be followed and where it strongly suggested as guidance in non-PSO contracts, ie:</w:t>
      </w:r>
    </w:p>
    <w:p w:rsidR="003E24B5" w:rsidRDefault="003E24B5" w:rsidP="00EF136A">
      <w:pPr>
        <w:spacing w:after="120"/>
        <w:ind w:left="1800"/>
        <w:rPr>
          <w:color w:val="000000"/>
        </w:rPr>
      </w:pPr>
      <w:r>
        <w:rPr>
          <w:color w:val="000000"/>
        </w:rPr>
        <w:t>“The Interim Industry Standard applies to contracts between the PSO and service providers it contracts with.  While not specifically subject to this standard, arrangements between direct service providers and their sub contractors (i.e. downstream processors) should be guided by this standard.”</w:t>
      </w:r>
    </w:p>
    <w:p w:rsidR="003E24B5" w:rsidRPr="00D61CD5" w:rsidRDefault="003E24B5" w:rsidP="00162446">
      <w:pPr>
        <w:pStyle w:val="ListParagraph"/>
        <w:numPr>
          <w:ilvl w:val="1"/>
          <w:numId w:val="47"/>
        </w:numPr>
        <w:spacing w:after="120"/>
        <w:contextualSpacing w:val="0"/>
        <w:rPr>
          <w:b/>
        </w:rPr>
      </w:pPr>
      <w:r w:rsidRPr="00EF136A">
        <w:rPr>
          <w:b/>
        </w:rPr>
        <w:t xml:space="preserve">Section </w:t>
      </w:r>
      <w:r>
        <w:rPr>
          <w:b/>
        </w:rPr>
        <w:t>2</w:t>
      </w:r>
      <w:r w:rsidRPr="00EF136A">
        <w:rPr>
          <w:b/>
        </w:rPr>
        <w:t>. “</w:t>
      </w:r>
      <w:r>
        <w:rPr>
          <w:b/>
        </w:rPr>
        <w:t>Application, Note 1”</w:t>
      </w:r>
      <w:r>
        <w:t xml:space="preserve">:  </w:t>
      </w:r>
      <w:r w:rsidRPr="00EF136A">
        <w:rPr>
          <w:i/>
          <w:color w:val="000000"/>
        </w:rPr>
        <w:t>“</w:t>
      </w:r>
      <w:r>
        <w:rPr>
          <w:i/>
          <w:color w:val="000000"/>
        </w:rPr>
        <w:t xml:space="preserve">However it is expected that an auditing regime will need to be in place under the National Television and Computer Product Stewardship Program to monitor compliance of collection locations </w:t>
      </w:r>
      <w:r w:rsidRPr="00D61CD5">
        <w:rPr>
          <w:i/>
          <w:color w:val="FF0000"/>
        </w:rPr>
        <w:t>and transporters</w:t>
      </w:r>
      <w:r>
        <w:rPr>
          <w:i/>
          <w:color w:val="000000"/>
        </w:rPr>
        <w:t>.”</w:t>
      </w:r>
      <w:r>
        <w:rPr>
          <w:color w:val="000000"/>
        </w:rPr>
        <w:t xml:space="preserve">  While noted that “periodic random audits” would more likely be weighted towards collection locations, leaving transporters subject to no checking mechanism at all is not acceptable.</w:t>
      </w:r>
    </w:p>
    <w:p w:rsidR="003E24B5" w:rsidRPr="003A44AF" w:rsidRDefault="003E24B5" w:rsidP="00162446">
      <w:pPr>
        <w:pStyle w:val="ListParagraph"/>
        <w:numPr>
          <w:ilvl w:val="1"/>
          <w:numId w:val="47"/>
        </w:numPr>
        <w:spacing w:after="120"/>
        <w:contextualSpacing w:val="0"/>
        <w:rPr>
          <w:b/>
        </w:rPr>
      </w:pPr>
      <w:r w:rsidRPr="00EF136A">
        <w:rPr>
          <w:b/>
        </w:rPr>
        <w:t xml:space="preserve">Section </w:t>
      </w:r>
      <w:r>
        <w:rPr>
          <w:b/>
        </w:rPr>
        <w:t>4.1</w:t>
      </w:r>
      <w:r w:rsidRPr="00EF136A">
        <w:rPr>
          <w:b/>
        </w:rPr>
        <w:t>. “</w:t>
      </w:r>
      <w:r>
        <w:rPr>
          <w:b/>
        </w:rPr>
        <w:t>Risk Management, Note 2”</w:t>
      </w:r>
      <w:r>
        <w:t xml:space="preserve">:  </w:t>
      </w:r>
      <w:r w:rsidRPr="00EF136A">
        <w:rPr>
          <w:i/>
          <w:color w:val="000000"/>
        </w:rPr>
        <w:t>“</w:t>
      </w:r>
      <w:r>
        <w:rPr>
          <w:i/>
          <w:color w:val="000000"/>
        </w:rPr>
        <w:t>Information on Exposure Standards is available from Safe Work Australia</w:t>
      </w:r>
      <w:r>
        <w:rPr>
          <w:i/>
          <w:color w:val="FF0000"/>
        </w:rPr>
        <w:t>’s</w:t>
      </w:r>
      <w:r>
        <w:rPr>
          <w:i/>
          <w:color w:val="000000"/>
        </w:rPr>
        <w:t xml:space="preserve"> Hazardous Substances Information System </w:t>
      </w:r>
      <w:r>
        <w:rPr>
          <w:i/>
          <w:color w:val="FF0000"/>
        </w:rPr>
        <w:t xml:space="preserve">(available at </w:t>
      </w:r>
      <w:hyperlink r:id="rId31" w:history="1">
        <w:r w:rsidRPr="00110118">
          <w:rPr>
            <w:rStyle w:val="Hyperlink"/>
            <w:i/>
          </w:rPr>
          <w:t>www.safeworkaustralia.gov.au</w:t>
        </w:r>
      </w:hyperlink>
      <w:r>
        <w:rPr>
          <w:i/>
          <w:color w:val="FF0000"/>
        </w:rPr>
        <w:t xml:space="preserve">) </w:t>
      </w:r>
    </w:p>
    <w:p w:rsidR="003E24B5" w:rsidRPr="003A44AF" w:rsidRDefault="003E24B5" w:rsidP="00162446">
      <w:pPr>
        <w:pStyle w:val="ListParagraph"/>
        <w:numPr>
          <w:ilvl w:val="1"/>
          <w:numId w:val="47"/>
        </w:numPr>
        <w:spacing w:after="120"/>
        <w:contextualSpacing w:val="0"/>
        <w:rPr>
          <w:b/>
        </w:rPr>
      </w:pPr>
      <w:r>
        <w:rPr>
          <w:b/>
        </w:rPr>
        <w:t>Section 4.6. “Reporting”</w:t>
      </w:r>
      <w:r>
        <w:t xml:space="preserve">: </w:t>
      </w:r>
    </w:p>
    <w:p w:rsidR="003E24B5" w:rsidRPr="003A44AF" w:rsidRDefault="003E24B5" w:rsidP="00162446">
      <w:pPr>
        <w:pStyle w:val="ListParagraph"/>
        <w:numPr>
          <w:ilvl w:val="2"/>
          <w:numId w:val="47"/>
        </w:numPr>
        <w:spacing w:after="120"/>
        <w:contextualSpacing w:val="0"/>
        <w:rPr>
          <w:b/>
        </w:rPr>
      </w:pPr>
      <w:r w:rsidRPr="003A44AF">
        <w:rPr>
          <w:i/>
        </w:rPr>
        <w:t>“Collection Locations</w:t>
      </w:r>
      <w:r w:rsidRPr="003A44AF">
        <w:rPr>
          <w:i/>
          <w:color w:val="FF0000"/>
        </w:rPr>
        <w:t>, Transporters</w:t>
      </w:r>
      <w:r w:rsidRPr="003A44AF">
        <w:rPr>
          <w:i/>
        </w:rPr>
        <w:t xml:space="preserve"> and Recyclers shall provide reports to the Product Stewardship Organisation as follows:”</w:t>
      </w:r>
      <w:r>
        <w:t xml:space="preserve">  </w:t>
      </w:r>
    </w:p>
    <w:p w:rsidR="003E24B5" w:rsidRPr="003A44AF" w:rsidRDefault="003E24B5" w:rsidP="00162446">
      <w:pPr>
        <w:pStyle w:val="ListParagraph"/>
        <w:numPr>
          <w:ilvl w:val="2"/>
          <w:numId w:val="47"/>
        </w:numPr>
        <w:spacing w:after="120"/>
        <w:contextualSpacing w:val="0"/>
        <w:rPr>
          <w:b/>
        </w:rPr>
      </w:pPr>
      <w:r>
        <w:t xml:space="preserve">Insert heading before section 4.6 a as follows: </w:t>
      </w:r>
      <w:r>
        <w:rPr>
          <w:i/>
        </w:rPr>
        <w:t>“</w:t>
      </w:r>
      <w:r w:rsidRPr="003A44AF">
        <w:rPr>
          <w:i/>
        </w:rPr>
        <w:t>For Collection Locations, Transporters and Recyclers”</w:t>
      </w:r>
    </w:p>
    <w:p w:rsidR="003E24B5" w:rsidRPr="003A44AF" w:rsidRDefault="003E24B5" w:rsidP="00162446">
      <w:pPr>
        <w:pStyle w:val="ListParagraph"/>
        <w:numPr>
          <w:ilvl w:val="2"/>
          <w:numId w:val="47"/>
        </w:numPr>
        <w:spacing w:after="120"/>
        <w:contextualSpacing w:val="0"/>
        <w:rPr>
          <w:b/>
        </w:rPr>
      </w:pPr>
      <w:r>
        <w:t xml:space="preserve">Insert heading before section 4.6 b as follows: </w:t>
      </w:r>
      <w:r>
        <w:rPr>
          <w:i/>
        </w:rPr>
        <w:t xml:space="preserve">“For Collection </w:t>
      </w:r>
      <w:r w:rsidRPr="003A44AF">
        <w:rPr>
          <w:i/>
        </w:rPr>
        <w:t>Locations</w:t>
      </w:r>
      <w:r>
        <w:rPr>
          <w:i/>
        </w:rPr>
        <w:t xml:space="preserve"> </w:t>
      </w:r>
      <w:r w:rsidRPr="003A44AF">
        <w:rPr>
          <w:i/>
        </w:rPr>
        <w:t>and Recyclers</w:t>
      </w:r>
      <w:r>
        <w:rPr>
          <w:i/>
        </w:rPr>
        <w:t>”</w:t>
      </w:r>
    </w:p>
    <w:p w:rsidR="003E24B5" w:rsidRPr="00C11690" w:rsidRDefault="003E24B5" w:rsidP="00162446">
      <w:pPr>
        <w:pStyle w:val="ListParagraph"/>
        <w:numPr>
          <w:ilvl w:val="1"/>
          <w:numId w:val="47"/>
        </w:numPr>
        <w:spacing w:after="120"/>
        <w:contextualSpacing w:val="0"/>
        <w:rPr>
          <w:b/>
        </w:rPr>
      </w:pPr>
      <w:r w:rsidRPr="00EF136A">
        <w:rPr>
          <w:b/>
        </w:rPr>
        <w:t xml:space="preserve">Section </w:t>
      </w:r>
      <w:r>
        <w:rPr>
          <w:b/>
        </w:rPr>
        <w:t>4.7</w:t>
      </w:r>
      <w:r w:rsidRPr="00EF136A">
        <w:rPr>
          <w:b/>
        </w:rPr>
        <w:t>. “</w:t>
      </w:r>
      <w:r>
        <w:rPr>
          <w:b/>
        </w:rPr>
        <w:t>Records Management”</w:t>
      </w:r>
      <w:r>
        <w:t xml:space="preserve">: </w:t>
      </w:r>
      <w:r w:rsidRPr="00EF136A">
        <w:rPr>
          <w:i/>
          <w:color w:val="000000"/>
        </w:rPr>
        <w:t>“</w:t>
      </w:r>
      <w:r w:rsidRPr="00C11690">
        <w:rPr>
          <w:rFonts w:ascii="Arial (W1)" w:hAnsi="Arial (W1)"/>
          <w:i/>
          <w:strike/>
          <w:color w:val="FF0000"/>
        </w:rPr>
        <w:t xml:space="preserve">The </w:t>
      </w:r>
      <w:r w:rsidRPr="00C11690">
        <w:rPr>
          <w:i/>
          <w:color w:val="FF0000"/>
        </w:rPr>
        <w:t>R</w:t>
      </w:r>
      <w:r>
        <w:rPr>
          <w:i/>
          <w:color w:val="000000"/>
        </w:rPr>
        <w:t>ecycler</w:t>
      </w:r>
      <w:r>
        <w:rPr>
          <w:i/>
          <w:color w:val="FF0000"/>
        </w:rPr>
        <w:t>s, Collection Locations and Transporters</w:t>
      </w:r>
      <w:r>
        <w:rPr>
          <w:i/>
          <w:color w:val="000000"/>
        </w:rPr>
        <w:t xml:space="preserve"> shall maintain and make available for audit documentation evidencing compliance with this Interim Standard.”</w:t>
      </w:r>
    </w:p>
    <w:p w:rsidR="003E24B5" w:rsidRPr="005B4729" w:rsidRDefault="003E24B5" w:rsidP="00162446">
      <w:pPr>
        <w:pStyle w:val="ListParagraph"/>
        <w:numPr>
          <w:ilvl w:val="1"/>
          <w:numId w:val="47"/>
        </w:numPr>
        <w:spacing w:after="120"/>
        <w:contextualSpacing w:val="0"/>
        <w:rPr>
          <w:b/>
        </w:rPr>
      </w:pPr>
      <w:r>
        <w:rPr>
          <w:b/>
        </w:rPr>
        <w:t>Section 6.2.  “Export Transport Requirements”</w:t>
      </w:r>
      <w:r>
        <w:t>: Is the reference to “Road and Rail Transport Acts” appropriate to export requirements?  If so it should be made more specific.</w:t>
      </w:r>
    </w:p>
    <w:p w:rsidR="003E24B5" w:rsidRPr="005B4729" w:rsidRDefault="003E24B5" w:rsidP="00162446">
      <w:pPr>
        <w:pStyle w:val="ListParagraph"/>
        <w:numPr>
          <w:ilvl w:val="0"/>
          <w:numId w:val="65"/>
        </w:numPr>
        <w:spacing w:after="120"/>
        <w:contextualSpacing w:val="0"/>
      </w:pPr>
      <w:r w:rsidRPr="005B4729">
        <w:rPr>
          <w:i/>
          <w:u w:val="single"/>
        </w:rPr>
        <w:t xml:space="preserve">Promotion of the Waste Hierarchy:- </w:t>
      </w:r>
      <w:r>
        <w:t>I</w:t>
      </w:r>
      <w:r w:rsidRPr="005B4729">
        <w:t>nclude mechanisms to ensure legitimate reuse opportunities are not wasted, such as stating that items should be collected/ handled/ transported so they are not damaged before they are assessed for reuse possibilities, or including the amount of equipment reused as part of recycler reporting requirements.</w:t>
      </w:r>
      <w:r>
        <w:t xml:space="preserve"> (It is noted that t</w:t>
      </w:r>
      <w:r w:rsidRPr="005B4729">
        <w:t>he DIIS explicitly excludes reuse from the standard.</w:t>
      </w:r>
      <w:r>
        <w:t>)</w:t>
      </w:r>
    </w:p>
    <w:p w:rsidR="003E24B5" w:rsidRPr="005B4729" w:rsidRDefault="003E24B5" w:rsidP="00162446">
      <w:pPr>
        <w:pStyle w:val="ListParagraph"/>
        <w:numPr>
          <w:ilvl w:val="0"/>
          <w:numId w:val="65"/>
        </w:numPr>
        <w:spacing w:after="120"/>
        <w:contextualSpacing w:val="0"/>
      </w:pPr>
      <w:r w:rsidRPr="005B4729">
        <w:rPr>
          <w:i/>
          <w:u w:val="single"/>
        </w:rPr>
        <w:t>Pr</w:t>
      </w:r>
      <w:r>
        <w:rPr>
          <w:i/>
          <w:u w:val="single"/>
        </w:rPr>
        <w:t>ison labour</w:t>
      </w:r>
      <w:r w:rsidRPr="005B4729">
        <w:rPr>
          <w:i/>
          <w:u w:val="single"/>
        </w:rPr>
        <w:t xml:space="preserve">:- </w:t>
      </w:r>
      <w:r>
        <w:t>Anecdotally prison labour is not routinely used in the Australian recycling industry.  Delete references to it as it appears to have been more of an issue in overseas schemes</w:t>
      </w:r>
      <w:r w:rsidRPr="005B4729">
        <w:t>.</w:t>
      </w:r>
    </w:p>
    <w:p w:rsidR="003E24B5" w:rsidRDefault="003E24B5" w:rsidP="00162446">
      <w:pPr>
        <w:pStyle w:val="ListParagraph"/>
        <w:numPr>
          <w:ilvl w:val="0"/>
          <w:numId w:val="65"/>
        </w:numPr>
        <w:spacing w:after="120"/>
        <w:contextualSpacing w:val="0"/>
      </w:pPr>
      <w:r w:rsidRPr="005B4729">
        <w:rPr>
          <w:i/>
          <w:u w:val="single"/>
        </w:rPr>
        <w:t>Signage guidelines:-</w:t>
      </w:r>
      <w:r>
        <w:t xml:space="preserve">  While not required as part of the DIIS, it is recommended that signage guidelines for collection locations are developed as a linked document referenced by the DIIS, to promote safe drop-off practices and to ensure consistency of message and branding for the program.</w:t>
      </w:r>
    </w:p>
    <w:p w:rsidR="003E24B5" w:rsidRPr="00C13CA1" w:rsidRDefault="003E24B5" w:rsidP="00162446">
      <w:pPr>
        <w:pStyle w:val="KMHNumberHeading1"/>
        <w:numPr>
          <w:ilvl w:val="0"/>
          <w:numId w:val="56"/>
        </w:numPr>
      </w:pPr>
      <w:r>
        <w:br w:type="page"/>
      </w:r>
      <w:bookmarkStart w:id="104" w:name="_Toc287018257"/>
      <w:r>
        <w:lastRenderedPageBreak/>
        <w:t>References</w:t>
      </w:r>
      <w:bookmarkEnd w:id="104"/>
    </w:p>
    <w:p w:rsidR="003E24B5" w:rsidRDefault="003E24B5" w:rsidP="00162446">
      <w:pPr>
        <w:pStyle w:val="ListParagraph"/>
        <w:numPr>
          <w:ilvl w:val="0"/>
          <w:numId w:val="11"/>
        </w:numPr>
        <w:spacing w:after="120"/>
        <w:ind w:left="714" w:hanging="357"/>
        <w:contextualSpacing w:val="0"/>
      </w:pPr>
      <w:r w:rsidRPr="00D96A96">
        <w:rPr>
          <w:lang w:val="en-US"/>
        </w:rPr>
        <w:t>Draft Interim Industry Standard: Collection, Transport &amp; Recycling of End of Li</w:t>
      </w:r>
      <w:r>
        <w:rPr>
          <w:lang w:val="en-US"/>
        </w:rPr>
        <w:t>fe Televisions and Computers v6, PSA- AIIA,</w:t>
      </w:r>
      <w:r w:rsidRPr="00D96A96">
        <w:rPr>
          <w:lang w:val="en-US"/>
        </w:rPr>
        <w:t xml:space="preserve"> November 2010</w:t>
      </w:r>
    </w:p>
    <w:p w:rsidR="003E24B5" w:rsidRDefault="003E24B5" w:rsidP="00162446">
      <w:pPr>
        <w:pStyle w:val="ListParagraph"/>
        <w:numPr>
          <w:ilvl w:val="0"/>
          <w:numId w:val="11"/>
        </w:numPr>
        <w:spacing w:after="120"/>
        <w:ind w:left="714" w:hanging="357"/>
        <w:contextualSpacing w:val="0"/>
      </w:pPr>
      <w:r>
        <w:t>S</w:t>
      </w:r>
      <w:r w:rsidRPr="00DA619D">
        <w:t xml:space="preserve">takeholder feedback on the </w:t>
      </w:r>
      <w:r>
        <w:t>DIIS provided by DSEWPaC (see Appendix A)</w:t>
      </w:r>
    </w:p>
    <w:p w:rsidR="003E24B5" w:rsidRDefault="003E24B5" w:rsidP="00162446">
      <w:pPr>
        <w:pStyle w:val="ListParagraph"/>
        <w:numPr>
          <w:ilvl w:val="0"/>
          <w:numId w:val="11"/>
        </w:numPr>
        <w:spacing w:after="120"/>
        <w:ind w:left="714" w:hanging="357"/>
        <w:contextualSpacing w:val="0"/>
        <w:rPr>
          <w:bCs/>
          <w:lang w:val="en-US"/>
        </w:rPr>
      </w:pPr>
      <w:r>
        <w:rPr>
          <w:bCs/>
          <w:lang w:val="en-US"/>
        </w:rPr>
        <w:t xml:space="preserve">DSEWPaC - </w:t>
      </w:r>
      <w:r w:rsidRPr="00143464">
        <w:rPr>
          <w:bCs/>
          <w:lang w:val="en-US"/>
        </w:rPr>
        <w:t>Risk Management Guidelines</w:t>
      </w:r>
    </w:p>
    <w:p w:rsidR="003E24B5" w:rsidRDefault="003E24B5" w:rsidP="00162446">
      <w:pPr>
        <w:pStyle w:val="ListParagraph"/>
        <w:numPr>
          <w:ilvl w:val="0"/>
          <w:numId w:val="11"/>
        </w:numPr>
        <w:spacing w:after="120"/>
        <w:ind w:left="714" w:hanging="357"/>
        <w:contextualSpacing w:val="0"/>
        <w:rPr>
          <w:bCs/>
          <w:lang w:val="en-US"/>
        </w:rPr>
      </w:pPr>
      <w:r w:rsidRPr="00143464">
        <w:rPr>
          <w:bCs/>
          <w:lang w:val="en-US"/>
        </w:rPr>
        <w:t xml:space="preserve">National TV and Computer Product Stewardship Scheme Implementation Working Group </w:t>
      </w:r>
      <w:r>
        <w:rPr>
          <w:bCs/>
          <w:lang w:val="en-US"/>
        </w:rPr>
        <w:t xml:space="preserve"> - </w:t>
      </w:r>
      <w:r w:rsidRPr="00143464">
        <w:rPr>
          <w:bCs/>
          <w:lang w:val="en-US"/>
        </w:rPr>
        <w:t>Stakeholder Risk Analysis Workshop Outcomes</w:t>
      </w:r>
    </w:p>
    <w:p w:rsidR="003E24B5" w:rsidRDefault="003E24B5" w:rsidP="00162446">
      <w:pPr>
        <w:pStyle w:val="ListParagraph"/>
        <w:numPr>
          <w:ilvl w:val="0"/>
          <w:numId w:val="11"/>
        </w:numPr>
        <w:spacing w:after="120"/>
        <w:ind w:left="714" w:hanging="357"/>
        <w:contextualSpacing w:val="0"/>
        <w:rPr>
          <w:bCs/>
          <w:lang w:val="en-US"/>
        </w:rPr>
      </w:pPr>
      <w:r w:rsidRPr="00667B68">
        <w:rPr>
          <w:bCs/>
          <w:lang w:val="en-US"/>
        </w:rPr>
        <w:t>A</w:t>
      </w:r>
      <w:r>
        <w:rPr>
          <w:bCs/>
          <w:lang w:val="en-US"/>
        </w:rPr>
        <w:t>IIA</w:t>
      </w:r>
      <w:r w:rsidRPr="00667B68">
        <w:rPr>
          <w:bCs/>
          <w:lang w:val="en-US"/>
        </w:rPr>
        <w:t xml:space="preserve"> E-Sig/P</w:t>
      </w:r>
      <w:r>
        <w:rPr>
          <w:bCs/>
          <w:lang w:val="en-US"/>
        </w:rPr>
        <w:t>SA</w:t>
      </w:r>
      <w:r w:rsidRPr="00667B68">
        <w:rPr>
          <w:bCs/>
          <w:lang w:val="en-US"/>
        </w:rPr>
        <w:t xml:space="preserve"> National Televisions And Computers Product Stewardship Program (Including P</w:t>
      </w:r>
      <w:r>
        <w:rPr>
          <w:bCs/>
          <w:lang w:val="en-US"/>
        </w:rPr>
        <w:t>RO</w:t>
      </w:r>
      <w:r w:rsidRPr="00667B68">
        <w:rPr>
          <w:bCs/>
          <w:lang w:val="en-US"/>
        </w:rPr>
        <w:t xml:space="preserve"> Plans) Discussion Paper For Planning Purposes Draft</w:t>
      </w:r>
      <w:r>
        <w:rPr>
          <w:bCs/>
          <w:lang w:val="en-US"/>
        </w:rPr>
        <w:t>,</w:t>
      </w:r>
      <w:r w:rsidRPr="00667B68">
        <w:rPr>
          <w:bCs/>
          <w:lang w:val="en-US"/>
        </w:rPr>
        <w:t xml:space="preserve"> December 2010</w:t>
      </w:r>
    </w:p>
    <w:p w:rsidR="003E24B5" w:rsidRPr="00667B68" w:rsidRDefault="003E24B5" w:rsidP="00162446">
      <w:pPr>
        <w:pStyle w:val="ListParagraph"/>
        <w:numPr>
          <w:ilvl w:val="0"/>
          <w:numId w:val="11"/>
        </w:numPr>
        <w:spacing w:after="120"/>
        <w:ind w:left="714" w:hanging="357"/>
        <w:contextualSpacing w:val="0"/>
        <w:rPr>
          <w:bCs/>
          <w:lang w:val="en-US"/>
        </w:rPr>
      </w:pPr>
      <w:r>
        <w:t>WEEELABEX</w:t>
      </w:r>
      <w:r w:rsidRPr="00AF267B">
        <w:t xml:space="preserve"> </w:t>
      </w:r>
      <w:r>
        <w:t>normative requirements on Collection, draft v 7.2, October 2010</w:t>
      </w:r>
    </w:p>
    <w:p w:rsidR="003E24B5" w:rsidRPr="00F4145F" w:rsidRDefault="003E24B5" w:rsidP="00162446">
      <w:pPr>
        <w:pStyle w:val="ListParagraph"/>
        <w:numPr>
          <w:ilvl w:val="0"/>
          <w:numId w:val="11"/>
        </w:numPr>
        <w:spacing w:after="120"/>
        <w:ind w:left="714" w:hanging="357"/>
        <w:contextualSpacing w:val="0"/>
        <w:rPr>
          <w:bCs/>
          <w:lang w:val="en-US"/>
        </w:rPr>
      </w:pPr>
      <w:r>
        <w:t>WEEELABEX</w:t>
      </w:r>
      <w:r w:rsidRPr="00AF267B">
        <w:t xml:space="preserve"> </w:t>
      </w:r>
      <w:r>
        <w:t>normative requirements on Logistics, draft v 7.2, October 2010</w:t>
      </w:r>
    </w:p>
    <w:p w:rsidR="003E24B5" w:rsidRPr="00F4145F" w:rsidRDefault="003E24B5" w:rsidP="00162446">
      <w:pPr>
        <w:pStyle w:val="ListParagraph"/>
        <w:numPr>
          <w:ilvl w:val="0"/>
          <w:numId w:val="11"/>
        </w:numPr>
        <w:spacing w:after="120"/>
        <w:ind w:left="714" w:hanging="357"/>
        <w:contextualSpacing w:val="0"/>
        <w:rPr>
          <w:bCs/>
          <w:lang w:val="en-US"/>
        </w:rPr>
      </w:pPr>
      <w:r>
        <w:t>WEEELABEX</w:t>
      </w:r>
      <w:r w:rsidRPr="00AF267B">
        <w:t xml:space="preserve"> </w:t>
      </w:r>
      <w:r>
        <w:t>normative requirements on Treatment, draft v 7.2, October 2010</w:t>
      </w:r>
    </w:p>
    <w:p w:rsidR="003E24B5" w:rsidRDefault="003E24B5" w:rsidP="00162446">
      <w:pPr>
        <w:pStyle w:val="ListParagraph"/>
        <w:numPr>
          <w:ilvl w:val="0"/>
          <w:numId w:val="14"/>
        </w:numPr>
        <w:spacing w:after="120"/>
        <w:ind w:left="714" w:hanging="357"/>
        <w:contextualSpacing w:val="0"/>
      </w:pPr>
      <w:r>
        <w:t xml:space="preserve">UNEP - </w:t>
      </w:r>
      <w:r w:rsidRPr="00692973">
        <w:rPr>
          <w:i/>
          <w:iCs/>
          <w:lang w:val="en-US"/>
        </w:rPr>
        <w:t>Sustainable Innovation and Technology Transfer Industrial Sector Studies</w:t>
      </w:r>
      <w:r>
        <w:rPr>
          <w:i/>
          <w:iCs/>
          <w:lang w:val="en-US"/>
        </w:rPr>
        <w:t xml:space="preserve"> </w:t>
      </w:r>
      <w:r w:rsidRPr="00692973">
        <w:t>Re</w:t>
      </w:r>
      <w:r>
        <w:t xml:space="preserve">cycling From E-Waste to Resources, </w:t>
      </w:r>
    </w:p>
    <w:p w:rsidR="003E24B5" w:rsidRPr="00692973" w:rsidRDefault="003E24B5" w:rsidP="00162446">
      <w:pPr>
        <w:pStyle w:val="ListParagraph"/>
        <w:numPr>
          <w:ilvl w:val="0"/>
          <w:numId w:val="14"/>
        </w:numPr>
        <w:spacing w:after="120"/>
        <w:ind w:left="714" w:hanging="357"/>
        <w:contextualSpacing w:val="0"/>
        <w:rPr>
          <w:lang w:val="en-US"/>
        </w:rPr>
      </w:pPr>
      <w:r w:rsidRPr="00692973">
        <w:rPr>
          <w:bCs/>
          <w:lang w:val="en-US"/>
        </w:rPr>
        <w:t>Environmental and Human Health Risks Associated with the End-of-Life Treatment of Electrical and Electronic Equipment</w:t>
      </w:r>
      <w:r>
        <w:rPr>
          <w:bCs/>
          <w:lang w:val="en-US"/>
        </w:rPr>
        <w:t xml:space="preserve"> - </w:t>
      </w:r>
      <w:r w:rsidRPr="00692973">
        <w:rPr>
          <w:bCs/>
          <w:lang w:val="en-US"/>
        </w:rPr>
        <w:t>Institute for Global Environmental Strategies (IGES)</w:t>
      </w:r>
      <w:r>
        <w:rPr>
          <w:bCs/>
          <w:lang w:val="en-US"/>
        </w:rPr>
        <w:t>, Japan</w:t>
      </w:r>
    </w:p>
    <w:p w:rsidR="003E24B5" w:rsidRPr="006875F9" w:rsidRDefault="003E24B5" w:rsidP="00162446">
      <w:pPr>
        <w:pStyle w:val="ListParagraph"/>
        <w:numPr>
          <w:ilvl w:val="0"/>
          <w:numId w:val="14"/>
        </w:numPr>
        <w:spacing w:after="120"/>
        <w:ind w:left="714" w:hanging="357"/>
        <w:contextualSpacing w:val="0"/>
        <w:rPr>
          <w:lang w:val="en-US"/>
        </w:rPr>
      </w:pPr>
      <w:r>
        <w:rPr>
          <w:bCs/>
          <w:lang w:val="en-US"/>
        </w:rPr>
        <w:t>Electronics Recycling Standard 2009 – Electronics Product Stewardship, Canada</w:t>
      </w:r>
    </w:p>
    <w:p w:rsidR="003E24B5" w:rsidRPr="006875F9" w:rsidRDefault="003E24B5" w:rsidP="00162446">
      <w:pPr>
        <w:pStyle w:val="ListParagraph"/>
        <w:numPr>
          <w:ilvl w:val="0"/>
          <w:numId w:val="14"/>
        </w:numPr>
        <w:spacing w:after="120"/>
        <w:ind w:left="714" w:hanging="357"/>
        <w:contextualSpacing w:val="0"/>
        <w:rPr>
          <w:lang w:val="en-US"/>
        </w:rPr>
      </w:pPr>
      <w:r w:rsidRPr="006875F9">
        <w:rPr>
          <w:bCs/>
        </w:rPr>
        <w:t>The e-Stewards Standard for Responsible Recycling and Reuse of Electronic Equipment</w:t>
      </w:r>
      <w:r>
        <w:rPr>
          <w:bCs/>
        </w:rPr>
        <w:t xml:space="preserve"> July 2009 – e-Stewards, </w:t>
      </w:r>
    </w:p>
    <w:p w:rsidR="003E24B5" w:rsidRDefault="003E24B5" w:rsidP="00162446">
      <w:pPr>
        <w:pStyle w:val="ListParagraph"/>
        <w:numPr>
          <w:ilvl w:val="0"/>
          <w:numId w:val="14"/>
        </w:numPr>
        <w:spacing w:after="120"/>
        <w:ind w:left="714" w:hanging="357"/>
        <w:contextualSpacing w:val="0"/>
        <w:rPr>
          <w:bCs/>
        </w:rPr>
      </w:pPr>
      <w:r w:rsidRPr="00D96A96">
        <w:rPr>
          <w:bCs/>
        </w:rPr>
        <w:t xml:space="preserve">A Study of Australia’s Current and Future E-Waste Recycling Infrastructure Capacity and Needs, </w:t>
      </w:r>
      <w:r>
        <w:rPr>
          <w:bCs/>
        </w:rPr>
        <w:t xml:space="preserve"> W</w:t>
      </w:r>
      <w:r w:rsidRPr="00D96A96">
        <w:rPr>
          <w:bCs/>
        </w:rPr>
        <w:t>right Corporate Strategy/ Rawtec</w:t>
      </w:r>
      <w:r>
        <w:rPr>
          <w:bCs/>
        </w:rPr>
        <w:t>,</w:t>
      </w:r>
      <w:r w:rsidRPr="00D96A96">
        <w:rPr>
          <w:bCs/>
        </w:rPr>
        <w:t xml:space="preserve"> October 2010</w:t>
      </w:r>
    </w:p>
    <w:p w:rsidR="003E24B5" w:rsidRPr="00D96A96" w:rsidRDefault="003E24B5" w:rsidP="00162446">
      <w:pPr>
        <w:pStyle w:val="ListParagraph"/>
        <w:numPr>
          <w:ilvl w:val="0"/>
          <w:numId w:val="14"/>
        </w:numPr>
        <w:spacing w:after="120"/>
        <w:ind w:left="714" w:hanging="357"/>
        <w:contextualSpacing w:val="0"/>
        <w:rPr>
          <w:bCs/>
        </w:rPr>
      </w:pPr>
      <w:r w:rsidRPr="00D96A96">
        <w:rPr>
          <w:bCs/>
        </w:rPr>
        <w:t>Environment Protection and Heritage Council Decision Regulatory Impact Statement: Televisions and Computers, October 2009 – PWC/ Hyder Consulting (Decision RIS)</w:t>
      </w:r>
    </w:p>
    <w:p w:rsidR="003E24B5" w:rsidRDefault="003E24B5" w:rsidP="00285EA9"/>
    <w:p w:rsidR="003E24B5" w:rsidRDefault="003E24B5" w:rsidP="00285EA9"/>
    <w:p w:rsidR="003E24B5" w:rsidRDefault="003E24B5" w:rsidP="00285EA9"/>
    <w:p w:rsidR="003E24B5" w:rsidRDefault="003E24B5" w:rsidP="008D5CBC">
      <w:pPr>
        <w:pStyle w:val="KMHNumberHeading1"/>
        <w:ind w:left="142" w:firstLine="0"/>
      </w:pPr>
      <w:r>
        <w:br w:type="page"/>
      </w:r>
      <w:bookmarkStart w:id="105" w:name="_Toc231628821"/>
      <w:bookmarkEnd w:id="105"/>
    </w:p>
    <w:p w:rsidR="003E24B5" w:rsidRDefault="003E24B5" w:rsidP="003B541B"/>
    <w:p w:rsidR="003E24B5" w:rsidRDefault="003E24B5" w:rsidP="002B604B"/>
    <w:p w:rsidR="003E24B5" w:rsidRDefault="003E24B5" w:rsidP="002B604B"/>
    <w:p w:rsidR="003E24B5" w:rsidRDefault="003E24B5" w:rsidP="002B604B"/>
    <w:p w:rsidR="003E24B5" w:rsidRDefault="003E24B5" w:rsidP="002B604B"/>
    <w:p w:rsidR="003E24B5" w:rsidRDefault="003E24B5" w:rsidP="002B604B"/>
    <w:p w:rsidR="003E24B5" w:rsidRDefault="003E24B5" w:rsidP="002B604B"/>
    <w:p w:rsidR="003E24B5" w:rsidRDefault="003E24B5" w:rsidP="002B604B"/>
    <w:p w:rsidR="003E24B5" w:rsidRDefault="003E24B5" w:rsidP="002B604B"/>
    <w:p w:rsidR="003E24B5" w:rsidRDefault="003E24B5" w:rsidP="002B604B"/>
    <w:p w:rsidR="003E24B5" w:rsidRPr="002B604B" w:rsidRDefault="003E24B5" w:rsidP="002B604B"/>
    <w:p w:rsidR="003E24B5" w:rsidRPr="00CB42E3" w:rsidRDefault="003E24B5" w:rsidP="000057EA">
      <w:pPr>
        <w:pStyle w:val="KMHTitleAppendix"/>
        <w:rPr>
          <w:noProof/>
        </w:rPr>
      </w:pPr>
      <w:bookmarkStart w:id="106" w:name="_Toc238554242"/>
      <w:r w:rsidRPr="00CB42E3">
        <w:rPr>
          <w:noProof/>
        </w:rPr>
        <w:t xml:space="preserve">Appendix </w:t>
      </w:r>
      <w:bookmarkEnd w:id="106"/>
      <w:r w:rsidRPr="00CB42E3">
        <w:rPr>
          <w:noProof/>
        </w:rPr>
        <w:t>A</w:t>
      </w:r>
    </w:p>
    <w:p w:rsidR="003E24B5" w:rsidRDefault="003E24B5" w:rsidP="00EC70FC">
      <w:pPr>
        <w:pStyle w:val="KMHsubtitleappendix"/>
      </w:pPr>
      <w:bookmarkStart w:id="107" w:name="_Toc231709653"/>
      <w:bookmarkStart w:id="108" w:name="_Toc231716545"/>
      <w:bookmarkStart w:id="109" w:name="_Toc231716676"/>
      <w:bookmarkStart w:id="110" w:name="_Toc231808737"/>
      <w:bookmarkStart w:id="111" w:name="_Toc231811955"/>
      <w:r w:rsidRPr="00EC70FC">
        <w:t xml:space="preserve">Consolidated Stakeholder Comments on the </w:t>
      </w:r>
      <w:r>
        <w:t>DIIS</w:t>
      </w:r>
      <w:bookmarkEnd w:id="107"/>
      <w:bookmarkEnd w:id="108"/>
      <w:bookmarkEnd w:id="109"/>
      <w:bookmarkEnd w:id="110"/>
      <w:bookmarkEnd w:id="111"/>
    </w:p>
    <w:p w:rsidR="003E24B5" w:rsidRDefault="003E24B5" w:rsidP="00285EA9"/>
    <w:p w:rsidR="00F852EF" w:rsidRDefault="003E24B5" w:rsidP="00285EA9">
      <w:pPr>
        <w:sectPr w:rsidR="00F852EF" w:rsidSect="008D1F2B">
          <w:headerReference w:type="first" r:id="rId32"/>
          <w:footerReference w:type="first" r:id="rId33"/>
          <w:pgSz w:w="11907" w:h="16839" w:code="9"/>
          <w:pgMar w:top="850" w:right="1138" w:bottom="850" w:left="1699" w:header="425" w:footer="425" w:gutter="0"/>
          <w:cols w:space="708"/>
          <w:docGrid w:linePitch="360"/>
        </w:sectPr>
      </w:pPr>
      <w:r>
        <w:br w:type="page"/>
      </w:r>
    </w:p>
    <w:p w:rsidR="00F852EF" w:rsidRPr="00C853E6" w:rsidRDefault="00F852EF" w:rsidP="00F852EF">
      <w:pPr>
        <w:outlineLvl w:val="0"/>
        <w:rPr>
          <w:szCs w:val="20"/>
        </w:rPr>
      </w:pPr>
    </w:p>
    <w:tbl>
      <w:tblPr>
        <w:tblpPr w:leftFromText="180" w:rightFromText="180" w:vertAnchor="text" w:tblpY="1"/>
        <w:tblOverlap w:val="never"/>
        <w:tblW w:w="13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6"/>
        <w:gridCol w:w="11812"/>
      </w:tblGrid>
      <w:tr w:rsidR="00F852EF" w:rsidRPr="003455F9" w:rsidTr="00F852EF">
        <w:trPr>
          <w:trHeight w:val="452"/>
          <w:tblHeader/>
        </w:trPr>
        <w:tc>
          <w:tcPr>
            <w:tcW w:w="2096" w:type="dxa"/>
            <w:shd w:val="clear" w:color="auto" w:fill="E6E6E6"/>
          </w:tcPr>
          <w:p w:rsidR="00F852EF" w:rsidRPr="00CF77DB" w:rsidRDefault="00F852EF" w:rsidP="00F852EF">
            <w:pPr>
              <w:rPr>
                <w:b/>
              </w:rPr>
            </w:pPr>
            <w:r w:rsidRPr="00CF77DB">
              <w:rPr>
                <w:b/>
              </w:rPr>
              <w:t>Sector</w:t>
            </w:r>
          </w:p>
        </w:tc>
        <w:tc>
          <w:tcPr>
            <w:tcW w:w="11812" w:type="dxa"/>
            <w:shd w:val="clear" w:color="auto" w:fill="E6E6E6"/>
          </w:tcPr>
          <w:p w:rsidR="00F852EF" w:rsidRPr="00CF77DB" w:rsidRDefault="00F852EF" w:rsidP="00F852EF">
            <w:pPr>
              <w:rPr>
                <w:b/>
              </w:rPr>
            </w:pPr>
            <w:r w:rsidRPr="00CF77DB">
              <w:rPr>
                <w:b/>
              </w:rPr>
              <w:t>Comment</w:t>
            </w:r>
          </w:p>
        </w:tc>
      </w:tr>
      <w:tr w:rsidR="00F852EF" w:rsidRPr="003455F9" w:rsidTr="00F852EF">
        <w:trPr>
          <w:trHeight w:val="346"/>
        </w:trPr>
        <w:tc>
          <w:tcPr>
            <w:tcW w:w="13908" w:type="dxa"/>
            <w:gridSpan w:val="2"/>
            <w:shd w:val="clear" w:color="auto" w:fill="F3F3F3"/>
          </w:tcPr>
          <w:p w:rsidR="00F852EF" w:rsidRPr="00CF77DB" w:rsidRDefault="00F852EF" w:rsidP="00F852EF">
            <w:pPr>
              <w:spacing w:before="120" w:after="120"/>
              <w:rPr>
                <w:i/>
                <w:color w:val="000000"/>
                <w:lang w:val="en-US"/>
              </w:rPr>
            </w:pPr>
            <w:r w:rsidRPr="00CF77DB">
              <w:rPr>
                <w:i/>
                <w:color w:val="000000"/>
                <w:lang w:val="en-US"/>
              </w:rPr>
              <w:t>Question 1: Has best practice performance been promoted, rather than minimum requirements, for the collection, storage, handling, transport and treatment of end-of-life televisions, computers and computer peripherals?</w:t>
            </w:r>
          </w:p>
        </w:tc>
      </w:tr>
      <w:tr w:rsidR="00F852EF" w:rsidRPr="003455F9" w:rsidTr="00F852EF">
        <w:trPr>
          <w:trHeight w:val="346"/>
        </w:trPr>
        <w:tc>
          <w:tcPr>
            <w:tcW w:w="2096" w:type="dxa"/>
          </w:tcPr>
          <w:p w:rsidR="00F852EF" w:rsidRPr="00CF77DB" w:rsidRDefault="00F852EF" w:rsidP="00F852EF">
            <w:pPr>
              <w:spacing w:before="120" w:after="120"/>
              <w:rPr>
                <w:lang w:val="en-US"/>
              </w:rPr>
            </w:pPr>
            <w:r w:rsidRPr="00CF77DB">
              <w:rPr>
                <w:lang w:val="en-US"/>
              </w:rPr>
              <w:t>Local Government</w:t>
            </w:r>
          </w:p>
        </w:tc>
        <w:tc>
          <w:tcPr>
            <w:tcW w:w="11812" w:type="dxa"/>
          </w:tcPr>
          <w:p w:rsidR="00F852EF" w:rsidRDefault="00F852EF" w:rsidP="00F852EF">
            <w:pPr>
              <w:spacing w:before="120" w:after="120"/>
            </w:pPr>
            <w:r w:rsidRPr="00CF77DB">
              <w:rPr>
                <w:b/>
                <w:u w:val="single"/>
              </w:rPr>
              <w:t>Leichhardt Council</w:t>
            </w:r>
            <w:r>
              <w:t xml:space="preserve"> – </w:t>
            </w:r>
          </w:p>
          <w:p w:rsidR="00F852EF" w:rsidRDefault="00F852EF" w:rsidP="00162446">
            <w:pPr>
              <w:numPr>
                <w:ilvl w:val="0"/>
                <w:numId w:val="67"/>
              </w:numPr>
              <w:spacing w:before="120" w:after="120"/>
              <w:jc w:val="left"/>
            </w:pPr>
            <w:r>
              <w:t>Education on End of Life vs Reuse - for best practice to be promoted an overarching education/communication message must be that the Scheme is for ‘scrap and end of life’ only. The community in general, does not differentiate between reuse and recycling.</w:t>
            </w:r>
            <w:r>
              <w:cr/>
              <w:t xml:space="preserve">Monitoring of downstream processes is limited. This is of concern in general and particularly in relation to eg Brominated Flame Retardants (BFR). If there is no acceptable way of separating BFR – then ban it in the manufacturing process. </w:t>
            </w:r>
          </w:p>
          <w:p w:rsidR="00F852EF" w:rsidRPr="00CF77DB" w:rsidRDefault="00F852EF" w:rsidP="00162446">
            <w:pPr>
              <w:numPr>
                <w:ilvl w:val="0"/>
                <w:numId w:val="67"/>
              </w:numPr>
              <w:spacing w:before="120" w:after="120"/>
              <w:jc w:val="left"/>
              <w:rPr>
                <w:lang w:val="en-US"/>
              </w:rPr>
            </w:pPr>
            <w:r>
              <w:t>Greater emphasis needs to be placed on design to ban substances that cannot be appropriately recycled without environmental and health consequences</w:t>
            </w:r>
          </w:p>
        </w:tc>
      </w:tr>
      <w:tr w:rsidR="00F852EF" w:rsidRPr="003455F9" w:rsidTr="00F852EF">
        <w:trPr>
          <w:trHeight w:val="346"/>
        </w:trPr>
        <w:tc>
          <w:tcPr>
            <w:tcW w:w="2096" w:type="dxa"/>
          </w:tcPr>
          <w:p w:rsidR="00F852EF" w:rsidRPr="00CF77DB" w:rsidRDefault="00F852EF" w:rsidP="00F852EF">
            <w:pPr>
              <w:spacing w:before="120" w:after="120"/>
              <w:rPr>
                <w:lang w:val="en-US"/>
              </w:rPr>
            </w:pPr>
            <w:r w:rsidRPr="00CF77DB">
              <w:rPr>
                <w:lang w:val="en-US"/>
              </w:rPr>
              <w:t>Industry Association</w:t>
            </w:r>
          </w:p>
        </w:tc>
        <w:tc>
          <w:tcPr>
            <w:tcW w:w="11812" w:type="dxa"/>
          </w:tcPr>
          <w:p w:rsidR="00F852EF" w:rsidRPr="00CF77DB" w:rsidRDefault="00F852EF" w:rsidP="00F852EF">
            <w:pPr>
              <w:spacing w:before="120" w:after="120"/>
              <w:rPr>
                <w:rFonts w:ascii="Trebuchet MS" w:hAnsi="Trebuchet MS" w:cs="Trebuchet MS"/>
                <w:sz w:val="22"/>
              </w:rPr>
            </w:pPr>
            <w:r w:rsidRPr="00CF77DB">
              <w:rPr>
                <w:b/>
                <w:u w:val="single"/>
              </w:rPr>
              <w:t>AMTA</w:t>
            </w:r>
            <w:r>
              <w:t xml:space="preserve"> - </w:t>
            </w:r>
          </w:p>
          <w:p w:rsidR="00F852EF" w:rsidRPr="00B66325" w:rsidRDefault="00F852EF" w:rsidP="00162446">
            <w:pPr>
              <w:numPr>
                <w:ilvl w:val="0"/>
                <w:numId w:val="97"/>
              </w:numPr>
              <w:spacing w:before="120" w:after="120"/>
              <w:jc w:val="left"/>
            </w:pPr>
            <w:r w:rsidRPr="00CF77DB">
              <w:rPr>
                <w:rFonts w:ascii="Trebuchet MS" w:hAnsi="Trebuchet MS" w:cs="Trebuchet MS"/>
                <w:sz w:val="22"/>
              </w:rPr>
              <w:t>T</w:t>
            </w:r>
            <w:r w:rsidRPr="00B66325">
              <w:t>he document outlines the minimum requirements that AMTA would expect from their collectors, transporters and recyclers except perhaps in the traceability and downstream recycling part.</w:t>
            </w:r>
            <w:r>
              <w:t xml:space="preserve"> </w:t>
            </w:r>
          </w:p>
          <w:p w:rsidR="00F852EF" w:rsidRPr="00B66325" w:rsidRDefault="00F852EF" w:rsidP="00162446">
            <w:pPr>
              <w:numPr>
                <w:ilvl w:val="0"/>
                <w:numId w:val="67"/>
              </w:numPr>
              <w:spacing w:before="120" w:after="120"/>
              <w:jc w:val="left"/>
            </w:pPr>
            <w:r w:rsidRPr="00B66325">
              <w:t>It is not just the substances of concern that need to be traced through to point of final disposition but all materials, likewise it needs to be traced beyond the next downstream processor as in some instances there will be a second or even</w:t>
            </w:r>
            <w:r>
              <w:t xml:space="preserve"> </w:t>
            </w:r>
            <w:r w:rsidRPr="00B66325">
              <w:t>third downstream processor.</w:t>
            </w:r>
            <w:r>
              <w:t xml:space="preserve"> </w:t>
            </w:r>
            <w:r w:rsidRPr="00B66325">
              <w:t>With an emphasis on the resources recovered – even if</w:t>
            </w:r>
            <w:r>
              <w:t xml:space="preserve"> </w:t>
            </w:r>
            <w:r w:rsidRPr="00B66325">
              <w:t>they loose track of the individual item verification that the materials have arrived and gone through a process with a particular outcome should be reported</w:t>
            </w:r>
          </w:p>
          <w:p w:rsidR="00F852EF" w:rsidRPr="00B66325" w:rsidRDefault="00F852EF" w:rsidP="00162446">
            <w:pPr>
              <w:numPr>
                <w:ilvl w:val="0"/>
                <w:numId w:val="67"/>
              </w:numPr>
              <w:spacing w:before="120" w:after="120"/>
              <w:jc w:val="left"/>
            </w:pPr>
            <w:r w:rsidRPr="00B66325">
              <w:t>It is difficult to say if they are best practice but what has been included is quite thorough.</w:t>
            </w:r>
          </w:p>
          <w:p w:rsidR="00F852EF" w:rsidRPr="00CF77DB" w:rsidRDefault="00F852EF" w:rsidP="00162446">
            <w:pPr>
              <w:numPr>
                <w:ilvl w:val="0"/>
                <w:numId w:val="67"/>
              </w:numPr>
              <w:spacing w:before="120" w:after="120"/>
              <w:jc w:val="left"/>
              <w:rPr>
                <w:rFonts w:ascii="Trebuchet MS" w:hAnsi="Trebuchet MS" w:cs="Trebuchet MS"/>
                <w:sz w:val="22"/>
              </w:rPr>
            </w:pPr>
            <w:r w:rsidRPr="00B66325">
              <w:t>There perhaps a lack of detail on the type of containers that items need to be stored and transported in and also in clause 4.7 page 11 records management = shouldn’t this apply to the collectors and transporters as well??And in regard to 4.6 on same page I would expect the transporter would need to advise the PRO or its client of any incidents?</w:t>
            </w:r>
          </w:p>
        </w:tc>
      </w:tr>
      <w:tr w:rsidR="00F852EF" w:rsidRPr="003455F9" w:rsidTr="00F852EF">
        <w:trPr>
          <w:trHeight w:val="346"/>
        </w:trPr>
        <w:tc>
          <w:tcPr>
            <w:tcW w:w="2096" w:type="dxa"/>
          </w:tcPr>
          <w:p w:rsidR="00F852EF" w:rsidRPr="00CF77DB" w:rsidRDefault="00F852EF" w:rsidP="00F852EF">
            <w:pPr>
              <w:spacing w:before="120" w:after="120"/>
              <w:rPr>
                <w:lang w:val="en-US"/>
              </w:rPr>
            </w:pPr>
            <w:r w:rsidRPr="00CF77DB">
              <w:rPr>
                <w:lang w:val="en-US"/>
              </w:rPr>
              <w:t>NGO</w:t>
            </w:r>
          </w:p>
        </w:tc>
        <w:tc>
          <w:tcPr>
            <w:tcW w:w="11812" w:type="dxa"/>
          </w:tcPr>
          <w:p w:rsidR="00F852EF" w:rsidRPr="00C4393B" w:rsidRDefault="00F852EF" w:rsidP="00F852EF">
            <w:pPr>
              <w:spacing w:before="120" w:after="120"/>
            </w:pPr>
            <w:r w:rsidRPr="00CF77DB">
              <w:rPr>
                <w:b/>
                <w:u w:val="single"/>
              </w:rPr>
              <w:t>Community Recycling Network (CRN)</w:t>
            </w:r>
            <w:r>
              <w:t xml:space="preserve"> – </w:t>
            </w:r>
            <w:r w:rsidRPr="00CF77DB">
              <w:rPr>
                <w:lang w:val="en-US"/>
              </w:rPr>
              <w:t>No</w:t>
            </w:r>
          </w:p>
          <w:p w:rsidR="00F852EF" w:rsidRPr="00CF77DB" w:rsidRDefault="00F852EF" w:rsidP="00162446">
            <w:pPr>
              <w:numPr>
                <w:ilvl w:val="0"/>
                <w:numId w:val="83"/>
              </w:numPr>
              <w:spacing w:before="120" w:after="120"/>
              <w:jc w:val="left"/>
              <w:rPr>
                <w:lang w:val="en-US"/>
              </w:rPr>
            </w:pPr>
            <w:r w:rsidRPr="00CF77DB">
              <w:rPr>
                <w:lang w:val="en-US"/>
              </w:rPr>
              <w:t>The DIIS and National Program needs to be in alignment with the National Waste Policy and put reuse ahead of recycling to ensure the highest environmental outcome.</w:t>
            </w:r>
          </w:p>
          <w:p w:rsidR="00F852EF" w:rsidRPr="00CF77DB" w:rsidRDefault="00F852EF" w:rsidP="00162446">
            <w:pPr>
              <w:numPr>
                <w:ilvl w:val="0"/>
                <w:numId w:val="83"/>
              </w:numPr>
              <w:spacing w:before="120" w:after="120"/>
              <w:jc w:val="left"/>
              <w:rPr>
                <w:lang w:val="en-US"/>
              </w:rPr>
            </w:pPr>
            <w:r w:rsidRPr="00CF77DB">
              <w:rPr>
                <w:lang w:val="en-US"/>
              </w:rPr>
              <w:t xml:space="preserve">The DIIS provides no guidance on who will determine whether equipment received for recycling is in fact at ‘end-of-life’. </w:t>
            </w:r>
            <w:r w:rsidRPr="00CF77DB">
              <w:rPr>
                <w:lang w:val="en-US"/>
              </w:rPr>
              <w:lastRenderedPageBreak/>
              <w:t>Consumers and Businesses wanting to recycle their ‘end-of-life’ equipment may do so for many reasons not just because the equipment is at its end-of-life.</w:t>
            </w:r>
            <w:r>
              <w:rPr>
                <w:lang w:val="en-US"/>
              </w:rPr>
              <w:t xml:space="preserve"> </w:t>
            </w:r>
            <w:r w:rsidRPr="00CF77DB">
              <w:rPr>
                <w:lang w:val="en-US"/>
              </w:rPr>
              <w:t>For example it could be unwanted but still have a good second life.</w:t>
            </w:r>
          </w:p>
          <w:p w:rsidR="00F852EF" w:rsidRPr="00CF77DB" w:rsidRDefault="00F852EF" w:rsidP="00162446">
            <w:pPr>
              <w:numPr>
                <w:ilvl w:val="0"/>
                <w:numId w:val="83"/>
              </w:numPr>
              <w:spacing w:before="120" w:after="120"/>
              <w:jc w:val="left"/>
              <w:rPr>
                <w:lang w:val="en-US"/>
              </w:rPr>
            </w:pPr>
            <w:r w:rsidRPr="00CF77DB">
              <w:rPr>
                <w:lang w:val="en-US"/>
              </w:rPr>
              <w:t>Although the DIIS only deals with ‘end-of-life’ equipment, the reality is that equipment which is suitable for refurbishment / reuse will be received as part of the National Program.</w:t>
            </w:r>
            <w:r>
              <w:rPr>
                <w:lang w:val="en-US"/>
              </w:rPr>
              <w:t xml:space="preserve"> </w:t>
            </w:r>
            <w:r w:rsidRPr="00CF77DB">
              <w:rPr>
                <w:lang w:val="en-US"/>
              </w:rPr>
              <w:t>This needs to be addressed as part of the DIIS.</w:t>
            </w:r>
          </w:p>
          <w:p w:rsidR="00F852EF" w:rsidRPr="00CF77DB" w:rsidRDefault="00F852EF" w:rsidP="00162446">
            <w:pPr>
              <w:numPr>
                <w:ilvl w:val="0"/>
                <w:numId w:val="83"/>
              </w:numPr>
              <w:spacing w:before="120" w:after="120"/>
              <w:jc w:val="left"/>
              <w:rPr>
                <w:lang w:val="en-US"/>
              </w:rPr>
            </w:pPr>
            <w:r w:rsidRPr="00CF77DB">
              <w:rPr>
                <w:lang w:val="en-US"/>
              </w:rPr>
              <w:t>The DIIS mentions that industry will be working with other stakeholders to ensure that there are mechanisms to remove product that still has value from the waste stream before it is collected through the National Program, no details of how this will work have been communicated, it needs to be a part of the DIIS.</w:t>
            </w:r>
          </w:p>
          <w:p w:rsidR="00F852EF" w:rsidRPr="00CF77DB" w:rsidRDefault="00F852EF" w:rsidP="00162446">
            <w:pPr>
              <w:numPr>
                <w:ilvl w:val="0"/>
                <w:numId w:val="83"/>
              </w:numPr>
              <w:spacing w:before="120" w:after="120"/>
              <w:jc w:val="left"/>
              <w:rPr>
                <w:lang w:val="en-US"/>
              </w:rPr>
            </w:pPr>
            <w:r w:rsidRPr="00CF77DB">
              <w:rPr>
                <w:lang w:val="en-US"/>
              </w:rPr>
              <w:t>The DIIS needs to promote reuse and provide guidance on how items are collected, handled, transported i.e. items should be collected / handled / transported so they are not damaged before they are assessed for reuse possibilities.</w:t>
            </w:r>
          </w:p>
          <w:p w:rsidR="00F852EF" w:rsidRPr="00CF77DB" w:rsidRDefault="00F852EF" w:rsidP="00162446">
            <w:pPr>
              <w:numPr>
                <w:ilvl w:val="0"/>
                <w:numId w:val="83"/>
              </w:numPr>
              <w:spacing w:before="120" w:after="120"/>
              <w:jc w:val="left"/>
              <w:rPr>
                <w:lang w:val="en-US"/>
              </w:rPr>
            </w:pPr>
            <w:r w:rsidRPr="00CF77DB">
              <w:rPr>
                <w:lang w:val="en-US"/>
              </w:rPr>
              <w:t>The DIIS states that there are existing avenues available for refurbishment and reuse but doesn’t give any guidance on how collectors / recyclers should deal with equipment that is suitable for refurbishment / reuse or how they connect and work with the existing refurbishment and reuse avenues.</w:t>
            </w:r>
          </w:p>
          <w:p w:rsidR="00F852EF" w:rsidRPr="00CF77DB" w:rsidRDefault="00F852EF" w:rsidP="00162446">
            <w:pPr>
              <w:numPr>
                <w:ilvl w:val="0"/>
                <w:numId w:val="83"/>
              </w:numPr>
              <w:spacing w:before="120" w:after="120"/>
              <w:jc w:val="left"/>
              <w:rPr>
                <w:lang w:val="en-US"/>
              </w:rPr>
            </w:pPr>
            <w:r w:rsidRPr="00CF77DB">
              <w:rPr>
                <w:lang w:val="en-US"/>
              </w:rPr>
              <w:t>Also, most major recyclers have their own reuse arm and are all in the reuse market.</w:t>
            </w:r>
            <w:r>
              <w:rPr>
                <w:lang w:val="en-US"/>
              </w:rPr>
              <w:t xml:space="preserve"> </w:t>
            </w:r>
            <w:r w:rsidRPr="00CF77DB">
              <w:rPr>
                <w:lang w:val="en-US"/>
              </w:rPr>
              <w:t>They refurbish, remarket/sell and export so can easily determine what equipment can be reused.</w:t>
            </w:r>
            <w:r>
              <w:rPr>
                <w:lang w:val="en-US"/>
              </w:rPr>
              <w:t xml:space="preserve"> </w:t>
            </w:r>
            <w:r w:rsidRPr="00CF77DB">
              <w:rPr>
                <w:lang w:val="en-US"/>
              </w:rPr>
              <w:t>This brings with it another issue, how will the PRO know if a recycler has received equipment suitable for reuse under the scheme. What is stopping a recycler from claiming a recycling fee for the equipment but instead of recycling it they refurbish it and sell it offshore therefore making profit twice - firstly for the so called “recycling” and secondly for the resale of refurbished equipment.</w:t>
            </w:r>
          </w:p>
          <w:p w:rsidR="00F852EF" w:rsidRPr="00CF77DB" w:rsidRDefault="00F852EF" w:rsidP="00162446">
            <w:pPr>
              <w:numPr>
                <w:ilvl w:val="0"/>
                <w:numId w:val="83"/>
              </w:numPr>
              <w:spacing w:before="120" w:after="120"/>
              <w:jc w:val="left"/>
              <w:rPr>
                <w:lang w:val="en-US"/>
              </w:rPr>
            </w:pPr>
            <w:r w:rsidRPr="00CF77DB">
              <w:rPr>
                <w:lang w:val="en-US"/>
              </w:rPr>
              <w:t>The DIIS should ensure that as part of the reporting process recyclers are to keep records / data on the amount of equipment received that is suitable for reuse.</w:t>
            </w:r>
          </w:p>
          <w:p w:rsidR="00F852EF" w:rsidRPr="00CF77DB" w:rsidRDefault="00F852EF" w:rsidP="00162446">
            <w:pPr>
              <w:numPr>
                <w:ilvl w:val="0"/>
                <w:numId w:val="83"/>
              </w:numPr>
              <w:spacing w:before="120" w:after="120"/>
              <w:jc w:val="left"/>
              <w:rPr>
                <w:lang w:val="en-US"/>
              </w:rPr>
            </w:pPr>
            <w:r w:rsidRPr="00CF77DB">
              <w:rPr>
                <w:lang w:val="en-US"/>
              </w:rPr>
              <w:t xml:space="preserve">Although the DIIS doesn't consider refurbishment / reuse at present, down the track the data collected from recyclers can be reviewed in order to improve standards, performance, social and environmental outcomes of the National Program if the data collected indicates there is a need (a high percentage of equipment suitable for reuse was received for recycling). </w:t>
            </w:r>
          </w:p>
          <w:p w:rsidR="00F852EF" w:rsidRPr="00CF77DB" w:rsidRDefault="00F852EF" w:rsidP="00162446">
            <w:pPr>
              <w:numPr>
                <w:ilvl w:val="0"/>
                <w:numId w:val="83"/>
              </w:numPr>
              <w:spacing w:before="120" w:after="120"/>
              <w:jc w:val="left"/>
              <w:rPr>
                <w:lang w:val="en-US"/>
              </w:rPr>
            </w:pPr>
            <w:r w:rsidRPr="00CF77DB">
              <w:rPr>
                <w:lang w:val="en-US"/>
              </w:rPr>
              <w:t>Refurbishment / reuse shouldn't be ruled out from being included further down the track i.e. as part of the Australia Standard particularly after careful consideration and review of refurbishment / reuse data.</w:t>
            </w:r>
          </w:p>
          <w:p w:rsidR="00F852EF" w:rsidRPr="00CF77DB" w:rsidRDefault="00F852EF" w:rsidP="00162446">
            <w:pPr>
              <w:numPr>
                <w:ilvl w:val="0"/>
                <w:numId w:val="83"/>
              </w:numPr>
              <w:spacing w:before="120" w:after="120"/>
              <w:jc w:val="left"/>
              <w:rPr>
                <w:lang w:val="en-US"/>
              </w:rPr>
            </w:pPr>
            <w:r w:rsidRPr="00CF77DB">
              <w:rPr>
                <w:lang w:val="en-US"/>
              </w:rPr>
              <w:t>Many charity groups and community recyclers have long been involved in the refurbishment and reuse of computer equipment in order to address the growing tide of e-waste, provide employment and training opportunities for disadvantaged Australians and enable marginalised individuals and community groups access to technology.</w:t>
            </w:r>
            <w:r>
              <w:rPr>
                <w:lang w:val="en-US"/>
              </w:rPr>
              <w:t xml:space="preserve"> </w:t>
            </w:r>
            <w:r w:rsidRPr="00CF77DB">
              <w:rPr>
                <w:lang w:val="en-US"/>
              </w:rPr>
              <w:t>The DIIS could have a major (negative) impact on the supply of computer equipment to existing charitable refurbishment and reuse programs thereby creating adverse social and environmental outcomes if refurbishment / reuse isn’t included.</w:t>
            </w:r>
          </w:p>
          <w:p w:rsidR="00F852EF" w:rsidRPr="00CF77DB" w:rsidRDefault="00F852EF" w:rsidP="00162446">
            <w:pPr>
              <w:numPr>
                <w:ilvl w:val="0"/>
                <w:numId w:val="83"/>
              </w:numPr>
              <w:spacing w:before="120" w:after="120"/>
              <w:jc w:val="left"/>
              <w:rPr>
                <w:lang w:val="en-US"/>
              </w:rPr>
            </w:pPr>
            <w:r w:rsidRPr="00CF77DB">
              <w:rPr>
                <w:lang w:val="en-US"/>
              </w:rPr>
              <w:t xml:space="preserve">As per the attached Hyder Report “The Role of Not-For-Profits in Managing </w:t>
            </w:r>
            <w:smartTag w:uri="urn:schemas-microsoft-com:office:smarttags" w:element="PersonName">
              <w:r w:rsidRPr="00CF77DB">
                <w:rPr>
                  <w:lang w:val="en-US"/>
                </w:rPr>
                <w:t>E-Waste</w:t>
              </w:r>
            </w:smartTag>
            <w:r w:rsidRPr="00CF77DB">
              <w:rPr>
                <w:lang w:val="en-US"/>
              </w:rPr>
              <w:t xml:space="preserve">”: The federal government needs to acknowledge that the participation of NFP agencies in e-waste management, in particular in the refurbishment of </w:t>
            </w:r>
            <w:r w:rsidRPr="00CF77DB">
              <w:rPr>
                <w:lang w:val="en-US"/>
              </w:rPr>
              <w:lastRenderedPageBreak/>
              <w:t xml:space="preserve">computers, leads to a better environmental outcome and has immense social benefits. To that end, the federal government needs to ensure that the product stewardship scheme does not create the perverse outcome of a reduction in the refurbishment of equipment, or a diminution in the involvement of NFP agencies in e-waste management. </w:t>
            </w:r>
          </w:p>
          <w:p w:rsidR="00F852EF" w:rsidRPr="00CF77DB" w:rsidRDefault="00F852EF" w:rsidP="00162446">
            <w:pPr>
              <w:numPr>
                <w:ilvl w:val="0"/>
                <w:numId w:val="83"/>
              </w:numPr>
              <w:spacing w:before="120" w:after="120"/>
              <w:jc w:val="left"/>
              <w:rPr>
                <w:lang w:val="en-US"/>
              </w:rPr>
            </w:pPr>
            <w:r w:rsidRPr="00CF77DB">
              <w:rPr>
                <w:lang w:val="en-US"/>
              </w:rPr>
              <w:t>The DIIS should specify what an acceptable level option is before landfill becomes the only remaining option. Note that the option will vary between businesses and undermine the industry if a minimum criteria level is not specified.</w:t>
            </w:r>
          </w:p>
          <w:p w:rsidR="00F852EF" w:rsidRPr="00CF77DB" w:rsidRDefault="00F852EF" w:rsidP="00162446">
            <w:pPr>
              <w:numPr>
                <w:ilvl w:val="0"/>
                <w:numId w:val="83"/>
              </w:numPr>
              <w:spacing w:before="120" w:after="120"/>
              <w:jc w:val="left"/>
              <w:rPr>
                <w:lang w:val="en-US"/>
              </w:rPr>
            </w:pPr>
            <w:r w:rsidRPr="00CF77DB">
              <w:rPr>
                <w:lang w:val="en-US"/>
              </w:rPr>
              <w:t>The DIIS is not supporting best practice performance through the use of statements that allow recyclers to use their own discretion and interpretation on what they think is an environmentally sound solution i.e.</w:t>
            </w:r>
          </w:p>
          <w:p w:rsidR="00F852EF" w:rsidRPr="00CF77DB" w:rsidRDefault="00F852EF" w:rsidP="00162446">
            <w:pPr>
              <w:numPr>
                <w:ilvl w:val="0"/>
                <w:numId w:val="83"/>
              </w:numPr>
              <w:spacing w:before="120" w:after="120"/>
              <w:jc w:val="left"/>
              <w:rPr>
                <w:lang w:val="en-US"/>
              </w:rPr>
            </w:pPr>
            <w:r w:rsidRPr="00CF77DB">
              <w:rPr>
                <w:lang w:val="en-US"/>
              </w:rPr>
              <w:t>Recyclers shall not use landfill, energy recovery or incineration as standard practice for disposal, unless the practice can be shown to be the most environmentally sound solution (pg 15)</w:t>
            </w:r>
          </w:p>
          <w:p w:rsidR="00F852EF" w:rsidRPr="00CF77DB" w:rsidRDefault="00F852EF" w:rsidP="00162446">
            <w:pPr>
              <w:numPr>
                <w:ilvl w:val="0"/>
                <w:numId w:val="83"/>
              </w:numPr>
              <w:spacing w:before="120" w:after="120"/>
              <w:jc w:val="left"/>
              <w:rPr>
                <w:lang w:val="en-US"/>
              </w:rPr>
            </w:pPr>
            <w:r w:rsidRPr="00CF77DB">
              <w:rPr>
                <w:lang w:val="en-US"/>
              </w:rPr>
              <w:t>The DIIS should stipulate what is acceptable and the most environmentally sound solution not leave it open to others to misconstrue and abuse.</w:t>
            </w:r>
          </w:p>
          <w:p w:rsidR="00F852EF" w:rsidRPr="00CF77DB" w:rsidRDefault="00F852EF" w:rsidP="00F852EF">
            <w:pPr>
              <w:spacing w:before="120" w:after="120"/>
              <w:rPr>
                <w:lang w:val="en-US"/>
              </w:rPr>
            </w:pPr>
            <w:r w:rsidRPr="00CF77DB">
              <w:rPr>
                <w:b/>
                <w:u w:val="single"/>
                <w:lang w:val="en-US"/>
              </w:rPr>
              <w:t>Total Environment Centre (TEC) / National Toxic Network (NTN)</w:t>
            </w:r>
            <w:r w:rsidRPr="00CF77DB">
              <w:rPr>
                <w:lang w:val="en-US"/>
              </w:rPr>
              <w:t xml:space="preserve"> - </w:t>
            </w:r>
          </w:p>
          <w:p w:rsidR="00F852EF" w:rsidRPr="00CF77DB" w:rsidRDefault="00F852EF" w:rsidP="00162446">
            <w:pPr>
              <w:numPr>
                <w:ilvl w:val="0"/>
                <w:numId w:val="83"/>
              </w:numPr>
              <w:spacing w:before="120" w:after="120"/>
              <w:jc w:val="left"/>
              <w:rPr>
                <w:lang w:val="en-US"/>
              </w:rPr>
            </w:pPr>
            <w:r w:rsidRPr="00CF77DB">
              <w:rPr>
                <w:lang w:val="en-US"/>
              </w:rPr>
              <w:t>The DIIS has not promoted best practice performance. Worse, it barely achieves minimum requirements for the collection, storage, handling, transport and treatment of end-of-life televisions, computers and computer peripherals.</w:t>
            </w:r>
          </w:p>
          <w:p w:rsidR="00F852EF" w:rsidRPr="00CF77DB" w:rsidRDefault="00F852EF" w:rsidP="00162446">
            <w:pPr>
              <w:numPr>
                <w:ilvl w:val="0"/>
                <w:numId w:val="83"/>
              </w:numPr>
              <w:spacing w:before="120" w:after="120"/>
              <w:jc w:val="left"/>
              <w:rPr>
                <w:lang w:val="en-US"/>
              </w:rPr>
            </w:pPr>
            <w:r w:rsidRPr="00CF77DB">
              <w:rPr>
                <w:lang w:val="en-US"/>
              </w:rPr>
              <w:t>The Draft Interim Industry Standard (DIIS) is one of the most critical elements in the delivery of the Australian Government’s National Television and Recycling Scheme. The choice modelling study in the Regulatory Impact Statement that underpins the rationale for the Scheme clearly shows that consumers are willing to pay for recycling. Consumers were not asked, however, if they would be willing to pay for recycling if it was going to be well below best practice. It is unlikely that consumers would be willing to pay for ‘recycling’ if it contravened the principles of international laws on the treatment of hazardous materials; if it sent contaminated materials back into their homes as ‘recycled’ products; if it allowed end-of-life products to go to landfill; or if it allowed a resurgence of incineration. If either the DIIS or the future Australian Standard approve less than best practice, the justification for the Scheme will be undermined.</w:t>
            </w:r>
          </w:p>
          <w:p w:rsidR="00F852EF" w:rsidRPr="00CF77DB" w:rsidRDefault="00F852EF" w:rsidP="00162446">
            <w:pPr>
              <w:numPr>
                <w:ilvl w:val="0"/>
                <w:numId w:val="83"/>
              </w:numPr>
              <w:spacing w:before="120" w:after="120"/>
              <w:jc w:val="left"/>
              <w:rPr>
                <w:lang w:val="en-US"/>
              </w:rPr>
            </w:pPr>
            <w:r w:rsidRPr="00CF77DB">
              <w:rPr>
                <w:lang w:val="en-US"/>
              </w:rPr>
              <w:t>The importance of the DIIS is further reinforced by the fact that it may operate as part of commercial-in-confidence contractual arrangements between Producer Responsibility Organisations (PROs) and recyclers, rendering recycling practices and outcomes non-transparent and resistant to public scrutiny. For this reason, it is critical that the DIIS is able to withstand distortion and provides television and computer consumers and the broader community with assurance that their expectations are being met. A recycling standard that allows for less than best practice could rightly be accused of ‘greenwash’.</w:t>
            </w:r>
          </w:p>
          <w:p w:rsidR="00F852EF" w:rsidRPr="00CF77DB" w:rsidRDefault="00F852EF" w:rsidP="00162446">
            <w:pPr>
              <w:numPr>
                <w:ilvl w:val="0"/>
                <w:numId w:val="83"/>
              </w:numPr>
              <w:spacing w:before="120" w:after="120"/>
              <w:jc w:val="left"/>
              <w:rPr>
                <w:lang w:val="en-US"/>
              </w:rPr>
            </w:pPr>
            <w:r w:rsidRPr="00CF77DB">
              <w:rPr>
                <w:lang w:val="en-US"/>
              </w:rPr>
              <w:t xml:space="preserve">The view expressed by some that the standard cannot take account of current international agreements because </w:t>
            </w:r>
            <w:smartTag w:uri="urn:schemas-microsoft-com:office:smarttags" w:element="place">
              <w:smartTag w:uri="urn:schemas-microsoft-com:office:smarttags" w:element="country-region">
                <w:r w:rsidRPr="00CF77DB">
                  <w:rPr>
                    <w:lang w:val="en-US"/>
                  </w:rPr>
                  <w:t>Australia</w:t>
                </w:r>
              </w:smartTag>
            </w:smartTag>
            <w:r w:rsidRPr="00CF77DB">
              <w:rPr>
                <w:lang w:val="en-US"/>
              </w:rPr>
              <w:t xml:space="preserve"> has not yet ratified the 9 new POPs is a moot argument. </w:t>
            </w:r>
            <w:smartTag w:uri="urn:schemas-microsoft-com:office:smarttags" w:element="place">
              <w:smartTag w:uri="urn:schemas-microsoft-com:office:smarttags" w:element="country-region">
                <w:r w:rsidRPr="00CF77DB">
                  <w:rPr>
                    <w:lang w:val="en-US"/>
                  </w:rPr>
                  <w:t>Australia</w:t>
                </w:r>
              </w:smartTag>
            </w:smartTag>
            <w:r w:rsidRPr="00CF77DB">
              <w:rPr>
                <w:lang w:val="en-US"/>
              </w:rPr>
              <w:t xml:space="preserve"> will ratify the 9 new POPs and will take account of the work of the POPs Review Committee.</w:t>
            </w:r>
            <w:r>
              <w:rPr>
                <w:lang w:val="en-US"/>
              </w:rPr>
              <w:t xml:space="preserve"> </w:t>
            </w:r>
            <w:r w:rsidRPr="00CF77DB">
              <w:rPr>
                <w:lang w:val="en-US"/>
              </w:rPr>
              <w:t xml:space="preserve">For the Australian industry standard to be accepted by the community it must be seen as progressive, best practice and in line with the rest of the developed world. Anything less risks community </w:t>
            </w:r>
            <w:r w:rsidRPr="00CF77DB">
              <w:rPr>
                <w:lang w:val="en-US"/>
              </w:rPr>
              <w:lastRenderedPageBreak/>
              <w:t xml:space="preserve">scepticism and loss of confidence in recycling in </w:t>
            </w:r>
            <w:smartTag w:uri="urn:schemas-microsoft-com:office:smarttags" w:element="place">
              <w:smartTag w:uri="urn:schemas-microsoft-com:office:smarttags" w:element="country-region">
                <w:r w:rsidRPr="00CF77DB">
                  <w:rPr>
                    <w:lang w:val="en-US"/>
                  </w:rPr>
                  <w:t>Australia</w:t>
                </w:r>
              </w:smartTag>
            </w:smartTag>
            <w:r w:rsidRPr="00CF77DB">
              <w:rPr>
                <w:lang w:val="en-US"/>
              </w:rPr>
              <w:t>.</w:t>
            </w:r>
            <w:r>
              <w:rPr>
                <w:lang w:val="en-US"/>
              </w:rPr>
              <w:t xml:space="preserve"> </w:t>
            </w:r>
          </w:p>
          <w:p w:rsidR="00F852EF" w:rsidRPr="00CF77DB" w:rsidRDefault="00F852EF" w:rsidP="00162446">
            <w:pPr>
              <w:numPr>
                <w:ilvl w:val="0"/>
                <w:numId w:val="83"/>
              </w:numPr>
              <w:spacing w:before="120" w:after="120"/>
              <w:jc w:val="left"/>
              <w:rPr>
                <w:lang w:val="en-US"/>
              </w:rPr>
            </w:pPr>
            <w:r w:rsidRPr="00CF77DB">
              <w:rPr>
                <w:lang w:val="en-US"/>
              </w:rPr>
              <w:t>The current DIIS does not promote best environmental practice performance for the recycling of televisions and computers. Of particular concern are:</w:t>
            </w:r>
          </w:p>
          <w:p w:rsidR="00F852EF" w:rsidRPr="00CF77DB" w:rsidRDefault="00F852EF" w:rsidP="00162446">
            <w:pPr>
              <w:numPr>
                <w:ilvl w:val="1"/>
                <w:numId w:val="83"/>
              </w:numPr>
              <w:spacing w:before="120" w:after="120"/>
              <w:jc w:val="left"/>
              <w:rPr>
                <w:lang w:val="en-US"/>
              </w:rPr>
            </w:pPr>
            <w:r w:rsidRPr="00CF77DB">
              <w:rPr>
                <w:lang w:val="en-US"/>
              </w:rPr>
              <w:t>Major loopholes for landfilling of materials</w:t>
            </w:r>
          </w:p>
          <w:p w:rsidR="00F852EF" w:rsidRPr="00CF77DB" w:rsidRDefault="00F852EF" w:rsidP="00162446">
            <w:pPr>
              <w:numPr>
                <w:ilvl w:val="1"/>
                <w:numId w:val="83"/>
              </w:numPr>
              <w:spacing w:before="120" w:after="120"/>
              <w:jc w:val="left"/>
              <w:rPr>
                <w:lang w:val="en-US"/>
              </w:rPr>
            </w:pPr>
            <w:r w:rsidRPr="00CF77DB">
              <w:rPr>
                <w:lang w:val="en-US"/>
              </w:rPr>
              <w:t>Major loopholes for the incineration of materials</w:t>
            </w:r>
          </w:p>
          <w:p w:rsidR="00F852EF" w:rsidRPr="00CF77DB" w:rsidRDefault="00F852EF" w:rsidP="00162446">
            <w:pPr>
              <w:numPr>
                <w:ilvl w:val="1"/>
                <w:numId w:val="83"/>
              </w:numPr>
              <w:spacing w:before="120" w:after="120"/>
              <w:jc w:val="left"/>
              <w:rPr>
                <w:lang w:val="en-US"/>
              </w:rPr>
            </w:pPr>
            <w:r w:rsidRPr="00CF77DB">
              <w:rPr>
                <w:lang w:val="en-US"/>
              </w:rPr>
              <w:t>No prevention of down-scaling of materials</w:t>
            </w:r>
          </w:p>
          <w:p w:rsidR="00F852EF" w:rsidRPr="00CF77DB" w:rsidRDefault="00F852EF" w:rsidP="00162446">
            <w:pPr>
              <w:numPr>
                <w:ilvl w:val="1"/>
                <w:numId w:val="83"/>
              </w:numPr>
              <w:spacing w:before="120" w:after="120"/>
              <w:jc w:val="left"/>
              <w:rPr>
                <w:lang w:val="en-US"/>
              </w:rPr>
            </w:pPr>
            <w:r w:rsidRPr="00CF77DB">
              <w:rPr>
                <w:lang w:val="en-US"/>
              </w:rPr>
              <w:t xml:space="preserve">No mechanism to ensure reuse options are not compromised </w:t>
            </w:r>
          </w:p>
          <w:p w:rsidR="00F852EF" w:rsidRPr="00CF77DB" w:rsidRDefault="00F852EF" w:rsidP="00162446">
            <w:pPr>
              <w:numPr>
                <w:ilvl w:val="1"/>
                <w:numId w:val="83"/>
              </w:numPr>
              <w:spacing w:before="120" w:after="120"/>
              <w:jc w:val="left"/>
              <w:rPr>
                <w:lang w:val="en-US"/>
              </w:rPr>
            </w:pPr>
            <w:r w:rsidRPr="00CF77DB">
              <w:rPr>
                <w:lang w:val="en-US"/>
              </w:rPr>
              <w:t>Allows the recycling of hazardous materials back into new products</w:t>
            </w:r>
          </w:p>
          <w:p w:rsidR="00F852EF" w:rsidRPr="00CF77DB" w:rsidRDefault="00F852EF" w:rsidP="00162446">
            <w:pPr>
              <w:numPr>
                <w:ilvl w:val="1"/>
                <w:numId w:val="83"/>
              </w:numPr>
              <w:spacing w:before="120" w:after="120"/>
              <w:jc w:val="left"/>
              <w:rPr>
                <w:lang w:val="en-US"/>
              </w:rPr>
            </w:pPr>
            <w:r w:rsidRPr="00CF77DB">
              <w:rPr>
                <w:lang w:val="en-US"/>
              </w:rPr>
              <w:t>No requirements for the separation and proper treatment of hazardous wastes</w:t>
            </w:r>
          </w:p>
          <w:p w:rsidR="00F852EF" w:rsidRPr="00CF77DB" w:rsidRDefault="00F852EF" w:rsidP="00162446">
            <w:pPr>
              <w:numPr>
                <w:ilvl w:val="1"/>
                <w:numId w:val="83"/>
              </w:numPr>
              <w:spacing w:before="120" w:after="120"/>
              <w:jc w:val="left"/>
              <w:rPr>
                <w:lang w:val="en-US"/>
              </w:rPr>
            </w:pPr>
            <w:r w:rsidRPr="00CF77DB">
              <w:rPr>
                <w:lang w:val="en-US"/>
              </w:rPr>
              <w:t>No minimum recycling rate</w:t>
            </w:r>
          </w:p>
          <w:p w:rsidR="00F852EF" w:rsidRPr="00CF77DB" w:rsidRDefault="00F852EF" w:rsidP="00162446">
            <w:pPr>
              <w:numPr>
                <w:ilvl w:val="0"/>
                <w:numId w:val="83"/>
              </w:numPr>
              <w:spacing w:before="120" w:after="120"/>
              <w:jc w:val="left"/>
              <w:rPr>
                <w:lang w:val="en-US"/>
              </w:rPr>
            </w:pPr>
            <w:r w:rsidRPr="00CF77DB">
              <w:rPr>
                <w:lang w:val="en-US"/>
              </w:rPr>
              <w:t>1.1 Principle of Ensuring Highest Resource Use -</w:t>
            </w:r>
            <w:r>
              <w:rPr>
                <w:lang w:val="en-US"/>
              </w:rPr>
              <w:t xml:space="preserve"> </w:t>
            </w:r>
            <w:r w:rsidRPr="00CF77DB">
              <w:rPr>
                <w:lang w:val="en-US"/>
              </w:rPr>
              <w:t xml:space="preserve">The DIIS guiding principle of ‘Ensuring that the highest resource value is maintained’ (p. 8) is excellent in theory however it is not applied in practice in the body of the document. Instead, a range of contradictory approaches allow recyclers to adopt well below best practice standards. The directive for recyclers to ‘use Guiding Principle 4 in assessing the most suitable recycling option’ is completely misleading as the two drivers for recycler behaviour will be commercial realities and the minimum standards to apply in the Interim Standard and the future Australian Standard. This can be rectified by: </w:t>
            </w:r>
          </w:p>
          <w:p w:rsidR="00F852EF" w:rsidRPr="00CF77DB" w:rsidRDefault="00F852EF" w:rsidP="00162446">
            <w:pPr>
              <w:numPr>
                <w:ilvl w:val="1"/>
                <w:numId w:val="83"/>
              </w:numPr>
              <w:spacing w:before="120" w:after="120"/>
              <w:jc w:val="left"/>
              <w:rPr>
                <w:lang w:val="en-US"/>
              </w:rPr>
            </w:pPr>
            <w:r w:rsidRPr="00CF77DB">
              <w:rPr>
                <w:lang w:val="en-US"/>
              </w:rPr>
              <w:t>deleting this statement</w:t>
            </w:r>
          </w:p>
          <w:p w:rsidR="00F852EF" w:rsidRPr="00CF77DB" w:rsidRDefault="00F852EF" w:rsidP="00162446">
            <w:pPr>
              <w:numPr>
                <w:ilvl w:val="1"/>
                <w:numId w:val="83"/>
              </w:numPr>
              <w:spacing w:before="120" w:after="120"/>
              <w:jc w:val="left"/>
              <w:rPr>
                <w:lang w:val="en-US"/>
              </w:rPr>
            </w:pPr>
            <w:r w:rsidRPr="00CF77DB">
              <w:rPr>
                <w:lang w:val="en-US"/>
              </w:rPr>
              <w:t>requiring certain highest use practices, set out in the Material Processing and End Use Acceptability Table</w:t>
            </w:r>
          </w:p>
          <w:p w:rsidR="00F852EF" w:rsidRPr="00CF77DB" w:rsidRDefault="00F852EF" w:rsidP="00162446">
            <w:pPr>
              <w:numPr>
                <w:ilvl w:val="1"/>
                <w:numId w:val="83"/>
              </w:numPr>
              <w:spacing w:before="120" w:after="120"/>
              <w:jc w:val="left"/>
              <w:rPr>
                <w:lang w:val="en-US"/>
              </w:rPr>
            </w:pPr>
            <w:r w:rsidRPr="00CF77DB">
              <w:rPr>
                <w:lang w:val="en-US"/>
              </w:rPr>
              <w:t>applying an initial minimum 90% recycling rate for televisions and computers (excluding contaminated plastics), rising to 95% after 5 years.</w:t>
            </w:r>
          </w:p>
          <w:p w:rsidR="00F852EF" w:rsidRPr="00CF77DB" w:rsidRDefault="00F852EF" w:rsidP="00162446">
            <w:pPr>
              <w:numPr>
                <w:ilvl w:val="0"/>
                <w:numId w:val="83"/>
              </w:numPr>
              <w:spacing w:before="120" w:after="120"/>
              <w:jc w:val="left"/>
              <w:rPr>
                <w:lang w:val="en-US"/>
              </w:rPr>
            </w:pPr>
            <w:r w:rsidRPr="00CF77DB">
              <w:rPr>
                <w:lang w:val="en-US"/>
              </w:rPr>
              <w:t>1.2 Principle of Minimising Carbon emissions - The guiding principle of ’Carbon emissions are minimised’ (p. 8) is excellent in theory however it is not applied in practice in the DIIS. To put this principle into practice would require a series of life-cycle analyses to determine the best outcome. We recommend that the DIIS acknowledges this and outlines potential future work that could be undertaken to inform the Australian Standard on E-waste Recycling.</w:t>
            </w:r>
          </w:p>
          <w:p w:rsidR="00F852EF" w:rsidRPr="00CF77DB" w:rsidRDefault="00F852EF" w:rsidP="00162446">
            <w:pPr>
              <w:numPr>
                <w:ilvl w:val="0"/>
                <w:numId w:val="83"/>
              </w:numPr>
              <w:spacing w:before="120" w:after="120"/>
              <w:jc w:val="left"/>
              <w:rPr>
                <w:lang w:val="en-US"/>
              </w:rPr>
            </w:pPr>
            <w:r w:rsidRPr="00CF77DB">
              <w:rPr>
                <w:lang w:val="en-US"/>
              </w:rPr>
              <w:t>1.3 Principle of Landfill as a Last Choice Destination - The guiding principle of ‘Landfill is a last choice destination only – all other options must be exhausted before disposition to landfill’ (p.8) inappropriately creates loopholes by allowing unconstrained disposal to landfill. There is no means by which to evaluate the circumstances in which ‘all other options have been exhausted’, leaving it open to individual recyclers to decide whether and how much material they landfill. This can be rectified by deleting this statement and applying a minimum 90% recycling rate to the Material Processing and End Use Acceptability Table.</w:t>
            </w:r>
          </w:p>
          <w:p w:rsidR="00F852EF" w:rsidRPr="00CF77DB" w:rsidRDefault="00F852EF" w:rsidP="00162446">
            <w:pPr>
              <w:numPr>
                <w:ilvl w:val="0"/>
                <w:numId w:val="83"/>
              </w:numPr>
              <w:spacing w:before="120" w:after="120"/>
              <w:jc w:val="left"/>
              <w:rPr>
                <w:lang w:val="en-US"/>
              </w:rPr>
            </w:pPr>
            <w:r w:rsidRPr="00CF77DB">
              <w:rPr>
                <w:lang w:val="en-US"/>
              </w:rPr>
              <w:lastRenderedPageBreak/>
              <w:t>2. Treatment of Hazardous Materials - Electronic waste contains a range of chemicals and materials which can be toxic, corrosive and/ or bio-accumulative. Therefore, it is essential that hazardous materials be identified and separated from the general recycling stream to ensure it is properly treated. This reflects the intention in the National Waste Policy that:</w:t>
            </w:r>
          </w:p>
          <w:p w:rsidR="00F852EF" w:rsidRPr="00CF77DB" w:rsidRDefault="00F852EF" w:rsidP="00F852EF">
            <w:pPr>
              <w:spacing w:before="120" w:after="120"/>
              <w:ind w:left="1440"/>
              <w:rPr>
                <w:i/>
                <w:lang w:val="en-US"/>
              </w:rPr>
            </w:pPr>
            <w:r w:rsidRPr="00CF77DB">
              <w:rPr>
                <w:i/>
                <w:lang w:val="en-US"/>
              </w:rPr>
              <w:t>…by 2020…Australia manages its products, materials and chemicals that contain potentially hazardous substances, in particular those that are persistent, bio-accumulative and toxic, consistent with its international obligations and using best available evidence, techniques and technologies</w:t>
            </w:r>
            <w:r w:rsidRPr="00CF77DB">
              <w:rPr>
                <w:lang w:val="en-US"/>
              </w:rPr>
              <w:t>…(p.7)</w:t>
            </w:r>
          </w:p>
          <w:p w:rsidR="00F852EF" w:rsidRPr="00CF77DB" w:rsidRDefault="00F852EF" w:rsidP="00F852EF">
            <w:pPr>
              <w:spacing w:before="120" w:after="120"/>
              <w:ind w:left="1440"/>
              <w:rPr>
                <w:lang w:val="en-US"/>
              </w:rPr>
            </w:pPr>
            <w:r w:rsidRPr="00CF77DB">
              <w:rPr>
                <w:i/>
                <w:lang w:val="en-US"/>
              </w:rPr>
              <w:t>Reduction of potentially hazardous content of wastes with consistent, safe and accountable waste recovery, handling and disposal</w:t>
            </w:r>
            <w:r w:rsidRPr="00CF77DB">
              <w:rPr>
                <w:lang w:val="en-US"/>
              </w:rPr>
              <w:t>. (p.8)</w:t>
            </w:r>
          </w:p>
          <w:p w:rsidR="00F852EF" w:rsidRPr="00CF77DB" w:rsidRDefault="00F852EF" w:rsidP="00F852EF">
            <w:pPr>
              <w:spacing w:before="120" w:after="120"/>
              <w:ind w:left="1440"/>
              <w:rPr>
                <w:lang w:val="en-US"/>
              </w:rPr>
            </w:pPr>
            <w:r w:rsidRPr="00CF77DB">
              <w:rPr>
                <w:i/>
                <w:lang w:val="en-US"/>
              </w:rPr>
              <w:t>Strategy 12 Product stewardship schemes address specific products that contain potentially hazardous materials.’</w:t>
            </w:r>
            <w:r w:rsidRPr="00CF77DB">
              <w:rPr>
                <w:lang w:val="en-US"/>
              </w:rPr>
              <w:t xml:space="preserve"> (p.13)</w:t>
            </w:r>
          </w:p>
          <w:p w:rsidR="00F852EF" w:rsidRPr="00CF77DB" w:rsidRDefault="00F852EF" w:rsidP="00F852EF">
            <w:pPr>
              <w:spacing w:before="120" w:after="120"/>
              <w:ind w:left="720"/>
              <w:rPr>
                <w:lang w:val="en-US"/>
              </w:rPr>
            </w:pPr>
            <w:r w:rsidRPr="00CF77DB">
              <w:rPr>
                <w:lang w:val="en-US"/>
              </w:rPr>
              <w:t xml:space="preserve">The Television and Computer Recycling Scheme will generate large amounts of such hazardous waste that must, legally and morally, be treated in </w:t>
            </w:r>
            <w:smartTag w:uri="urn:schemas-microsoft-com:office:smarttags" w:element="place">
              <w:smartTag w:uri="urn:schemas-microsoft-com:office:smarttags" w:element="country-region">
                <w:r w:rsidRPr="00CF77DB">
                  <w:rPr>
                    <w:lang w:val="en-US"/>
                  </w:rPr>
                  <w:t>Australia</w:t>
                </w:r>
              </w:smartTag>
            </w:smartTag>
            <w:r w:rsidRPr="00CF77DB">
              <w:rPr>
                <w:lang w:val="en-US"/>
              </w:rPr>
              <w:t>. The DIIS, however, does not provide any guidance on the identification, separation and treatment of hazardous substances. Worse, it allows the landfilling, incineration, recycling and even export of these substances. Hazardous materials are contained in the following components:</w:t>
            </w:r>
          </w:p>
          <w:p w:rsidR="00F852EF" w:rsidRPr="00CF77DB" w:rsidRDefault="00F852EF" w:rsidP="00162446">
            <w:pPr>
              <w:numPr>
                <w:ilvl w:val="1"/>
                <w:numId w:val="83"/>
              </w:numPr>
              <w:spacing w:before="120" w:after="120"/>
              <w:jc w:val="left"/>
              <w:rPr>
                <w:lang w:val="en-US"/>
              </w:rPr>
            </w:pPr>
            <w:r w:rsidRPr="00CF77DB">
              <w:rPr>
                <w:lang w:val="en-US"/>
              </w:rPr>
              <w:t>cathode ray tubes</w:t>
            </w:r>
          </w:p>
          <w:p w:rsidR="00F852EF" w:rsidRPr="00CF77DB" w:rsidRDefault="00F852EF" w:rsidP="00162446">
            <w:pPr>
              <w:numPr>
                <w:ilvl w:val="1"/>
                <w:numId w:val="83"/>
              </w:numPr>
              <w:spacing w:before="120" w:after="120"/>
              <w:jc w:val="left"/>
              <w:rPr>
                <w:lang w:val="en-US"/>
              </w:rPr>
            </w:pPr>
            <w:r w:rsidRPr="00CF77DB">
              <w:rPr>
                <w:lang w:val="en-US"/>
              </w:rPr>
              <w:t>lead solder</w:t>
            </w:r>
          </w:p>
          <w:p w:rsidR="00F852EF" w:rsidRPr="00CF77DB" w:rsidRDefault="00F852EF" w:rsidP="00162446">
            <w:pPr>
              <w:numPr>
                <w:ilvl w:val="1"/>
                <w:numId w:val="83"/>
              </w:numPr>
              <w:spacing w:before="120" w:after="120"/>
              <w:jc w:val="left"/>
              <w:rPr>
                <w:lang w:val="en-US"/>
              </w:rPr>
            </w:pPr>
            <w:r w:rsidRPr="00CF77DB">
              <w:rPr>
                <w:lang w:val="en-US"/>
              </w:rPr>
              <w:t>leaded plasma display glass</w:t>
            </w:r>
          </w:p>
          <w:p w:rsidR="00F852EF" w:rsidRPr="00CF77DB" w:rsidRDefault="00F852EF" w:rsidP="00162446">
            <w:pPr>
              <w:numPr>
                <w:ilvl w:val="1"/>
                <w:numId w:val="83"/>
              </w:numPr>
              <w:spacing w:before="120" w:after="120"/>
              <w:jc w:val="left"/>
              <w:rPr>
                <w:lang w:val="en-US"/>
              </w:rPr>
            </w:pPr>
            <w:r w:rsidRPr="00CF77DB">
              <w:rPr>
                <w:lang w:val="en-US"/>
              </w:rPr>
              <w:t>other leaded glass</w:t>
            </w:r>
          </w:p>
          <w:p w:rsidR="00F852EF" w:rsidRPr="00CF77DB" w:rsidRDefault="00F852EF" w:rsidP="00162446">
            <w:pPr>
              <w:numPr>
                <w:ilvl w:val="1"/>
                <w:numId w:val="83"/>
              </w:numPr>
              <w:spacing w:before="120" w:after="120"/>
              <w:jc w:val="left"/>
              <w:rPr>
                <w:lang w:val="en-US"/>
              </w:rPr>
            </w:pPr>
            <w:r w:rsidRPr="00CF77DB">
              <w:rPr>
                <w:lang w:val="en-US"/>
              </w:rPr>
              <w:t>mercury-bearing lamps &amp; switches</w:t>
            </w:r>
          </w:p>
          <w:p w:rsidR="00F852EF" w:rsidRPr="00CF77DB" w:rsidRDefault="00F852EF" w:rsidP="00162446">
            <w:pPr>
              <w:numPr>
                <w:ilvl w:val="1"/>
                <w:numId w:val="83"/>
              </w:numPr>
              <w:spacing w:before="120" w:after="120"/>
              <w:jc w:val="left"/>
              <w:rPr>
                <w:lang w:val="en-US"/>
              </w:rPr>
            </w:pPr>
            <w:r w:rsidRPr="00CF77DB">
              <w:rPr>
                <w:lang w:val="en-US"/>
              </w:rPr>
              <w:t>printed circuit boards</w:t>
            </w:r>
          </w:p>
          <w:p w:rsidR="00F852EF" w:rsidRPr="00CF77DB" w:rsidRDefault="00F852EF" w:rsidP="00162446">
            <w:pPr>
              <w:numPr>
                <w:ilvl w:val="1"/>
                <w:numId w:val="83"/>
              </w:numPr>
              <w:spacing w:before="120" w:after="120"/>
              <w:jc w:val="left"/>
              <w:rPr>
                <w:lang w:val="en-US"/>
              </w:rPr>
            </w:pPr>
            <w:r w:rsidRPr="00CF77DB">
              <w:rPr>
                <w:lang w:val="en-US"/>
              </w:rPr>
              <w:t>batteries (eg: from remote controls)</w:t>
            </w:r>
          </w:p>
          <w:p w:rsidR="00F852EF" w:rsidRPr="00CF77DB" w:rsidRDefault="00F852EF" w:rsidP="00162446">
            <w:pPr>
              <w:numPr>
                <w:ilvl w:val="1"/>
                <w:numId w:val="83"/>
              </w:numPr>
              <w:spacing w:before="120" w:after="120"/>
              <w:jc w:val="left"/>
              <w:rPr>
                <w:lang w:val="en-US"/>
              </w:rPr>
            </w:pPr>
            <w:r w:rsidRPr="00CF77DB">
              <w:rPr>
                <w:lang w:val="en-US"/>
              </w:rPr>
              <w:t>brominated flame retardant (BFR) contaminated plastics</w:t>
            </w:r>
          </w:p>
          <w:p w:rsidR="00F852EF" w:rsidRPr="00CF77DB" w:rsidRDefault="00F852EF" w:rsidP="00F852EF">
            <w:pPr>
              <w:spacing w:before="120" w:after="120"/>
              <w:ind w:left="720"/>
              <w:rPr>
                <w:lang w:val="en-US"/>
              </w:rPr>
            </w:pPr>
            <w:r w:rsidRPr="00CF77DB">
              <w:rPr>
                <w:lang w:val="en-US"/>
              </w:rPr>
              <w:t xml:space="preserve">The hazardous substances must be treated as such, at the very least in accordance with </w:t>
            </w:r>
            <w:smartTag w:uri="urn:schemas-microsoft-com:office:smarttags" w:element="place">
              <w:smartTag w:uri="urn:schemas-microsoft-com:office:smarttags" w:element="country-region">
                <w:r w:rsidRPr="00CF77DB">
                  <w:rPr>
                    <w:lang w:val="en-US"/>
                  </w:rPr>
                  <w:t>Australia</w:t>
                </w:r>
              </w:smartTag>
            </w:smartTag>
            <w:r w:rsidRPr="00CF77DB">
              <w:rPr>
                <w:lang w:val="en-US"/>
              </w:rPr>
              <w:t>’s international obligations.</w:t>
            </w:r>
          </w:p>
          <w:p w:rsidR="00F852EF" w:rsidRPr="00CF77DB" w:rsidRDefault="00F852EF" w:rsidP="00162446">
            <w:pPr>
              <w:numPr>
                <w:ilvl w:val="0"/>
                <w:numId w:val="83"/>
              </w:numPr>
              <w:spacing w:before="120" w:after="120"/>
              <w:jc w:val="left"/>
              <w:rPr>
                <w:lang w:val="en-US"/>
              </w:rPr>
            </w:pPr>
            <w:r w:rsidRPr="00CF77DB">
              <w:rPr>
                <w:lang w:val="en-US"/>
              </w:rPr>
              <w:t xml:space="preserve">2.1 BFR contaminated plastics must not be recycled - Article 6 of the Stockholm Convention, of which </w:t>
            </w:r>
            <w:smartTag w:uri="urn:schemas-microsoft-com:office:smarttags" w:element="place">
              <w:smartTag w:uri="urn:schemas-microsoft-com:office:smarttags" w:element="country-region">
                <w:r w:rsidRPr="00CF77DB">
                  <w:rPr>
                    <w:lang w:val="en-US"/>
                  </w:rPr>
                  <w:t>Australia</w:t>
                </w:r>
              </w:smartTag>
            </w:smartTag>
            <w:r w:rsidRPr="00CF77DB">
              <w:rPr>
                <w:lang w:val="en-US"/>
              </w:rPr>
              <w:t xml:space="preserve"> is a ratifying party, requires ratifying countries to:</w:t>
            </w:r>
          </w:p>
          <w:p w:rsidR="00F852EF" w:rsidRPr="00CF77DB" w:rsidRDefault="00F852EF" w:rsidP="00F852EF">
            <w:pPr>
              <w:spacing w:before="120" w:after="120"/>
              <w:ind w:left="720"/>
              <w:rPr>
                <w:lang w:val="en-US"/>
              </w:rPr>
            </w:pPr>
            <w:r w:rsidRPr="00CF77DB">
              <w:rPr>
                <w:lang w:val="en-US"/>
              </w:rPr>
              <w:t>a)</w:t>
            </w:r>
            <w:r>
              <w:rPr>
                <w:lang w:val="en-US"/>
              </w:rPr>
              <w:t xml:space="preserve">  </w:t>
            </w:r>
            <w:r w:rsidRPr="00CF77DB">
              <w:rPr>
                <w:lang w:val="en-US"/>
              </w:rPr>
              <w:t>Develop and implement appropriate strategies for identifying stockpiles, products and articles in use that contain or are contaminated with POPs;</w:t>
            </w:r>
          </w:p>
          <w:p w:rsidR="00F852EF" w:rsidRPr="00CF77DB" w:rsidRDefault="00F852EF" w:rsidP="00F852EF">
            <w:pPr>
              <w:spacing w:before="120" w:after="120"/>
              <w:ind w:left="720"/>
              <w:rPr>
                <w:lang w:val="en-US"/>
              </w:rPr>
            </w:pPr>
            <w:r w:rsidRPr="00CF77DB">
              <w:rPr>
                <w:lang w:val="en-US"/>
              </w:rPr>
              <w:t>b)</w:t>
            </w:r>
            <w:r>
              <w:rPr>
                <w:lang w:val="en-US"/>
              </w:rPr>
              <w:t xml:space="preserve">  </w:t>
            </w:r>
            <w:r w:rsidRPr="00CF77DB">
              <w:rPr>
                <w:lang w:val="en-US"/>
              </w:rPr>
              <w:t>Manage stockpiles and wastes in an environmentally sound manner;</w:t>
            </w:r>
          </w:p>
          <w:p w:rsidR="00F852EF" w:rsidRPr="00CF77DB" w:rsidRDefault="00F852EF" w:rsidP="00F852EF">
            <w:pPr>
              <w:spacing w:before="120" w:after="120"/>
              <w:ind w:left="720"/>
              <w:rPr>
                <w:lang w:val="en-US"/>
              </w:rPr>
            </w:pPr>
            <w:r w:rsidRPr="00CF77DB">
              <w:rPr>
                <w:lang w:val="en-US"/>
              </w:rPr>
              <w:lastRenderedPageBreak/>
              <w:t>c)</w:t>
            </w:r>
            <w:r>
              <w:rPr>
                <w:lang w:val="en-US"/>
              </w:rPr>
              <w:t xml:space="preserve">  </w:t>
            </w:r>
            <w:r w:rsidRPr="00CF77DB">
              <w:rPr>
                <w:lang w:val="en-US"/>
              </w:rPr>
              <w:t>Dispose of waste so that the POPs content is destroyed or irreversibly transformed;</w:t>
            </w:r>
          </w:p>
          <w:p w:rsidR="00F852EF" w:rsidRPr="00CF77DB" w:rsidRDefault="00F852EF" w:rsidP="00F852EF">
            <w:pPr>
              <w:spacing w:before="120" w:after="120"/>
              <w:ind w:left="720"/>
              <w:rPr>
                <w:lang w:val="en-US"/>
              </w:rPr>
            </w:pPr>
            <w:r w:rsidRPr="00CF77DB">
              <w:rPr>
                <w:lang w:val="en-US"/>
              </w:rPr>
              <w:t>d)</w:t>
            </w:r>
            <w:r>
              <w:rPr>
                <w:lang w:val="en-US"/>
              </w:rPr>
              <w:t xml:space="preserve">  </w:t>
            </w:r>
            <w:r w:rsidRPr="00CF77DB">
              <w:rPr>
                <w:lang w:val="en-US"/>
              </w:rPr>
              <w:t>Not permit the recycling, recovery, reclamation, direct reuse or alternative use of the POPs;</w:t>
            </w:r>
          </w:p>
          <w:p w:rsidR="00F852EF" w:rsidRPr="00CF77DB" w:rsidRDefault="00F852EF" w:rsidP="00F852EF">
            <w:pPr>
              <w:spacing w:before="120" w:after="120"/>
              <w:ind w:left="720"/>
              <w:rPr>
                <w:lang w:val="en-US"/>
              </w:rPr>
            </w:pPr>
            <w:r w:rsidRPr="00CF77DB">
              <w:rPr>
                <w:lang w:val="en-US"/>
              </w:rPr>
              <w:t>e)</w:t>
            </w:r>
            <w:r>
              <w:rPr>
                <w:lang w:val="en-US"/>
              </w:rPr>
              <w:t xml:space="preserve">  </w:t>
            </w:r>
            <w:r w:rsidRPr="00CF77DB">
              <w:rPr>
                <w:lang w:val="en-US"/>
              </w:rPr>
              <w:t>Endeavour to develop strategies for identifying contaminated sites and perform eventual remediation in an environmentally sound manner.</w:t>
            </w:r>
          </w:p>
          <w:p w:rsidR="00F852EF" w:rsidRPr="00CF77DB" w:rsidRDefault="00F852EF" w:rsidP="00F852EF">
            <w:pPr>
              <w:spacing w:before="120" w:after="120"/>
              <w:ind w:left="720"/>
              <w:rPr>
                <w:lang w:val="en-US"/>
              </w:rPr>
            </w:pPr>
            <w:r w:rsidRPr="00CF77DB">
              <w:rPr>
                <w:lang w:val="en-US"/>
              </w:rPr>
              <w:t xml:space="preserve">Further, Strategy 13 of the National Waste Policy states that: </w:t>
            </w:r>
          </w:p>
          <w:p w:rsidR="00F852EF" w:rsidRPr="00CF77DB" w:rsidRDefault="00F852EF" w:rsidP="00F852EF">
            <w:pPr>
              <w:spacing w:before="120" w:after="120"/>
              <w:ind w:left="1440"/>
              <w:rPr>
                <w:lang w:val="en-US"/>
              </w:rPr>
            </w:pPr>
            <w:r w:rsidRPr="00CF77DB">
              <w:rPr>
                <w:i/>
                <w:lang w:val="en-US"/>
              </w:rPr>
              <w:t xml:space="preserve">The Australian Government…will adopt a system that aligns with international approaches, to reduce hazardous substances in products and articles sold in </w:t>
            </w:r>
            <w:smartTag w:uri="urn:schemas-microsoft-com:office:smarttags" w:element="place">
              <w:smartTag w:uri="urn:schemas-microsoft-com:office:smarttags" w:element="country-region">
                <w:r w:rsidRPr="00CF77DB">
                  <w:rPr>
                    <w:i/>
                    <w:lang w:val="en-US"/>
                  </w:rPr>
                  <w:t>Australia</w:t>
                </w:r>
              </w:smartTag>
            </w:smartTag>
            <w:r w:rsidRPr="00CF77DB">
              <w:rPr>
                <w:i/>
                <w:lang w:val="en-US"/>
              </w:rPr>
              <w:t xml:space="preserve"> that present a potential risk during and at end of life to human health, safety or the environment</w:t>
            </w:r>
            <w:r w:rsidRPr="00CF77DB">
              <w:rPr>
                <w:lang w:val="en-US"/>
              </w:rPr>
              <w:t>. (p.14)</w:t>
            </w:r>
          </w:p>
          <w:p w:rsidR="00F852EF" w:rsidRPr="00CF77DB" w:rsidRDefault="00F852EF" w:rsidP="00F852EF">
            <w:pPr>
              <w:spacing w:before="120" w:after="120"/>
              <w:ind w:left="720"/>
              <w:rPr>
                <w:lang w:val="en-US"/>
              </w:rPr>
            </w:pPr>
            <w:r w:rsidRPr="00CF77DB">
              <w:rPr>
                <w:lang w:val="en-US"/>
              </w:rPr>
              <w:t xml:space="preserve">Two BFRs (the commercial mixtures of brominated diphenyl ethers, Penta and OctaBDE are referred to as POP-BDEs ), along with 8 other new persistent organic pollutants (POPs), were recently banned under the Stockholm Convention. </w:t>
            </w:r>
            <w:smartTag w:uri="urn:schemas-microsoft-com:office:smarttags" w:element="place">
              <w:smartTag w:uri="urn:schemas-microsoft-com:office:smarttags" w:element="country-region">
                <w:r w:rsidRPr="00CF77DB">
                  <w:rPr>
                    <w:lang w:val="en-US"/>
                  </w:rPr>
                  <w:t>Australia</w:t>
                </w:r>
              </w:smartTag>
            </w:smartTag>
            <w:r w:rsidRPr="00CF77DB">
              <w:rPr>
                <w:lang w:val="en-US"/>
              </w:rPr>
              <w:t xml:space="preserve"> supported the listing of these new POPs</w:t>
            </w:r>
            <w:r>
              <w:rPr>
                <w:lang w:val="en-US"/>
              </w:rPr>
              <w:t xml:space="preserve"> </w:t>
            </w:r>
            <w:r w:rsidRPr="00CF77DB">
              <w:rPr>
                <w:lang w:val="en-US"/>
              </w:rPr>
              <w:t>and is likely to ratify the changes in the near future.</w:t>
            </w:r>
            <w:r>
              <w:rPr>
                <w:lang w:val="en-US"/>
              </w:rPr>
              <w:t xml:space="preserve"> </w:t>
            </w:r>
            <w:r w:rsidRPr="00CF77DB">
              <w:rPr>
                <w:lang w:val="en-US"/>
              </w:rPr>
              <w:t>While a temporary exemption allows the recycling of BFRs, this is likely to come to an abrupt end within two years as the POPs Review Committee has recently recommended that recycling of articles containing listed POP-BDEs should only be performed if the articles are first treated and the POP-BDE are removed. Otherwise recycling of articles containing POP-BDE should be stopped as soon as possible.</w:t>
            </w:r>
            <w:r>
              <w:rPr>
                <w:lang w:val="en-US"/>
              </w:rPr>
              <w:t xml:space="preserve"> </w:t>
            </w:r>
            <w:r w:rsidRPr="00CF77DB">
              <w:rPr>
                <w:lang w:val="en-US"/>
              </w:rPr>
              <w:t xml:space="preserve">It is therefore unacceptable for the recycling of BFRs to be knowingly sanctioned by the DIIS under these circumstances. </w:t>
            </w:r>
          </w:p>
          <w:p w:rsidR="00F852EF" w:rsidRPr="00CF77DB" w:rsidRDefault="00F852EF" w:rsidP="00F852EF">
            <w:pPr>
              <w:spacing w:before="120" w:after="120"/>
              <w:ind w:left="720"/>
              <w:rPr>
                <w:lang w:val="en-US"/>
              </w:rPr>
            </w:pPr>
            <w:r w:rsidRPr="00CF77DB">
              <w:rPr>
                <w:lang w:val="en-US"/>
              </w:rPr>
              <w:t>International best practice for BFR contaminated plastics from e-waste now includes identification and separation.</w:t>
            </w:r>
            <w:r>
              <w:rPr>
                <w:lang w:val="en-US"/>
              </w:rPr>
              <w:t xml:space="preserve"> </w:t>
            </w:r>
            <w:r w:rsidRPr="00CF77DB">
              <w:rPr>
                <w:lang w:val="en-US"/>
              </w:rPr>
              <w:t xml:space="preserve"> Standard commercial GC/MS analysis of PBDE in plastic and other materials is widely available in developed countries. This is largely because of the demand that has arisen over the past few years due to the requirements of Restriction of Hazardous Substances (RoHS) compliance and other national laws. Currently, the practical method for screening and separating PBDE-containing materials is the separation of all BFR-containing materials by online screening of the bromine content.</w:t>
            </w:r>
            <w:r>
              <w:rPr>
                <w:lang w:val="en-US"/>
              </w:rPr>
              <w:t xml:space="preserve"> </w:t>
            </w:r>
            <w:r w:rsidRPr="00CF77DB">
              <w:rPr>
                <w:lang w:val="en-US"/>
              </w:rPr>
              <w:t>Three technologies for bromine screening are applicable in practice:</w:t>
            </w:r>
          </w:p>
          <w:p w:rsidR="00F852EF" w:rsidRPr="00CF77DB" w:rsidRDefault="00F852EF" w:rsidP="00F852EF">
            <w:pPr>
              <w:spacing w:before="120" w:after="120"/>
              <w:ind w:left="1440"/>
              <w:rPr>
                <w:lang w:val="en-US"/>
              </w:rPr>
            </w:pPr>
            <w:r w:rsidRPr="00CF77DB">
              <w:rPr>
                <w:lang w:val="en-US"/>
              </w:rPr>
              <w:t>A) Sliding Spark Spectra analysis (SSS) (hand held method)</w:t>
            </w:r>
          </w:p>
          <w:p w:rsidR="00F852EF" w:rsidRPr="00CF77DB" w:rsidRDefault="00F852EF" w:rsidP="00F852EF">
            <w:pPr>
              <w:spacing w:before="120" w:after="120"/>
              <w:ind w:left="1440"/>
              <w:rPr>
                <w:lang w:val="en-US"/>
              </w:rPr>
            </w:pPr>
            <w:r w:rsidRPr="00CF77DB">
              <w:rPr>
                <w:lang w:val="en-US"/>
              </w:rPr>
              <w:t>B) X-ray Fluorescence (XRF) (hand held method);</w:t>
            </w:r>
          </w:p>
          <w:p w:rsidR="00F852EF" w:rsidRPr="00CF77DB" w:rsidRDefault="00F852EF" w:rsidP="00F852EF">
            <w:pPr>
              <w:spacing w:before="120" w:after="120"/>
              <w:ind w:left="1440"/>
              <w:rPr>
                <w:lang w:val="en-US"/>
              </w:rPr>
            </w:pPr>
            <w:r w:rsidRPr="00CF77DB">
              <w:rPr>
                <w:lang w:val="en-US"/>
              </w:rPr>
              <w:t>C) X-ray Transmission (XRT) (for automated separation plants)</w:t>
            </w:r>
          </w:p>
          <w:p w:rsidR="00F852EF" w:rsidRPr="00CF77DB" w:rsidRDefault="00F852EF" w:rsidP="00162446">
            <w:pPr>
              <w:numPr>
                <w:ilvl w:val="0"/>
                <w:numId w:val="83"/>
              </w:numPr>
              <w:spacing w:before="120" w:after="120"/>
              <w:jc w:val="left"/>
              <w:rPr>
                <w:lang w:val="en-US"/>
              </w:rPr>
            </w:pPr>
            <w:r w:rsidRPr="00CF77DB">
              <w:rPr>
                <w:lang w:val="en-US"/>
              </w:rPr>
              <w:t>2.2 BFR contaminated plastics must not be landfilled - PBDEs in articles deposited in landfills are slowly released in leachates and into the atmosphere with further contamination of ground and surface water and sediments and soil. The toxicity of the PBDE mixtures can be substantially increased by debromination of the higher brominated PBDE (which are normally present in much higher concentrations) to the more toxic lower brominated congeners by the anaerobic processes in the landfill site.</w:t>
            </w:r>
            <w:r>
              <w:rPr>
                <w:lang w:val="en-US"/>
              </w:rPr>
              <w:t xml:space="preserve"> </w:t>
            </w:r>
            <w:r w:rsidRPr="00CF77DB">
              <w:rPr>
                <w:lang w:val="en-US"/>
              </w:rPr>
              <w:t>Importantly, when the persistence of PBDE in landfills is compared with the limited life-time of the engineered protection and management systems in landfills it can be seen that the landfilling of PBDE-containing articles can not be considered as a safe or sustainable solution, and it is inconsistent with the obligations of the Stockholm Convention.</w:t>
            </w:r>
            <w:r>
              <w:rPr>
                <w:lang w:val="en-US"/>
              </w:rPr>
              <w:t xml:space="preserve"> </w:t>
            </w:r>
          </w:p>
          <w:p w:rsidR="00F852EF" w:rsidRPr="00CF77DB" w:rsidRDefault="00F852EF" w:rsidP="00162446">
            <w:pPr>
              <w:numPr>
                <w:ilvl w:val="0"/>
                <w:numId w:val="83"/>
              </w:numPr>
              <w:spacing w:before="120" w:after="120"/>
              <w:jc w:val="left"/>
              <w:rPr>
                <w:lang w:val="en-US"/>
              </w:rPr>
            </w:pPr>
            <w:r w:rsidRPr="00CF77DB">
              <w:rPr>
                <w:lang w:val="en-US"/>
              </w:rPr>
              <w:lastRenderedPageBreak/>
              <w:t>2.3 BFR contaminated plastics must not be incinerated - Incineration of BFR contaminated plastics result in the formation of polybrominated dibenzo-p-dioxins and dibenzofurans (PBDD/DFs), and increasingly also polychlorinated/brominated dioxins and benzofuran (PXDDs/DFs) which can be released as air emissions or captured to some extent by pollution control devices and/or be deposited in ash. Both then require permanent storage. Enormous levels of PBDD/DF, PXDD/DF and PCDD/DF are formed in the incinerator’s primary combustion zone when high levels of electronic waste are added. While in BAT incinerators some of these unintentionally formed POPs (UPOPs) can be destroyed in the secondary combustion zone, PBDEs and PBDD/DF are found at high levels in the bottom ash. This highly toxic ash then requires permanent disposal in hazardous waste landfill, defeating the original purpose of incineration and risking further releases to the environment.</w:t>
            </w:r>
            <w:r>
              <w:rPr>
                <w:lang w:val="en-US"/>
              </w:rPr>
              <w:t xml:space="preserve"> </w:t>
            </w:r>
          </w:p>
          <w:p w:rsidR="00F852EF" w:rsidRPr="00CF77DB" w:rsidRDefault="00F852EF" w:rsidP="00162446">
            <w:pPr>
              <w:numPr>
                <w:ilvl w:val="0"/>
                <w:numId w:val="83"/>
              </w:numPr>
              <w:spacing w:before="120" w:after="120"/>
              <w:jc w:val="left"/>
              <w:rPr>
                <w:lang w:val="en-US"/>
              </w:rPr>
            </w:pPr>
            <w:r w:rsidRPr="00CF77DB">
              <w:rPr>
                <w:lang w:val="en-US"/>
              </w:rPr>
              <w:t>2.4 Human health impacts of BFR contaminated plastics - The recycling of BFR contaminated plastics is set to contravene the Stockholm Convention within two years. Worse, however, is that the recycling of this material into new products will directly damage the health of Australians. In this respect, the DIIS statement on p. 28 is incorrect:</w:t>
            </w:r>
          </w:p>
          <w:p w:rsidR="00F852EF" w:rsidRPr="00CF77DB" w:rsidRDefault="00F852EF" w:rsidP="00F852EF">
            <w:pPr>
              <w:spacing w:before="120" w:after="120"/>
              <w:ind w:left="1440"/>
              <w:rPr>
                <w:i/>
                <w:lang w:val="en-US"/>
              </w:rPr>
            </w:pPr>
            <w:r w:rsidRPr="00CF77DB">
              <w:rPr>
                <w:i/>
                <w:lang w:val="en-US"/>
              </w:rPr>
              <w:t>Nearly all of the substances of concern in EOLE are no cause for concern for human exposure or release into the environment during ordinary use and handling. None of these substances will be released through normal contact, including transportation and manual disassembly.</w:t>
            </w:r>
          </w:p>
          <w:p w:rsidR="00F852EF" w:rsidRPr="00CF77DB" w:rsidRDefault="00F852EF" w:rsidP="00F852EF">
            <w:pPr>
              <w:spacing w:before="120" w:after="120"/>
              <w:ind w:left="720"/>
              <w:rPr>
                <w:lang w:val="en-US"/>
              </w:rPr>
            </w:pPr>
            <w:r w:rsidRPr="00CF77DB">
              <w:rPr>
                <w:lang w:val="en-US"/>
              </w:rPr>
              <w:t>BFRs are released and/or volatilized from products during ‘normal contact’ in the use and waste phase. In 2007, the Australian government released studies on PBDEs.</w:t>
            </w:r>
            <w:r>
              <w:rPr>
                <w:lang w:val="en-US"/>
              </w:rPr>
              <w:t xml:space="preserve"> </w:t>
            </w:r>
            <w:r w:rsidRPr="00CF77DB">
              <w:rPr>
                <w:lang w:val="en-US"/>
              </w:rPr>
              <w:t>One study involved the testing of nine indoor air samples, two outdoor air samples, nine dust samples and ten surface wipes from South East Queensland.</w:t>
            </w:r>
            <w:r>
              <w:rPr>
                <w:lang w:val="en-US"/>
              </w:rPr>
              <w:t xml:space="preserve"> </w:t>
            </w:r>
            <w:r w:rsidRPr="00CF77DB">
              <w:rPr>
                <w:lang w:val="en-US"/>
              </w:rPr>
              <w:t>PBDEs were detected in all air and dust samples and nine of the ten surface wipe samples. PBDEs were detected in:</w:t>
            </w:r>
          </w:p>
          <w:p w:rsidR="00F852EF" w:rsidRPr="00CF77DB" w:rsidRDefault="00F852EF" w:rsidP="00162446">
            <w:pPr>
              <w:numPr>
                <w:ilvl w:val="1"/>
                <w:numId w:val="83"/>
              </w:numPr>
              <w:spacing w:before="120" w:after="120"/>
              <w:jc w:val="left"/>
              <w:rPr>
                <w:lang w:val="en-US"/>
              </w:rPr>
            </w:pPr>
            <w:r w:rsidRPr="00CF77DB">
              <w:rPr>
                <w:lang w:val="en-US"/>
              </w:rPr>
              <w:t>all samples of indoor and outdoor air</w:t>
            </w:r>
          </w:p>
          <w:p w:rsidR="00F852EF" w:rsidRPr="00CF77DB" w:rsidRDefault="00F852EF" w:rsidP="00162446">
            <w:pPr>
              <w:numPr>
                <w:ilvl w:val="2"/>
                <w:numId w:val="83"/>
              </w:numPr>
              <w:spacing w:before="120" w:after="120"/>
              <w:jc w:val="left"/>
              <w:rPr>
                <w:lang w:val="en-US"/>
              </w:rPr>
            </w:pPr>
            <w:r w:rsidRPr="00CF77DB">
              <w:rPr>
                <w:lang w:val="en-US"/>
              </w:rPr>
              <w:t>indoor air had a range of 0.5 -179 pg/m3 for homes and 15 – 487 pg/m3 for offices</w:t>
            </w:r>
          </w:p>
          <w:p w:rsidR="00F852EF" w:rsidRPr="00CF77DB" w:rsidRDefault="00F852EF" w:rsidP="00162446">
            <w:pPr>
              <w:numPr>
                <w:ilvl w:val="1"/>
                <w:numId w:val="83"/>
              </w:numPr>
              <w:spacing w:before="120" w:after="120"/>
              <w:jc w:val="left"/>
              <w:rPr>
                <w:lang w:val="en-US"/>
              </w:rPr>
            </w:pPr>
            <w:r w:rsidRPr="00CF77DB">
              <w:rPr>
                <w:lang w:val="en-US"/>
              </w:rPr>
              <w:t>all dust samples with a concentration ranged from 87 – 3070 ng/g dust</w:t>
            </w:r>
          </w:p>
          <w:p w:rsidR="00F852EF" w:rsidRPr="00CF77DB" w:rsidRDefault="00F852EF" w:rsidP="00162446">
            <w:pPr>
              <w:numPr>
                <w:ilvl w:val="1"/>
                <w:numId w:val="83"/>
              </w:numPr>
              <w:spacing w:before="120" w:after="120"/>
              <w:jc w:val="left"/>
              <w:rPr>
                <w:lang w:val="en-US"/>
              </w:rPr>
            </w:pPr>
            <w:r w:rsidRPr="00CF77DB">
              <w:rPr>
                <w:lang w:val="en-US"/>
              </w:rPr>
              <w:t xml:space="preserve">9 out of 10 surfaces sampled. </w:t>
            </w:r>
          </w:p>
          <w:p w:rsidR="00F852EF" w:rsidRPr="00CF77DB" w:rsidRDefault="00F852EF" w:rsidP="00F852EF">
            <w:pPr>
              <w:spacing w:before="120" w:after="120"/>
              <w:ind w:left="720"/>
              <w:rPr>
                <w:lang w:val="en-US"/>
              </w:rPr>
            </w:pPr>
            <w:r w:rsidRPr="00CF77DB">
              <w:rPr>
                <w:lang w:val="en-US"/>
              </w:rPr>
              <w:t>The surfaces sampled represented televisions, refrigerators, stereos and DVD players. Blood samples show that human blood with the highest levels was found in young children. The report acknowledges that Australians have twice the level of PBDEs in their blood (6.7 – 18 ng g-1 lipid) as their European counterparts with the highest concentrations in children under four.</w:t>
            </w:r>
          </w:p>
          <w:p w:rsidR="00F852EF" w:rsidRPr="00CF77DB" w:rsidRDefault="00F852EF" w:rsidP="00162446">
            <w:pPr>
              <w:numPr>
                <w:ilvl w:val="0"/>
                <w:numId w:val="93"/>
              </w:numPr>
              <w:spacing w:before="120" w:after="120"/>
              <w:jc w:val="left"/>
              <w:rPr>
                <w:lang w:val="en-US"/>
              </w:rPr>
            </w:pPr>
            <w:r w:rsidRPr="00CF77DB">
              <w:rPr>
                <w:lang w:val="en-US"/>
              </w:rPr>
              <w:t>2.5 Impacts of recycling of BFR contaminated plastics on recyclers and Scheme targets -</w:t>
            </w:r>
            <w:r>
              <w:rPr>
                <w:lang w:val="en-US"/>
              </w:rPr>
              <w:t xml:space="preserve"> </w:t>
            </w:r>
            <w:r w:rsidRPr="00CF77DB">
              <w:rPr>
                <w:lang w:val="en-US"/>
              </w:rPr>
              <w:t xml:space="preserve">It is unreasonable for the Interim Standard or the future Australian Standard to allow the recycling of BFR contaminated plastics when they will soon be banned. This would send the wrong signals to recyclers. It would attract investment in worst practice, soon to be redundant infrastructure and encourage misinformed business models for new entrants while entrenching business as usual for existing recyclers. </w:t>
            </w:r>
          </w:p>
          <w:p w:rsidR="00F852EF" w:rsidRPr="00CF77DB" w:rsidRDefault="00F852EF" w:rsidP="00F852EF">
            <w:pPr>
              <w:spacing w:before="120" w:after="120"/>
              <w:ind w:left="720"/>
              <w:rPr>
                <w:lang w:val="en-US"/>
              </w:rPr>
            </w:pPr>
            <w:r w:rsidRPr="00CF77DB">
              <w:rPr>
                <w:lang w:val="en-US"/>
              </w:rPr>
              <w:t xml:space="preserve">Allowing recycling of BFR contaminated plastics will also distort the Scheme targets. Indeed, the methodology for </w:t>
            </w:r>
            <w:r w:rsidRPr="00CF77DB">
              <w:rPr>
                <w:lang w:val="en-US"/>
              </w:rPr>
              <w:lastRenderedPageBreak/>
              <w:t>determining recycling targets needs to be cognisant that 22% - 30% of a computer is composed of (largely contaminated) plastics.</w:t>
            </w:r>
            <w:r w:rsidRPr="00CF77DB">
              <w:rPr>
                <w:lang w:val="en-US"/>
              </w:rPr>
              <w:footnoteReference w:id="11"/>
            </w:r>
            <w:r w:rsidRPr="00CF77DB">
              <w:rPr>
                <w:lang w:val="en-US"/>
              </w:rPr>
              <w:t xml:space="preserve"> Unless there is explicit guidance on the identification and separation of contaminated plastics in the Interim Standard and the future Australian Standard from early on, planning for the target of 80% recycling by 2020 and interim targets will be distorted. It is therefore essential for the DIIS, the Australian Standard, the Scheme KPIs, Regulations and Targets to acknowledge this issue and adjust accordingly. For this reason, the Interim Standard recycling rate of 90%, rising to 95% after 5 years, should exclude contaminated plastics.</w:t>
            </w:r>
          </w:p>
          <w:p w:rsidR="00F852EF" w:rsidRPr="00CF77DB" w:rsidRDefault="00F852EF" w:rsidP="00162446">
            <w:pPr>
              <w:numPr>
                <w:ilvl w:val="0"/>
                <w:numId w:val="93"/>
              </w:numPr>
              <w:spacing w:before="120" w:after="120"/>
              <w:jc w:val="left"/>
              <w:rPr>
                <w:lang w:val="en-US"/>
              </w:rPr>
            </w:pPr>
            <w:r w:rsidRPr="00CF77DB">
              <w:rPr>
                <w:lang w:val="en-US"/>
              </w:rPr>
              <w:t>2.6 Treatment of BFR contaminated plastics - A core National Waste Policy Objective is:</w:t>
            </w:r>
          </w:p>
          <w:p w:rsidR="00F852EF" w:rsidRPr="00CF77DB" w:rsidRDefault="00F852EF" w:rsidP="00F852EF">
            <w:pPr>
              <w:spacing w:before="120" w:after="120"/>
              <w:ind w:left="1440"/>
              <w:rPr>
                <w:i/>
                <w:lang w:val="en-US"/>
              </w:rPr>
            </w:pPr>
            <w:r w:rsidRPr="00CF77DB">
              <w:rPr>
                <w:i/>
                <w:lang w:val="en-US"/>
              </w:rPr>
              <w:t>A comprehensive nationally integrated system for the identification, classification, collection, treatment, disposal and monitoring of hazardous substances and waste that aligns with international obligations.</w:t>
            </w:r>
          </w:p>
          <w:p w:rsidR="00F852EF" w:rsidRPr="00CF77DB" w:rsidRDefault="00F852EF" w:rsidP="00F852EF">
            <w:pPr>
              <w:spacing w:before="120" w:after="120"/>
              <w:ind w:left="720"/>
              <w:rPr>
                <w:lang w:val="en-US"/>
              </w:rPr>
            </w:pPr>
            <w:r w:rsidRPr="00CF77DB">
              <w:rPr>
                <w:lang w:val="en-US"/>
              </w:rPr>
              <w:t>To reflect this objective the landfilling, incineration, recycling or export of BFR contaminated plastics should be prohibited by the DIIS. Instead, recyclers must be required to identify, separate and store BFR contaminated plastics. This could be implemented in a staged process over two years to allow current recyclers to adapt.</w:t>
            </w:r>
          </w:p>
          <w:p w:rsidR="00F852EF" w:rsidRPr="00CF77DB" w:rsidRDefault="00F852EF" w:rsidP="00F852EF">
            <w:pPr>
              <w:spacing w:before="120" w:after="120"/>
              <w:ind w:left="720"/>
              <w:rPr>
                <w:lang w:val="en-US"/>
              </w:rPr>
            </w:pPr>
            <w:r w:rsidRPr="00CF77DB">
              <w:rPr>
                <w:lang w:val="en-US"/>
              </w:rPr>
              <w:t xml:space="preserve">To deal with the resulting hazardous waste, Australian destruction facilities must be established in tandem with the National Television and Computer Recycling Scheme. This responsibility should be shouldered by Federal and State Governments and may involve storage of contaminated materials for longer than 12 months. </w:t>
            </w:r>
          </w:p>
          <w:p w:rsidR="00F852EF" w:rsidRPr="00CF77DB" w:rsidRDefault="00F852EF" w:rsidP="00162446">
            <w:pPr>
              <w:numPr>
                <w:ilvl w:val="0"/>
                <w:numId w:val="93"/>
              </w:numPr>
              <w:spacing w:before="120" w:after="120"/>
              <w:jc w:val="left"/>
              <w:rPr>
                <w:lang w:val="en-US"/>
              </w:rPr>
            </w:pPr>
            <w:r w:rsidRPr="00CF77DB">
              <w:rPr>
                <w:lang w:val="en-US"/>
              </w:rPr>
              <w:t>2.7 Classification and transport of hazardous wastes - According to international and national definitions, once televisions and computers have reached end-of-life, major portions of them (eg, leaded glass, printed circuit boards, contaminated plastics) will have become hazardous waste and should be treated as such.</w:t>
            </w:r>
            <w:r>
              <w:rPr>
                <w:lang w:val="en-US"/>
              </w:rPr>
              <w:t xml:space="preserve"> </w:t>
            </w:r>
            <w:r w:rsidRPr="00CF77DB">
              <w:rPr>
                <w:lang w:val="en-US"/>
              </w:rPr>
              <w:t xml:space="preserve"> The classification, management, transport and storage requirements for hazardous substances are defined by the Basel Convention on the Control of Transboundary Movements of </w:t>
            </w:r>
            <w:smartTag w:uri="urn:schemas-microsoft-com:office:smarttags" w:element="PersonName">
              <w:r w:rsidRPr="00CF77DB">
                <w:rPr>
                  <w:lang w:val="en-US"/>
                </w:rPr>
                <w:t>Hazardous Waste</w:t>
              </w:r>
            </w:smartTag>
            <w:r w:rsidRPr="00CF77DB">
              <w:rPr>
                <w:lang w:val="en-US"/>
              </w:rPr>
              <w:t>s and their Disposal, and its technical guidelines as well as State and National requirements. These should be adhered to.</w:t>
            </w:r>
          </w:p>
          <w:p w:rsidR="00F852EF" w:rsidRPr="00CF77DB" w:rsidRDefault="00F852EF" w:rsidP="00F852EF">
            <w:pPr>
              <w:spacing w:before="120" w:after="120"/>
              <w:ind w:left="720"/>
              <w:rPr>
                <w:lang w:val="en-US"/>
              </w:rPr>
            </w:pPr>
            <w:r w:rsidRPr="00CF77DB">
              <w:rPr>
                <w:lang w:val="en-US"/>
              </w:rPr>
              <w:t>In 2010, negotiations started for a mercury treaty, due to be completed in 2013, which will include further obligations on countries relating to export and trade, use, treatment, storage and disposal.</w:t>
            </w:r>
          </w:p>
          <w:p w:rsidR="00F852EF" w:rsidRPr="00CF77DB" w:rsidRDefault="00F852EF" w:rsidP="00162446">
            <w:pPr>
              <w:numPr>
                <w:ilvl w:val="0"/>
                <w:numId w:val="93"/>
              </w:numPr>
              <w:spacing w:before="120" w:after="120"/>
              <w:jc w:val="left"/>
              <w:rPr>
                <w:lang w:val="en-US"/>
              </w:rPr>
            </w:pPr>
            <w:r w:rsidRPr="00CF77DB">
              <w:rPr>
                <w:lang w:val="en-US"/>
              </w:rPr>
              <w:t>3.1 Loopholes for landfilling - The DIIS allows far worse than best practice performance through the use of statements that provide loop-holes for unconstrained landfill including:</w:t>
            </w:r>
          </w:p>
          <w:p w:rsidR="00F852EF" w:rsidRPr="00CF77DB" w:rsidRDefault="00F852EF" w:rsidP="00F852EF">
            <w:pPr>
              <w:spacing w:before="120" w:after="120"/>
              <w:ind w:left="1440"/>
              <w:rPr>
                <w:lang w:val="en-US"/>
              </w:rPr>
            </w:pPr>
            <w:r w:rsidRPr="00CF77DB">
              <w:rPr>
                <w:i/>
                <w:lang w:val="en-US"/>
              </w:rPr>
              <w:t>Recyclers shall not use landfill, energy recovery or incineration as standard practice for disposal, unless the practice can be shown to be the most environmentally sound solution…</w:t>
            </w:r>
            <w:r w:rsidRPr="00CF77DB">
              <w:rPr>
                <w:lang w:val="en-US"/>
              </w:rPr>
              <w:t xml:space="preserve"> (p.15)</w:t>
            </w:r>
          </w:p>
          <w:p w:rsidR="00F852EF" w:rsidRPr="00CF77DB" w:rsidRDefault="00F852EF" w:rsidP="00F852EF">
            <w:pPr>
              <w:spacing w:before="120" w:after="120"/>
              <w:ind w:left="720"/>
              <w:rPr>
                <w:lang w:val="en-US"/>
              </w:rPr>
            </w:pPr>
            <w:r w:rsidRPr="00CF77DB">
              <w:rPr>
                <w:lang w:val="en-US"/>
              </w:rPr>
              <w:t xml:space="preserve">Here the DIIS provides no guidance or requirements on how landfill, energy recovery or incineration can be demonstrated to be the ‘most environmentally sound solution’, again leaving it open to misuse. As it is doubtful whether the demonstration of robust decision making and robust oversight of that decision making can be undertaken without adding </w:t>
            </w:r>
            <w:r w:rsidRPr="00CF77DB">
              <w:rPr>
                <w:lang w:val="en-US"/>
              </w:rPr>
              <w:lastRenderedPageBreak/>
              <w:t>significant costs, this statement should be deleted in favour of referencing specific requirements in the Table. Another statement from the DIIS that inappropriately allows loop-holes for recycling is:</w:t>
            </w:r>
          </w:p>
          <w:p w:rsidR="00F852EF" w:rsidRPr="00CF77DB" w:rsidRDefault="00F852EF" w:rsidP="00F852EF">
            <w:pPr>
              <w:spacing w:before="120" w:after="120"/>
              <w:ind w:left="1440"/>
              <w:rPr>
                <w:lang w:val="en-US"/>
              </w:rPr>
            </w:pPr>
            <w:r w:rsidRPr="00CF77DB">
              <w:rPr>
                <w:i/>
                <w:lang w:val="en-US"/>
              </w:rPr>
              <w:t>Components and materials arising from the processing of EOL Televisions and Computers shall only go to landfill where no economically viable recycling technology is available</w:t>
            </w:r>
            <w:r w:rsidRPr="00CF77DB">
              <w:rPr>
                <w:lang w:val="en-US"/>
              </w:rPr>
              <w:t>. (p.15)</w:t>
            </w:r>
          </w:p>
          <w:p w:rsidR="00F852EF" w:rsidRPr="00CF77DB" w:rsidRDefault="00F852EF" w:rsidP="00F852EF">
            <w:pPr>
              <w:spacing w:before="120" w:after="120"/>
              <w:ind w:left="720"/>
              <w:rPr>
                <w:lang w:val="en-US"/>
              </w:rPr>
            </w:pPr>
            <w:r w:rsidRPr="00CF77DB">
              <w:rPr>
                <w:lang w:val="en-US"/>
              </w:rPr>
              <w:t>The DIIS provides no means of evaluating what ‘economically viable’ means. Standard practice would require a cost-benefit analysis to establish the meaning of ‘economically viable’. Without explicit guidance and reporting requirements on what constitutes ‘economically viable’, the decision to landfill will be left to individual recyclers and PROs in commercial-in-confidence contracts. This could result in the potential disposal of any amount of materials without substantiation and without the knowledge of the consumers who are paying for it. This statement should therefore be deleted.</w:t>
            </w:r>
          </w:p>
          <w:p w:rsidR="00F852EF" w:rsidRPr="00CF77DB" w:rsidRDefault="00F852EF" w:rsidP="00F852EF">
            <w:pPr>
              <w:spacing w:before="120" w:after="120"/>
              <w:ind w:left="720"/>
              <w:rPr>
                <w:lang w:val="en-US"/>
              </w:rPr>
            </w:pPr>
            <w:r w:rsidRPr="00CF77DB">
              <w:rPr>
                <w:lang w:val="en-US"/>
              </w:rPr>
              <w:t>In the Table (pp. 16-17), landfill is rightly excluded as an option in most categories however it provides inappropriate loopholes in the following case:</w:t>
            </w:r>
          </w:p>
          <w:p w:rsidR="00F852EF" w:rsidRPr="00CF77DB" w:rsidRDefault="00F852EF" w:rsidP="00F852EF">
            <w:pPr>
              <w:spacing w:before="120" w:after="120"/>
              <w:ind w:left="1440"/>
              <w:rPr>
                <w:i/>
                <w:lang w:val="en-US"/>
              </w:rPr>
            </w:pPr>
            <w:r w:rsidRPr="00CF77DB">
              <w:rPr>
                <w:i/>
                <w:lang w:val="en-US"/>
              </w:rPr>
              <w:t>End of life Computers and Televisions…Not Acceptable: Landfill where components and materials are recoverable. (Row 1)</w:t>
            </w:r>
          </w:p>
          <w:p w:rsidR="00F852EF" w:rsidRPr="00CF77DB" w:rsidRDefault="00F852EF" w:rsidP="00F852EF">
            <w:pPr>
              <w:spacing w:before="120" w:after="120"/>
              <w:ind w:left="720"/>
              <w:rPr>
                <w:lang w:val="en-US"/>
              </w:rPr>
            </w:pPr>
            <w:r w:rsidRPr="00CF77DB">
              <w:rPr>
                <w:lang w:val="en-US"/>
              </w:rPr>
              <w:t xml:space="preserve">The statement could be used to justify inappropriate landfilling as there is no guidance on how ‘recoverable’ is to be determined. The Interim Standard should therefore instead specify what materials may be landfilled. According to current recyclers, this includes materials such as sticky labels, leather phone covers and blister packs. </w:t>
            </w:r>
          </w:p>
          <w:p w:rsidR="00F852EF" w:rsidRPr="00CF77DB" w:rsidRDefault="00F852EF" w:rsidP="00162446">
            <w:pPr>
              <w:numPr>
                <w:ilvl w:val="0"/>
                <w:numId w:val="93"/>
              </w:numPr>
              <w:spacing w:before="120" w:after="120"/>
              <w:jc w:val="left"/>
              <w:rPr>
                <w:lang w:val="en-US"/>
              </w:rPr>
            </w:pPr>
            <w:r w:rsidRPr="00CF77DB">
              <w:rPr>
                <w:lang w:val="en-US"/>
              </w:rPr>
              <w:t xml:space="preserve">3.2 Landfilling of BFR contaminated plastics - The DIIS currently allows for the landfilling of contaminated plastics through the absence of a ‘Not Acceptable’ listing in Row 8 of the Table. It also notes that ‘Any waste that is disposed of to landfill must be disposed of at a waste facility that is appropriately licensed under State or Local government legislation or regulations’ (p.11, 4.8). As noted above, disposal of contaminated plastics to landfill is unacceptable and well below best practice. A main recommendation of the Stockholm Convention’s POPs Review Committee is to reduce releases of PBDE from landfills by avoiding the landfilling of PBDE-containing materials. </w:t>
            </w:r>
          </w:p>
          <w:p w:rsidR="00F852EF" w:rsidRPr="00CF77DB" w:rsidRDefault="00F852EF" w:rsidP="00162446">
            <w:pPr>
              <w:numPr>
                <w:ilvl w:val="0"/>
                <w:numId w:val="93"/>
              </w:numPr>
              <w:spacing w:before="120" w:after="120"/>
              <w:jc w:val="left"/>
              <w:rPr>
                <w:lang w:val="en-US"/>
              </w:rPr>
            </w:pPr>
            <w:r w:rsidRPr="00CF77DB">
              <w:rPr>
                <w:lang w:val="en-US"/>
              </w:rPr>
              <w:t>3.3 Packaging waste - The main packaging components are cardboard, polystyrene and various plastics which can all be readily be recycled. This must be a minimum requirement of the Interim Standard.</w:t>
            </w:r>
            <w:r>
              <w:rPr>
                <w:lang w:val="en-US"/>
              </w:rPr>
              <w:t xml:space="preserve"> </w:t>
            </w:r>
            <w:r w:rsidRPr="00CF77DB">
              <w:rPr>
                <w:lang w:val="en-US"/>
              </w:rPr>
              <w:t xml:space="preserve">Almost all consumers would have confronted a confusing set of choices and while the residential sector can perform reasonably well this is not the case for the commercial sector. Nationally there is a high level of cardboard recycling but much less so for plastic. The Interim Standard and the future Australian Standard should seek to standardise material types to maximise recyclability in </w:t>
            </w:r>
            <w:smartTag w:uri="urn:schemas-microsoft-com:office:smarttags" w:element="place">
              <w:smartTag w:uri="urn:schemas-microsoft-com:office:smarttags" w:element="country-region">
                <w:r w:rsidRPr="00CF77DB">
                  <w:rPr>
                    <w:lang w:val="en-US"/>
                  </w:rPr>
                  <w:t>Australia</w:t>
                </w:r>
              </w:smartTag>
            </w:smartTag>
            <w:r w:rsidRPr="00CF77DB">
              <w:rPr>
                <w:lang w:val="en-US"/>
              </w:rPr>
              <w:t xml:space="preserve"> including application of sustainability guidelines under the Australian Packaging Covenant.</w:t>
            </w:r>
          </w:p>
          <w:p w:rsidR="00F852EF" w:rsidRPr="00CF77DB" w:rsidRDefault="00F852EF" w:rsidP="00162446">
            <w:pPr>
              <w:numPr>
                <w:ilvl w:val="0"/>
                <w:numId w:val="93"/>
              </w:numPr>
              <w:spacing w:before="120" w:after="120"/>
              <w:jc w:val="left"/>
              <w:rPr>
                <w:lang w:val="en-US"/>
              </w:rPr>
            </w:pPr>
            <w:r w:rsidRPr="00CF77DB">
              <w:rPr>
                <w:lang w:val="en-US"/>
              </w:rPr>
              <w:t xml:space="preserve">3.4 Disposal to Landfill - The DIIS states that ‘Any waste that is disposed of to landfill must be disposed of at a waste facility that is appropriately licensed under State or Local government legislation or regulations’. The Stockholm Convention’s POPs Review Committee has specifically recommended against any disposal to landfill of electronic waste containing BFRs and this should be recognized within the standard. </w:t>
            </w:r>
          </w:p>
          <w:p w:rsidR="00F852EF" w:rsidRPr="00CF77DB" w:rsidRDefault="00F852EF" w:rsidP="00162446">
            <w:pPr>
              <w:numPr>
                <w:ilvl w:val="0"/>
                <w:numId w:val="93"/>
              </w:numPr>
              <w:spacing w:before="120" w:after="120"/>
              <w:jc w:val="left"/>
              <w:rPr>
                <w:lang w:val="en-US"/>
              </w:rPr>
            </w:pPr>
            <w:r w:rsidRPr="00CF77DB">
              <w:rPr>
                <w:lang w:val="en-US"/>
              </w:rPr>
              <w:t xml:space="preserve">4. Incineration - </w:t>
            </w:r>
            <w:smartTag w:uri="urn:schemas-microsoft-com:office:smarttags" w:element="place">
              <w:smartTag w:uri="urn:schemas-microsoft-com:office:smarttags" w:element="country-region">
                <w:r w:rsidRPr="00CF77DB">
                  <w:rPr>
                    <w:lang w:val="en-US"/>
                  </w:rPr>
                  <w:t>Australia</w:t>
                </w:r>
              </w:smartTag>
            </w:smartTag>
            <w:r w:rsidRPr="00CF77DB">
              <w:rPr>
                <w:lang w:val="en-US"/>
              </w:rPr>
              <w:t xml:space="preserve"> does not have incineration capacity for hazardous waste, and incineration for municipal waste </w:t>
            </w:r>
            <w:r w:rsidRPr="00CF77DB">
              <w:rPr>
                <w:lang w:val="en-US"/>
              </w:rPr>
              <w:lastRenderedPageBreak/>
              <w:t>has not been practiced since the 1970s. Community opposition to the establishment of incinerators remains strong. In assessing community priorities, WA communities rated incineration, alongside landfill, the worst practice disposal.</w:t>
            </w:r>
            <w:r>
              <w:rPr>
                <w:lang w:val="en-US"/>
              </w:rPr>
              <w:t xml:space="preserve"> </w:t>
            </w:r>
          </w:p>
          <w:p w:rsidR="00F852EF" w:rsidRPr="00CF77DB" w:rsidRDefault="00F852EF" w:rsidP="00162446">
            <w:pPr>
              <w:numPr>
                <w:ilvl w:val="0"/>
                <w:numId w:val="93"/>
              </w:numPr>
              <w:spacing w:before="120" w:after="120"/>
              <w:jc w:val="left"/>
              <w:rPr>
                <w:lang w:val="en-US"/>
              </w:rPr>
            </w:pPr>
            <w:r w:rsidRPr="00CF77DB">
              <w:rPr>
                <w:lang w:val="en-US"/>
              </w:rPr>
              <w:t>4.1 Loop-holes for incineration - The DIIS inappropriately allows for well below best practice by allowing incineration. As noted above for landfill, the statement that ‘Recyclers shall not use landfill, energy recovery or incineration as standard practice for disposal, unless the practice can be shown to be the most environmentally sound solution…’ (p.15) leaves open the option for unconstrained amounts of incineration as there is no guidance or requirements on how incineration can be demonstrated to be the ‘most environmentally sound solution’. As it is doubtful whether the demonstration of robust decision making and oversight of such decision making can be undertaken without adding significant costs, this statement should be deleted.</w:t>
            </w:r>
          </w:p>
          <w:p w:rsidR="00F852EF" w:rsidRPr="00CF77DB" w:rsidRDefault="00F852EF" w:rsidP="00F852EF">
            <w:pPr>
              <w:spacing w:before="120" w:after="120"/>
              <w:ind w:left="720"/>
              <w:rPr>
                <w:lang w:val="en-US"/>
              </w:rPr>
            </w:pPr>
            <w:r w:rsidRPr="00CF77DB">
              <w:rPr>
                <w:lang w:val="en-US"/>
              </w:rPr>
              <w:t xml:space="preserve">Further, the Table contains internal contradictions on incineration. It appears that incineration for whole end-of-life televisions and computers is ‘Not Acceptable’ however the absence of mention of incineration as ‘Not Acceptable’ for individual components (except for Ink and Toner Cartridges – Row 7) leaves it unclear whether incineration is allowed or not under the DIIS. </w:t>
            </w:r>
          </w:p>
          <w:p w:rsidR="00F852EF" w:rsidRPr="00CF77DB" w:rsidRDefault="00F852EF" w:rsidP="00F852EF">
            <w:pPr>
              <w:spacing w:before="120" w:after="120"/>
              <w:ind w:left="720"/>
              <w:rPr>
                <w:lang w:val="en-US"/>
              </w:rPr>
            </w:pPr>
            <w:r w:rsidRPr="00CF77DB">
              <w:rPr>
                <w:lang w:val="en-US"/>
              </w:rPr>
              <w:t>Incineration should be clearly marked as ‘Not Acceptable’ for all components in the Table.</w:t>
            </w:r>
          </w:p>
          <w:p w:rsidR="00F852EF" w:rsidRPr="00CF77DB" w:rsidRDefault="00F852EF" w:rsidP="00162446">
            <w:pPr>
              <w:numPr>
                <w:ilvl w:val="0"/>
                <w:numId w:val="94"/>
              </w:numPr>
              <w:spacing w:before="120" w:after="120"/>
              <w:jc w:val="left"/>
              <w:rPr>
                <w:lang w:val="en-US"/>
              </w:rPr>
            </w:pPr>
            <w:r w:rsidRPr="00CF77DB">
              <w:rPr>
                <w:lang w:val="en-US"/>
              </w:rPr>
              <w:t xml:space="preserve">4.2 Incineration of Plastics - The DIIS Table explicitly – and inappropriately – allows the incineration of plastics (Row 8) on condition that such incineration has ‘proper controls to ensure Persistent Organic Pollutants (POPs) are within regulated limits’. </w:t>
            </w:r>
            <w:smartTag w:uri="urn:schemas-microsoft-com:office:smarttags" w:element="place">
              <w:smartTag w:uri="urn:schemas-microsoft-com:office:smarttags" w:element="country-region">
                <w:r w:rsidRPr="00CF77DB">
                  <w:rPr>
                    <w:lang w:val="en-US"/>
                  </w:rPr>
                  <w:t>Australia</w:t>
                </w:r>
              </w:smartTag>
            </w:smartTag>
            <w:r w:rsidRPr="00CF77DB">
              <w:rPr>
                <w:lang w:val="en-US"/>
              </w:rPr>
              <w:t xml:space="preserve"> does not have high temperature incineration for hazardous waste and is highly unlikely to have them in the future. It is also unlikely to be successful in exporting hazardous waste for final disposal, which is only allowed in exceptional circumstances under </w:t>
            </w:r>
            <w:smartTag w:uri="urn:schemas-microsoft-com:office:smarttags" w:element="place">
              <w:smartTag w:uri="urn:schemas-microsoft-com:office:smarttags" w:element="country-region">
                <w:r w:rsidRPr="00CF77DB">
                  <w:rPr>
                    <w:lang w:val="en-US"/>
                  </w:rPr>
                  <w:t>Australia</w:t>
                </w:r>
              </w:smartTag>
            </w:smartTag>
            <w:r w:rsidRPr="00CF77DB">
              <w:rPr>
                <w:lang w:val="en-US"/>
              </w:rPr>
              <w:t xml:space="preserve">’s </w:t>
            </w:r>
            <w:smartTag w:uri="urn:schemas-microsoft-com:office:smarttags" w:element="PersonName">
              <w:r w:rsidRPr="00CF77DB">
                <w:rPr>
                  <w:lang w:val="en-US"/>
                </w:rPr>
                <w:t>Hazardous Waste</w:t>
              </w:r>
            </w:smartTag>
            <w:r w:rsidRPr="00CF77DB">
              <w:rPr>
                <w:lang w:val="en-US"/>
              </w:rPr>
              <w:t xml:space="preserve"> Act and only to developed countries. Attempts at exporting POPs have already resulted in political stalemate.</w:t>
            </w:r>
            <w:r>
              <w:rPr>
                <w:lang w:val="en-US"/>
              </w:rPr>
              <w:t xml:space="preserve"> </w:t>
            </w:r>
            <w:r w:rsidRPr="00CF77DB">
              <w:rPr>
                <w:lang w:val="en-US"/>
              </w:rPr>
              <w:t xml:space="preserve">Acknowledgement of incineration as an option under the standard would prove to be impractical and counter productive to community support for the collection, recycling and sound management of electronic waste. As noted above, best practice for BFR contaminated plastic now includes identification, separation and treatment. </w:t>
            </w:r>
          </w:p>
          <w:p w:rsidR="00F852EF" w:rsidRPr="00CF77DB" w:rsidRDefault="00F852EF" w:rsidP="00162446">
            <w:pPr>
              <w:numPr>
                <w:ilvl w:val="0"/>
                <w:numId w:val="94"/>
              </w:numPr>
              <w:spacing w:before="120" w:after="120"/>
              <w:jc w:val="left"/>
              <w:rPr>
                <w:lang w:val="en-US"/>
              </w:rPr>
            </w:pPr>
            <w:r w:rsidRPr="00CF77DB">
              <w:rPr>
                <w:lang w:val="en-US"/>
              </w:rPr>
              <w:t>4.3 ‘Waste to Energy’ - It is inappropriate for the DIIS to allow for ‘waste to energy’ technologies. ‘Waste to energy’ projects for electronic waste are based on the incineration of BFR contaminated plastics. They result in the same formation and release of toxic emissions of polybrominated dibenzo-p-dioxins and dibenzofurans (PBDD/DFs) as does primary incineration. They produce similar profiles in toxic ash and are viewed by many in the community as a form of greenwash. In assessing PBDD/DF releases and worker exposure, researchers listed pyrolysis for fuel and Gasification, typical of waste to energy proposal as high emitters of these toxic emissions.</w:t>
            </w:r>
            <w:r>
              <w:rPr>
                <w:lang w:val="en-US"/>
              </w:rPr>
              <w:t xml:space="preserve"> </w:t>
            </w:r>
            <w:r w:rsidRPr="00CF77DB">
              <w:rPr>
                <w:lang w:val="en-US"/>
              </w:rPr>
              <w:t xml:space="preserve"> </w:t>
            </w:r>
          </w:p>
          <w:p w:rsidR="00F852EF" w:rsidRPr="00CF77DB" w:rsidRDefault="00F852EF" w:rsidP="00162446">
            <w:pPr>
              <w:numPr>
                <w:ilvl w:val="0"/>
                <w:numId w:val="94"/>
              </w:numPr>
              <w:spacing w:before="120" w:after="120"/>
              <w:jc w:val="left"/>
              <w:rPr>
                <w:lang w:val="en-US"/>
              </w:rPr>
            </w:pPr>
            <w:r w:rsidRPr="00CF77DB">
              <w:rPr>
                <w:lang w:val="en-US"/>
              </w:rPr>
              <w:t>5. Pyrometallurgy and hydrometallurgy - It is unacceptable to approve pyrometallurgical and hydrometallurgical processes without stipulating a minimum recovery rate of treated materials and minimum pollutant controls. A handful of best available technology (BAT) and best environmental practice (BEP) smelters may be able to achieve close to 90% recovery but most don’t, and some achieve as low as 30% recovery. Their effectiveness is impacted by numerous factors, including whether e-waste has been initially sorted by hand or machine.</w:t>
            </w:r>
          </w:p>
          <w:p w:rsidR="00F852EF" w:rsidRPr="00CF77DB" w:rsidRDefault="00F852EF" w:rsidP="00F852EF">
            <w:pPr>
              <w:spacing w:before="120" w:after="120"/>
              <w:ind w:left="720"/>
              <w:rPr>
                <w:lang w:val="en-US"/>
              </w:rPr>
            </w:pPr>
            <w:r w:rsidRPr="00CF77DB">
              <w:rPr>
                <w:lang w:val="en-US"/>
              </w:rPr>
              <w:lastRenderedPageBreak/>
              <w:t>For a range of metal industries (primary and secondary iron industry, copper and aluminium smelters) PBDE and PBDD/DF releases have been reported in the literature.</w:t>
            </w:r>
            <w:r>
              <w:rPr>
                <w:lang w:val="en-US"/>
              </w:rPr>
              <w:t xml:space="preserve"> </w:t>
            </w:r>
            <w:r w:rsidRPr="00CF77DB">
              <w:rPr>
                <w:lang w:val="en-US"/>
              </w:rPr>
              <w:t>As there have been no investigations to fully assess the composition of the input materials, it is not possible to model the mass balances or to calculate destruction efficiencies. In dedicated tests for treatment of PBDE/BFR containing printed wire boards in smelters, PCDD/DF levels were reported but there are no data on releases of PBDE/BFRs and PBDD/DF and mixed brominated-chlorinated PXDD/DF in the public domain.</w:t>
            </w:r>
            <w:r>
              <w:rPr>
                <w:lang w:val="en-US"/>
              </w:rPr>
              <w:t xml:space="preserve"> </w:t>
            </w:r>
            <w:r w:rsidRPr="00CF77DB">
              <w:rPr>
                <w:lang w:val="en-US"/>
              </w:rPr>
              <w:t>In assessing PBDD/DF exposure, researchers listed Copper Smelters (PWB), Antimony Smelters, Electric Arc, and Secondary Aluminium as high emitters. We note here the Stockholm Convention’s POPs RC recommendation that: “Medium-term activities should include further assessment and the production of BAT/BEP guidance by the Convention’s expert bodies including consideration of PBDE and PBDD/DF releases from smelters and other thermal recovery technologies including secondary metal industries, cement kilns, and feedstock recycling technologies.”</w:t>
            </w:r>
          </w:p>
          <w:p w:rsidR="00F852EF" w:rsidRPr="00CF77DB" w:rsidRDefault="00F852EF" w:rsidP="00162446">
            <w:pPr>
              <w:numPr>
                <w:ilvl w:val="0"/>
                <w:numId w:val="95"/>
              </w:numPr>
              <w:spacing w:before="120" w:after="120"/>
              <w:jc w:val="left"/>
              <w:rPr>
                <w:lang w:val="en-US"/>
              </w:rPr>
            </w:pPr>
            <w:r w:rsidRPr="00CF77DB">
              <w:rPr>
                <w:lang w:val="en-US"/>
              </w:rPr>
              <w:t>6. Ensuring highest resource use - As noted above, the DIIS guiding principle of ‘Ensuring that the highest resource value is maintained’ is good in theory but not applied in practice.</w:t>
            </w:r>
          </w:p>
          <w:p w:rsidR="00F852EF" w:rsidRPr="00CF77DB" w:rsidRDefault="00F852EF" w:rsidP="00162446">
            <w:pPr>
              <w:numPr>
                <w:ilvl w:val="0"/>
                <w:numId w:val="95"/>
              </w:numPr>
              <w:spacing w:before="120" w:after="120"/>
              <w:jc w:val="left"/>
              <w:rPr>
                <w:lang w:val="en-US"/>
              </w:rPr>
            </w:pPr>
            <w:r w:rsidRPr="00CF77DB">
              <w:rPr>
                <w:lang w:val="en-US"/>
              </w:rPr>
              <w:t>6.1 Shredding of whole computers and televisions in not acceptable -</w:t>
            </w:r>
            <w:r>
              <w:rPr>
                <w:lang w:val="en-US"/>
              </w:rPr>
              <w:t xml:space="preserve"> </w:t>
            </w:r>
            <w:r w:rsidRPr="00CF77DB">
              <w:rPr>
                <w:lang w:val="en-US"/>
              </w:rPr>
              <w:t>Current BAT Australian recycling achieves above 95% recovery through various levels of manual disassembly followed by mechanical processing.</w:t>
            </w:r>
            <w:r w:rsidRPr="00CF77DB">
              <w:rPr>
                <w:lang w:val="en-US"/>
              </w:rPr>
              <w:footnoteReference w:id="12"/>
            </w:r>
            <w:r w:rsidRPr="00CF77DB">
              <w:rPr>
                <w:lang w:val="en-US"/>
              </w:rPr>
              <w:t xml:space="preserve">, </w:t>
            </w:r>
            <w:r w:rsidRPr="00CF77DB">
              <w:rPr>
                <w:lang w:val="en-US"/>
              </w:rPr>
              <w:footnoteReference w:id="13"/>
            </w:r>
            <w:r w:rsidRPr="00CF77DB">
              <w:rPr>
                <w:lang w:val="en-US"/>
              </w:rPr>
              <w:t xml:space="preserve"> By comparison, processing e-waste through a simple metal shredder can only deliver around 80% recovery, with a significant contaminated residue of hazardous waste (‘shredder floc’) being dumped in landfill. It is therefore inappropriate to allow lower than a 90% recovery rate (excluding contaminated plastics).</w:t>
            </w:r>
          </w:p>
          <w:p w:rsidR="00F852EF" w:rsidRPr="00CF77DB" w:rsidRDefault="00F852EF" w:rsidP="00162446">
            <w:pPr>
              <w:numPr>
                <w:ilvl w:val="0"/>
                <w:numId w:val="95"/>
              </w:numPr>
              <w:spacing w:before="120" w:after="120"/>
              <w:jc w:val="left"/>
              <w:rPr>
                <w:lang w:val="en-US"/>
              </w:rPr>
            </w:pPr>
            <w:r w:rsidRPr="00CF77DB">
              <w:rPr>
                <w:lang w:val="en-US"/>
              </w:rPr>
              <w:t>6.2 Re-use and remanufacturing of computers for Australia - As the European Commission has recently noted, re-use provides significantly greater environmental and social benefits than recycling and has given effect to this through its proposal for a 5% re-use requirement in the Directive on Waste Electrical and Electronic Equipment (WEEE).</w:t>
            </w:r>
            <w:r>
              <w:rPr>
                <w:lang w:val="en-US"/>
              </w:rPr>
              <w:t xml:space="preserve"> </w:t>
            </w:r>
            <w:r w:rsidRPr="00CF77DB">
              <w:rPr>
                <w:lang w:val="en-US"/>
              </w:rPr>
              <w:t>Although the Interim Standard and the future Australian Standard are not tasked with setting this outcome, it is critical that they do not impede current re-use operations.</w:t>
            </w:r>
          </w:p>
          <w:p w:rsidR="00F852EF" w:rsidRPr="00CF77DB" w:rsidRDefault="00F852EF" w:rsidP="00F852EF">
            <w:pPr>
              <w:spacing w:before="120" w:after="120"/>
              <w:ind w:left="720"/>
              <w:rPr>
                <w:lang w:val="en-US"/>
              </w:rPr>
            </w:pPr>
            <w:r w:rsidRPr="00CF77DB">
              <w:rPr>
                <w:lang w:val="en-US"/>
              </w:rPr>
              <w:t>National Waste Policy goals also clearly and repeatedly state that re-use is a desirable outcome, including:</w:t>
            </w:r>
          </w:p>
          <w:p w:rsidR="00F852EF" w:rsidRPr="00CF77DB" w:rsidRDefault="00F852EF" w:rsidP="00F852EF">
            <w:pPr>
              <w:spacing w:before="120" w:after="120"/>
              <w:ind w:left="1440"/>
              <w:rPr>
                <w:lang w:val="en-US"/>
              </w:rPr>
            </w:pPr>
            <w:r w:rsidRPr="00CF77DB">
              <w:rPr>
                <w:i/>
                <w:lang w:val="en-US"/>
              </w:rPr>
              <w:t>The aims of the National Waste Policy will be to</w:t>
            </w:r>
            <w:r w:rsidRPr="00CF77DB">
              <w:rPr>
                <w:lang w:val="en-US"/>
              </w:rPr>
              <w:t>:</w:t>
            </w:r>
          </w:p>
          <w:p w:rsidR="00F852EF" w:rsidRPr="00CF77DB" w:rsidRDefault="00F852EF" w:rsidP="00F852EF">
            <w:pPr>
              <w:spacing w:before="120" w:after="120"/>
              <w:ind w:left="1440"/>
              <w:rPr>
                <w:lang w:val="en-US"/>
              </w:rPr>
            </w:pPr>
            <w:r w:rsidRPr="00CF77DB">
              <w:rPr>
                <w:i/>
                <w:lang w:val="en-US"/>
              </w:rPr>
              <w:t xml:space="preserve">avoid the generation of waste, reduce the amount of waste (including hazardous waste) for disposal, manage waste as a resource and ensure that waste treatment, disposal, recovery and </w:t>
            </w:r>
            <w:r w:rsidRPr="00CF77DB">
              <w:rPr>
                <w:b/>
                <w:i/>
                <w:lang w:val="en-US"/>
              </w:rPr>
              <w:t>re-use</w:t>
            </w:r>
            <w:r w:rsidRPr="00CF77DB">
              <w:rPr>
                <w:i/>
                <w:lang w:val="en-US"/>
              </w:rPr>
              <w:t xml:space="preserve"> is undertaken in a safe, scientific and environmentally sound manner…(</w:t>
            </w:r>
            <w:r w:rsidRPr="00CF77DB">
              <w:rPr>
                <w:lang w:val="en-US"/>
              </w:rPr>
              <w:t xml:space="preserve">bold added) </w:t>
            </w:r>
          </w:p>
          <w:p w:rsidR="00F852EF" w:rsidRPr="00CF77DB" w:rsidRDefault="00F852EF" w:rsidP="00F852EF">
            <w:pPr>
              <w:spacing w:before="120" w:after="120"/>
              <w:ind w:left="1440"/>
              <w:rPr>
                <w:lang w:val="en-US"/>
              </w:rPr>
            </w:pPr>
            <w:r w:rsidRPr="00CF77DB">
              <w:rPr>
                <w:i/>
                <w:lang w:val="en-US"/>
              </w:rPr>
              <w:t xml:space="preserve">Objective: Support waste avoidance, reduction, recovery </w:t>
            </w:r>
            <w:r w:rsidRPr="00CF77DB">
              <w:rPr>
                <w:b/>
                <w:i/>
                <w:lang w:val="en-US"/>
              </w:rPr>
              <w:t>and re-use</w:t>
            </w:r>
            <w:r w:rsidRPr="00CF77DB">
              <w:rPr>
                <w:i/>
                <w:lang w:val="en-US"/>
              </w:rPr>
              <w:t xml:space="preserve"> by addressing market impediments and removing red tape.</w:t>
            </w:r>
            <w:r>
              <w:rPr>
                <w:lang w:val="en-US"/>
              </w:rPr>
              <w:t xml:space="preserve"> </w:t>
            </w:r>
            <w:r w:rsidRPr="00CF77DB">
              <w:rPr>
                <w:lang w:val="en-US"/>
              </w:rPr>
              <w:t>(bold added)</w:t>
            </w:r>
          </w:p>
          <w:p w:rsidR="00F852EF" w:rsidRPr="00CF77DB" w:rsidRDefault="00F852EF" w:rsidP="00F852EF">
            <w:pPr>
              <w:spacing w:before="120" w:after="120"/>
              <w:ind w:left="720"/>
              <w:rPr>
                <w:lang w:val="en-US"/>
              </w:rPr>
            </w:pPr>
            <w:r w:rsidRPr="00CF77DB">
              <w:rPr>
                <w:lang w:val="en-US"/>
              </w:rPr>
              <w:t>Stated government legislation and policy is also clear in the objective to promote re-use and refurbishment, for example:</w:t>
            </w:r>
          </w:p>
          <w:p w:rsidR="00F852EF" w:rsidRPr="00CF77DB" w:rsidRDefault="00F852EF" w:rsidP="00162446">
            <w:pPr>
              <w:numPr>
                <w:ilvl w:val="1"/>
                <w:numId w:val="83"/>
              </w:numPr>
              <w:spacing w:before="120" w:after="120"/>
              <w:jc w:val="left"/>
              <w:rPr>
                <w:lang w:val="en-US"/>
              </w:rPr>
            </w:pPr>
            <w:smartTag w:uri="urn:schemas-microsoft-com:office:smarttags" w:element="place">
              <w:smartTag w:uri="urn:schemas-microsoft-com:office:smarttags" w:element="State">
                <w:r w:rsidRPr="00CF77DB">
                  <w:rPr>
                    <w:lang w:val="en-US"/>
                  </w:rPr>
                  <w:lastRenderedPageBreak/>
                  <w:t>Tasmania</w:t>
                </w:r>
              </w:smartTag>
            </w:smartTag>
            <w:r w:rsidRPr="00CF77DB">
              <w:rPr>
                <w:lang w:val="en-US"/>
              </w:rPr>
              <w:t xml:space="preserve">: Environmental Management and Pollution Control Act,1994 </w:t>
            </w:r>
          </w:p>
          <w:p w:rsidR="00F852EF" w:rsidRPr="00CF77DB" w:rsidRDefault="00F852EF" w:rsidP="00162446">
            <w:pPr>
              <w:numPr>
                <w:ilvl w:val="1"/>
                <w:numId w:val="83"/>
              </w:numPr>
              <w:spacing w:before="120" w:after="120"/>
              <w:jc w:val="left"/>
              <w:rPr>
                <w:lang w:val="en-US"/>
              </w:rPr>
            </w:pPr>
            <w:smartTag w:uri="urn:schemas-microsoft-com:office:smarttags" w:element="place">
              <w:smartTag w:uri="urn:schemas-microsoft-com:office:smarttags" w:element="State">
                <w:r w:rsidRPr="00CF77DB">
                  <w:rPr>
                    <w:lang w:val="en-US"/>
                  </w:rPr>
                  <w:t>South Australia</w:t>
                </w:r>
              </w:smartTag>
            </w:smartTag>
            <w:r w:rsidRPr="00CF77DB">
              <w:rPr>
                <w:lang w:val="en-US"/>
              </w:rPr>
              <w:t xml:space="preserve">: Environment Protection Act 1993 </w:t>
            </w:r>
          </w:p>
          <w:p w:rsidR="00F852EF" w:rsidRPr="00CF77DB" w:rsidRDefault="00F852EF" w:rsidP="00162446">
            <w:pPr>
              <w:numPr>
                <w:ilvl w:val="1"/>
                <w:numId w:val="83"/>
              </w:numPr>
              <w:spacing w:before="120" w:after="120"/>
              <w:jc w:val="left"/>
              <w:rPr>
                <w:lang w:val="en-US"/>
              </w:rPr>
            </w:pPr>
            <w:smartTag w:uri="urn:schemas-microsoft-com:office:smarttags" w:element="place">
              <w:smartTag w:uri="urn:schemas-microsoft-com:office:smarttags" w:element="State">
                <w:r w:rsidRPr="00CF77DB">
                  <w:rPr>
                    <w:lang w:val="en-US"/>
                  </w:rPr>
                  <w:t>New South Wales</w:t>
                </w:r>
              </w:smartTag>
            </w:smartTag>
            <w:r w:rsidRPr="00CF77DB">
              <w:rPr>
                <w:lang w:val="en-US"/>
              </w:rPr>
              <w:t xml:space="preserve">: Protection of the Environment Operations Act 1997 </w:t>
            </w:r>
          </w:p>
          <w:p w:rsidR="00F852EF" w:rsidRPr="00CF77DB" w:rsidRDefault="00F852EF" w:rsidP="00162446">
            <w:pPr>
              <w:numPr>
                <w:ilvl w:val="1"/>
                <w:numId w:val="83"/>
              </w:numPr>
              <w:spacing w:before="120" w:after="120"/>
              <w:jc w:val="left"/>
              <w:rPr>
                <w:lang w:val="en-US"/>
              </w:rPr>
            </w:pPr>
            <w:smartTag w:uri="urn:schemas-microsoft-com:office:smarttags" w:element="place">
              <w:smartTag w:uri="urn:schemas-microsoft-com:office:smarttags" w:element="State">
                <w:r w:rsidRPr="00CF77DB">
                  <w:rPr>
                    <w:lang w:val="en-US"/>
                  </w:rPr>
                  <w:t>New South Wales</w:t>
                </w:r>
              </w:smartTag>
            </w:smartTag>
            <w:r w:rsidRPr="00CF77DB">
              <w:rPr>
                <w:lang w:val="en-US"/>
              </w:rPr>
              <w:t xml:space="preserve">: Waste Avoidance and Resource Recovery Act 2001 </w:t>
            </w:r>
          </w:p>
          <w:p w:rsidR="00F852EF" w:rsidRPr="00CF77DB" w:rsidRDefault="00F852EF" w:rsidP="00F852EF">
            <w:pPr>
              <w:spacing w:before="120" w:after="120"/>
              <w:ind w:left="720"/>
              <w:rPr>
                <w:lang w:val="en-US"/>
              </w:rPr>
            </w:pPr>
            <w:r w:rsidRPr="00CF77DB">
              <w:rPr>
                <w:lang w:val="en-US"/>
              </w:rPr>
              <w:t>Policy objectives for the Television and Computer Product Stewardship Scheme which are aided by re-use and refurbishment include:</w:t>
            </w:r>
          </w:p>
          <w:p w:rsidR="00F852EF" w:rsidRPr="00CF77DB" w:rsidRDefault="00F852EF" w:rsidP="00162446">
            <w:pPr>
              <w:numPr>
                <w:ilvl w:val="1"/>
                <w:numId w:val="83"/>
              </w:numPr>
              <w:spacing w:before="120" w:after="120"/>
              <w:jc w:val="left"/>
              <w:rPr>
                <w:lang w:val="en-US"/>
              </w:rPr>
            </w:pPr>
            <w:r w:rsidRPr="00CF77DB">
              <w:rPr>
                <w:lang w:val="en-US"/>
              </w:rPr>
              <w:t>Conservation of non-renewable resources</w:t>
            </w:r>
          </w:p>
          <w:p w:rsidR="00F852EF" w:rsidRPr="00CF77DB" w:rsidRDefault="00F852EF" w:rsidP="00162446">
            <w:pPr>
              <w:numPr>
                <w:ilvl w:val="1"/>
                <w:numId w:val="83"/>
              </w:numPr>
              <w:spacing w:before="120" w:after="120"/>
              <w:jc w:val="left"/>
              <w:rPr>
                <w:lang w:val="en-US"/>
              </w:rPr>
            </w:pPr>
            <w:r w:rsidRPr="00CF77DB">
              <w:rPr>
                <w:lang w:val="en-US"/>
              </w:rPr>
              <w:t xml:space="preserve">Environmental impacts of landfill </w:t>
            </w:r>
          </w:p>
          <w:p w:rsidR="00F852EF" w:rsidRPr="00CF77DB" w:rsidRDefault="00F852EF" w:rsidP="00F852EF">
            <w:pPr>
              <w:spacing w:before="120" w:after="120"/>
              <w:ind w:left="720"/>
              <w:rPr>
                <w:lang w:val="en-US"/>
              </w:rPr>
            </w:pPr>
            <w:r w:rsidRPr="00CF77DB">
              <w:rPr>
                <w:lang w:val="en-US"/>
              </w:rPr>
              <w:t>These objectives are in line with the broader objectives of the 1992 COAG endorsed National Strategy for Ecologically Sustainable Development strategy, which include:</w:t>
            </w:r>
          </w:p>
          <w:p w:rsidR="00F852EF" w:rsidRPr="00CF77DB" w:rsidRDefault="00F852EF" w:rsidP="00162446">
            <w:pPr>
              <w:numPr>
                <w:ilvl w:val="1"/>
                <w:numId w:val="83"/>
              </w:numPr>
              <w:spacing w:before="120" w:after="120"/>
              <w:jc w:val="left"/>
              <w:rPr>
                <w:lang w:val="en-US"/>
              </w:rPr>
            </w:pPr>
            <w:r w:rsidRPr="00CF77DB">
              <w:rPr>
                <w:lang w:val="en-US"/>
              </w:rPr>
              <w:t>Improve the efficiency with which resources are used</w:t>
            </w:r>
          </w:p>
          <w:p w:rsidR="00F852EF" w:rsidRPr="00CF77DB" w:rsidRDefault="00F852EF" w:rsidP="00162446">
            <w:pPr>
              <w:numPr>
                <w:ilvl w:val="1"/>
                <w:numId w:val="83"/>
              </w:numPr>
              <w:spacing w:before="120" w:after="120"/>
              <w:jc w:val="left"/>
              <w:rPr>
                <w:lang w:val="en-US"/>
              </w:rPr>
            </w:pPr>
            <w:r w:rsidRPr="00CF77DB">
              <w:rPr>
                <w:lang w:val="en-US"/>
              </w:rPr>
              <w:t>Reduce the environmental impact of waste disposal</w:t>
            </w:r>
          </w:p>
          <w:p w:rsidR="00F852EF" w:rsidRPr="00CF77DB" w:rsidRDefault="00F852EF" w:rsidP="00F852EF">
            <w:pPr>
              <w:spacing w:before="120" w:after="120"/>
              <w:ind w:left="720"/>
              <w:rPr>
                <w:lang w:val="en-US"/>
              </w:rPr>
            </w:pPr>
            <w:r w:rsidRPr="00CF77DB">
              <w:rPr>
                <w:lang w:val="en-US"/>
              </w:rPr>
              <w:t>These also reflect two of the National Waste Policy’s six key areas:</w:t>
            </w:r>
          </w:p>
          <w:p w:rsidR="00F852EF" w:rsidRPr="00CF77DB" w:rsidRDefault="00F852EF" w:rsidP="00F852EF">
            <w:pPr>
              <w:spacing w:before="120" w:after="120"/>
              <w:ind w:left="1440"/>
              <w:rPr>
                <w:lang w:val="en-US"/>
              </w:rPr>
            </w:pPr>
            <w:r w:rsidRPr="00CF77DB">
              <w:rPr>
                <w:lang w:val="en-US"/>
              </w:rPr>
              <w:t>1. Taking responsibility - Shared responsibility for reducing the environmental, health and safety footprint of products and materials across the manufacture-supply-consumption chain and at end-of-life.</w:t>
            </w:r>
          </w:p>
          <w:p w:rsidR="00F852EF" w:rsidRPr="00CF77DB" w:rsidRDefault="00F852EF" w:rsidP="00F852EF">
            <w:pPr>
              <w:spacing w:before="120" w:after="120"/>
              <w:ind w:left="1440"/>
              <w:rPr>
                <w:lang w:val="en-US"/>
              </w:rPr>
            </w:pPr>
            <w:r w:rsidRPr="00CF77DB">
              <w:rPr>
                <w:lang w:val="en-US"/>
              </w:rPr>
              <w:t xml:space="preserve">and </w:t>
            </w:r>
          </w:p>
          <w:p w:rsidR="00F852EF" w:rsidRPr="00CF77DB" w:rsidRDefault="00F852EF" w:rsidP="00F852EF">
            <w:pPr>
              <w:spacing w:before="120" w:after="120"/>
              <w:ind w:left="1440"/>
              <w:rPr>
                <w:lang w:val="en-US"/>
              </w:rPr>
            </w:pPr>
            <w:r w:rsidRPr="00CF77DB">
              <w:rPr>
                <w:lang w:val="en-US"/>
              </w:rPr>
              <w:t>3. Pursuing sustainability - Less waste and improved use of waste to achieve broader environmental, social and economic benefits. Re-use and refurbishment contribute to the meeting of the above objectives by conserving resources, through:</w:t>
            </w:r>
          </w:p>
          <w:p w:rsidR="00F852EF" w:rsidRPr="00CF77DB" w:rsidRDefault="00F852EF" w:rsidP="00162446">
            <w:pPr>
              <w:numPr>
                <w:ilvl w:val="2"/>
                <w:numId w:val="83"/>
              </w:numPr>
              <w:spacing w:before="120" w:after="120"/>
              <w:jc w:val="left"/>
              <w:rPr>
                <w:lang w:val="en-US"/>
              </w:rPr>
            </w:pPr>
            <w:r w:rsidRPr="00CF77DB">
              <w:rPr>
                <w:lang w:val="en-US"/>
              </w:rPr>
              <w:t>Reducing the energy required for recycling</w:t>
            </w:r>
          </w:p>
          <w:p w:rsidR="00F852EF" w:rsidRPr="00CF77DB" w:rsidRDefault="00F852EF" w:rsidP="00162446">
            <w:pPr>
              <w:numPr>
                <w:ilvl w:val="2"/>
                <w:numId w:val="83"/>
              </w:numPr>
              <w:spacing w:before="120" w:after="120"/>
              <w:jc w:val="left"/>
              <w:rPr>
                <w:lang w:val="en-US"/>
              </w:rPr>
            </w:pPr>
            <w:r w:rsidRPr="00CF77DB">
              <w:rPr>
                <w:lang w:val="en-US"/>
              </w:rPr>
              <w:t>Reducing the use of water required for recycling</w:t>
            </w:r>
          </w:p>
          <w:p w:rsidR="00F852EF" w:rsidRPr="00CF77DB" w:rsidRDefault="00F852EF" w:rsidP="00162446">
            <w:pPr>
              <w:numPr>
                <w:ilvl w:val="2"/>
                <w:numId w:val="83"/>
              </w:numPr>
              <w:spacing w:before="120" w:after="120"/>
              <w:jc w:val="left"/>
              <w:rPr>
                <w:lang w:val="en-US"/>
              </w:rPr>
            </w:pPr>
            <w:r w:rsidRPr="00CF77DB">
              <w:rPr>
                <w:lang w:val="en-US"/>
              </w:rPr>
              <w:t>Reducing the loss of materials through recycling</w:t>
            </w:r>
          </w:p>
          <w:p w:rsidR="00F852EF" w:rsidRPr="00CF77DB" w:rsidRDefault="00F852EF" w:rsidP="00162446">
            <w:pPr>
              <w:numPr>
                <w:ilvl w:val="2"/>
                <w:numId w:val="83"/>
              </w:numPr>
              <w:spacing w:before="120" w:after="120"/>
              <w:jc w:val="left"/>
              <w:rPr>
                <w:lang w:val="en-US"/>
              </w:rPr>
            </w:pPr>
            <w:r w:rsidRPr="00CF77DB">
              <w:rPr>
                <w:lang w:val="en-US"/>
              </w:rPr>
              <w:t>Reducing greenhouse gas emission and other pollutants resulting from recycling</w:t>
            </w:r>
          </w:p>
          <w:p w:rsidR="00F852EF" w:rsidRPr="00CF77DB" w:rsidRDefault="00F852EF" w:rsidP="00F852EF">
            <w:pPr>
              <w:spacing w:before="120" w:after="120"/>
              <w:ind w:left="720"/>
              <w:rPr>
                <w:lang w:val="en-US"/>
              </w:rPr>
            </w:pPr>
            <w:r w:rsidRPr="00CF77DB">
              <w:rPr>
                <w:lang w:val="en-US"/>
              </w:rPr>
              <w:t xml:space="preserve">The DIIS, however, takes no position on the refurbishment or re-use of computers or computer component parts on the grounds that it only addresses ‘end-of-life’ equipment. This presents a risk that the DIIS and the future Australian Standard will adversely affect the potential to refurbish and re-use computer equipment by inadvertently collecting and processing these computers. This would result in the significant loss of embodied energy, embodied greenhouse emissions and other pollutants, materials and water resources. It is therefore necessary that the DIIS and the Australian Standard do not in any </w:t>
            </w:r>
            <w:r w:rsidRPr="00CF77DB">
              <w:rPr>
                <w:lang w:val="en-US"/>
              </w:rPr>
              <w:lastRenderedPageBreak/>
              <w:t>way impede the potential for re-use. As Hyder Consulting recently pointed out in relation to the Scheme’s impact on not-for-profit (NFP) refurbishers:</w:t>
            </w:r>
          </w:p>
          <w:p w:rsidR="00F852EF" w:rsidRPr="00CF77DB" w:rsidRDefault="00F852EF" w:rsidP="00F852EF">
            <w:pPr>
              <w:spacing w:before="120" w:after="120"/>
              <w:ind w:left="1440"/>
              <w:rPr>
                <w:i/>
                <w:lang w:val="en-US"/>
              </w:rPr>
            </w:pPr>
            <w:r w:rsidRPr="00CF77DB">
              <w:rPr>
                <w:i/>
                <w:lang w:val="en-US"/>
              </w:rPr>
              <w:t xml:space="preserve">The federal government needs to acknowledge that the participation of NFP agencies in e-waste management, in particular in the refurbishment of computers, leads to a better environmental outcome and has immense social benefits. To that end, the federal government needs to ensure that the product stewardship scheme does not create the perverse outcome of a reduction in the refurbishment of equipment, or a diminution in the involvement of NFP agencies in e-waste management. </w:t>
            </w:r>
          </w:p>
          <w:p w:rsidR="00F852EF" w:rsidRPr="00CF77DB" w:rsidRDefault="00F852EF" w:rsidP="00F852EF">
            <w:pPr>
              <w:spacing w:before="120" w:after="120"/>
              <w:ind w:left="720"/>
              <w:rPr>
                <w:lang w:val="en-US"/>
              </w:rPr>
            </w:pPr>
            <w:r w:rsidRPr="00CF77DB">
              <w:rPr>
                <w:lang w:val="en-US"/>
              </w:rPr>
              <w:t>A primary problem with the DIIS in this respect is that it presents no process by which to determine whether computers are in fact at ‘end-of-life’. While consumers may be the first decision makers about whether they no longer have a use for a product, they are not necessarily in the best position to determine whether or not it is actually at ‘end-of-life’. They should therefore not be the final decision makers on whether a computer is ‘end-of-life’ or not. A further problem with the DIIS is that it provides no guidance on how collectors should best handle computers that may potentially be re-used or refurbished.</w:t>
            </w:r>
          </w:p>
          <w:p w:rsidR="00F852EF" w:rsidRPr="00CF77DB" w:rsidRDefault="00F852EF" w:rsidP="00F852EF">
            <w:pPr>
              <w:spacing w:before="120" w:after="120"/>
              <w:ind w:left="720"/>
              <w:rPr>
                <w:lang w:val="en-US"/>
              </w:rPr>
            </w:pPr>
            <w:r w:rsidRPr="00CF77DB">
              <w:rPr>
                <w:lang w:val="en-US"/>
              </w:rPr>
              <w:t>One option would be for the DIIS to require collectors to store equipment in a way that does not diminish the potential for refurbishment or re-use of computers, and to allow NFP operators access to these sites.</w:t>
            </w:r>
          </w:p>
          <w:p w:rsidR="00F852EF" w:rsidRPr="00CF77DB" w:rsidRDefault="00F852EF" w:rsidP="00162446">
            <w:pPr>
              <w:numPr>
                <w:ilvl w:val="0"/>
                <w:numId w:val="92"/>
              </w:numPr>
              <w:spacing w:before="120" w:after="120"/>
              <w:jc w:val="left"/>
              <w:rPr>
                <w:lang w:val="en-US"/>
              </w:rPr>
            </w:pPr>
            <w:r w:rsidRPr="00CF77DB">
              <w:rPr>
                <w:lang w:val="en-US"/>
              </w:rPr>
              <w:t>6.3 Re-use for export - The export of used electronic goods has gained considerable attention from governments of developing countries in recent years.</w:t>
            </w:r>
            <w:r>
              <w:rPr>
                <w:lang w:val="en-US"/>
              </w:rPr>
              <w:t xml:space="preserve"> </w:t>
            </w:r>
            <w:r w:rsidRPr="00CF77DB">
              <w:rPr>
                <w:lang w:val="en-US"/>
              </w:rPr>
              <w:t>E-waste is the fastest growing waste stream in the world and is estimated to soon reach 50 million tons per year. E-waste was identified as an emerging issue for the International Conference on Chemical Management (ICCM2).</w:t>
            </w:r>
            <w:r>
              <w:rPr>
                <w:lang w:val="en-US"/>
              </w:rPr>
              <w:t xml:space="preserve"> </w:t>
            </w:r>
            <w:r w:rsidRPr="00CF77DB">
              <w:rPr>
                <w:lang w:val="en-US"/>
              </w:rPr>
              <w:t xml:space="preserve">In 2009-2010, African countries supported by the Asia Pacific and Central and Eastern European countries called on the global community to address the export of near end of life products, which in reality quickly become toxic wastes, which they are ill equipped to handle. While the domestic re-use of electronic goods may be a useful management option in some circumstances, export of these goods is not environmentally sound and should cease. </w:t>
            </w:r>
          </w:p>
          <w:p w:rsidR="00F852EF" w:rsidRPr="00CF77DB" w:rsidRDefault="00F852EF" w:rsidP="00162446">
            <w:pPr>
              <w:numPr>
                <w:ilvl w:val="0"/>
                <w:numId w:val="91"/>
              </w:numPr>
              <w:spacing w:before="120" w:after="120"/>
              <w:jc w:val="left"/>
              <w:rPr>
                <w:lang w:val="en-US"/>
              </w:rPr>
            </w:pPr>
            <w:r w:rsidRPr="00CF77DB">
              <w:rPr>
                <w:lang w:val="en-US"/>
              </w:rPr>
              <w:t xml:space="preserve">6.4 Separation of leaded and unleaded glass - As it is current best practice in Australia, separation of leaded and unleaded glass should become a requirement of the Interim Standard in order to operationalise the principle of ‘Ensuring that the highest resource value is maintained’. </w:t>
            </w:r>
          </w:p>
          <w:p w:rsidR="00F852EF" w:rsidRPr="00CF77DB" w:rsidRDefault="00F852EF" w:rsidP="00162446">
            <w:pPr>
              <w:numPr>
                <w:ilvl w:val="0"/>
                <w:numId w:val="90"/>
              </w:numPr>
              <w:spacing w:before="120" w:after="120"/>
              <w:jc w:val="left"/>
              <w:rPr>
                <w:lang w:val="en-US"/>
              </w:rPr>
            </w:pPr>
            <w:r w:rsidRPr="00CF77DB">
              <w:rPr>
                <w:lang w:val="en-US"/>
              </w:rPr>
              <w:t>6.5 Glass to glass recycling for CRTs - Glass to glass recycling for CRTs is another clear way in which the Interim Standard could operationalise the principle of ‘Ensuring that the highest resource value is maintained’. To do this lead smelting of CRTs should be ‘Not Acceptable’ process. Recycling through lead smelting currently achieves around 12% recovery.</w:t>
            </w:r>
            <w:r>
              <w:rPr>
                <w:lang w:val="en-US"/>
              </w:rPr>
              <w:t xml:space="preserve"> </w:t>
            </w:r>
            <w:r w:rsidRPr="00CF77DB">
              <w:rPr>
                <w:lang w:val="en-US"/>
              </w:rPr>
              <w:t>This is in contrast to processes which recycle CRTs into either new CRTs or glass for other uses that achieve an 84% recycling rate. It is clear that glass to glass recycling delivers significantly greater environmental benefit and should become a minimum requirement of the Interim Standard.</w:t>
            </w:r>
          </w:p>
          <w:p w:rsidR="00F852EF" w:rsidRPr="00CF77DB" w:rsidRDefault="00F852EF" w:rsidP="00162446">
            <w:pPr>
              <w:numPr>
                <w:ilvl w:val="0"/>
                <w:numId w:val="90"/>
              </w:numPr>
              <w:spacing w:before="120" w:after="120"/>
              <w:jc w:val="left"/>
              <w:rPr>
                <w:lang w:val="en-US"/>
              </w:rPr>
            </w:pPr>
            <w:r w:rsidRPr="00CF77DB">
              <w:rPr>
                <w:lang w:val="en-US"/>
              </w:rPr>
              <w:t>7. Targets and the Material Processing and End Use Acceptability Table (p.16-17) -</w:t>
            </w:r>
            <w:r>
              <w:rPr>
                <w:lang w:val="en-US"/>
              </w:rPr>
              <w:t xml:space="preserve"> </w:t>
            </w:r>
            <w:r w:rsidRPr="00CF77DB">
              <w:rPr>
                <w:lang w:val="en-US"/>
              </w:rPr>
              <w:t xml:space="preserve">The materials based approach taken provides a solid conceptual foundation for the recycling standard. However, to ensure recycler compliance and avoid the unnecessary downscaling of resources, an overall initial minimum recovery rate of 90% of received materials, excluding </w:t>
            </w:r>
            <w:r w:rsidRPr="00CF77DB">
              <w:rPr>
                <w:lang w:val="en-US"/>
              </w:rPr>
              <w:lastRenderedPageBreak/>
              <w:t>contaminated plastics and rising to 95% after 5 years, must also be applied.</w:t>
            </w:r>
            <w:r>
              <w:rPr>
                <w:lang w:val="en-US"/>
              </w:rPr>
              <w:t xml:space="preserve"> </w:t>
            </w:r>
            <w:r w:rsidRPr="00CF77DB">
              <w:rPr>
                <w:lang w:val="en-US"/>
              </w:rPr>
              <w:t xml:space="preserve"> The modified Table on the following page further clarifies the issues raised above and our recommendations are shown as track changes.</w:t>
            </w:r>
          </w:p>
          <w:tbl>
            <w:tblPr>
              <w:tblW w:w="10387" w:type="dxa"/>
              <w:jc w:val="center"/>
              <w:tblLook w:val="0000"/>
            </w:tblPr>
            <w:tblGrid>
              <w:gridCol w:w="1631"/>
              <w:gridCol w:w="2931"/>
              <w:gridCol w:w="2970"/>
              <w:gridCol w:w="2855"/>
            </w:tblGrid>
            <w:tr w:rsidR="00F852EF" w:rsidTr="00F852EF">
              <w:trPr>
                <w:trHeight w:val="685"/>
                <w:jc w:val="center"/>
              </w:trPr>
              <w:tc>
                <w:tcPr>
                  <w:tcW w:w="1631" w:type="dxa"/>
                  <w:tcBorders>
                    <w:top w:val="single" w:sz="12" w:space="0" w:color="000000"/>
                    <w:left w:val="single" w:sz="12" w:space="0" w:color="000000"/>
                    <w:bottom w:val="single" w:sz="12" w:space="0" w:color="000000"/>
                    <w:right w:val="single" w:sz="4" w:space="0" w:color="000000"/>
                  </w:tcBorders>
                  <w:shd w:val="clear" w:color="auto" w:fill="E6E6E6"/>
                  <w:vAlign w:val="center"/>
                </w:tcPr>
                <w:p w:rsidR="00F852EF" w:rsidRDefault="00F852EF" w:rsidP="00615F4B">
                  <w:pPr>
                    <w:pStyle w:val="Default"/>
                    <w:framePr w:hSpace="180" w:wrap="around" w:vAnchor="text" w:hAnchor="text" w:y="1"/>
                    <w:suppressOverlap/>
                    <w:rPr>
                      <w:sz w:val="20"/>
                      <w:szCs w:val="20"/>
                    </w:rPr>
                  </w:pPr>
                  <w:r>
                    <w:rPr>
                      <w:sz w:val="20"/>
                      <w:szCs w:val="20"/>
                    </w:rPr>
                    <w:t xml:space="preserve">Product / Material </w:t>
                  </w:r>
                </w:p>
              </w:tc>
              <w:tc>
                <w:tcPr>
                  <w:tcW w:w="2931" w:type="dxa"/>
                  <w:tcBorders>
                    <w:top w:val="single" w:sz="12" w:space="0" w:color="000000"/>
                    <w:left w:val="single" w:sz="4" w:space="0" w:color="000000"/>
                    <w:bottom w:val="single" w:sz="12" w:space="0" w:color="000000"/>
                    <w:right w:val="single" w:sz="4" w:space="0" w:color="000000"/>
                  </w:tcBorders>
                  <w:shd w:val="clear" w:color="auto" w:fill="E6E6E6"/>
                </w:tcPr>
                <w:p w:rsidR="00F852EF" w:rsidRDefault="00F852EF" w:rsidP="00615F4B">
                  <w:pPr>
                    <w:pStyle w:val="Default"/>
                    <w:framePr w:hSpace="180" w:wrap="around" w:vAnchor="text" w:hAnchor="text" w:y="1"/>
                    <w:suppressOverlap/>
                    <w:rPr>
                      <w:sz w:val="20"/>
                      <w:szCs w:val="20"/>
                    </w:rPr>
                  </w:pPr>
                  <w:r>
                    <w:rPr>
                      <w:sz w:val="20"/>
                      <w:szCs w:val="20"/>
                    </w:rPr>
                    <w:t xml:space="preserve">Minimum Acceptable Application </w:t>
                  </w:r>
                </w:p>
              </w:tc>
              <w:tc>
                <w:tcPr>
                  <w:tcW w:w="2970" w:type="dxa"/>
                  <w:tcBorders>
                    <w:top w:val="single" w:sz="12" w:space="0" w:color="000000"/>
                    <w:left w:val="single" w:sz="4" w:space="0" w:color="000000"/>
                    <w:bottom w:val="single" w:sz="12" w:space="0" w:color="000000"/>
                    <w:right w:val="single" w:sz="4" w:space="0" w:color="000000"/>
                  </w:tcBorders>
                  <w:shd w:val="clear" w:color="auto" w:fill="E6E6E6"/>
                  <w:vAlign w:val="center"/>
                </w:tcPr>
                <w:p w:rsidR="00F852EF" w:rsidRDefault="00F852EF" w:rsidP="00615F4B">
                  <w:pPr>
                    <w:pStyle w:val="Default"/>
                    <w:framePr w:hSpace="180" w:wrap="around" w:vAnchor="text" w:hAnchor="text" w:y="1"/>
                    <w:suppressOverlap/>
                    <w:rPr>
                      <w:sz w:val="20"/>
                      <w:szCs w:val="20"/>
                    </w:rPr>
                  </w:pPr>
                  <w:r>
                    <w:rPr>
                      <w:sz w:val="20"/>
                      <w:szCs w:val="20"/>
                    </w:rPr>
                    <w:t xml:space="preserve">Acceptable Process </w:t>
                  </w:r>
                </w:p>
              </w:tc>
              <w:tc>
                <w:tcPr>
                  <w:tcW w:w="2855" w:type="dxa"/>
                  <w:tcBorders>
                    <w:top w:val="single" w:sz="12" w:space="0" w:color="000000"/>
                    <w:left w:val="single" w:sz="4" w:space="0" w:color="000000"/>
                    <w:bottom w:val="single" w:sz="12" w:space="0" w:color="000000"/>
                    <w:right w:val="single" w:sz="12" w:space="0" w:color="000000"/>
                  </w:tcBorders>
                  <w:shd w:val="clear" w:color="auto" w:fill="E6E6E6"/>
                  <w:vAlign w:val="center"/>
                </w:tcPr>
                <w:p w:rsidR="00F852EF" w:rsidRDefault="00F852EF" w:rsidP="00615F4B">
                  <w:pPr>
                    <w:pStyle w:val="Default"/>
                    <w:framePr w:hSpace="180" w:wrap="around" w:vAnchor="text" w:hAnchor="text" w:y="1"/>
                    <w:suppressOverlap/>
                    <w:rPr>
                      <w:sz w:val="20"/>
                      <w:szCs w:val="20"/>
                    </w:rPr>
                  </w:pPr>
                  <w:r>
                    <w:rPr>
                      <w:sz w:val="20"/>
                      <w:szCs w:val="20"/>
                    </w:rPr>
                    <w:t xml:space="preserve">Not Acceptable </w:t>
                  </w:r>
                </w:p>
              </w:tc>
            </w:tr>
            <w:tr w:rsidR="00F852EF" w:rsidTr="00F852EF">
              <w:trPr>
                <w:trHeight w:val="1433"/>
                <w:jc w:val="center"/>
              </w:trPr>
              <w:tc>
                <w:tcPr>
                  <w:tcW w:w="1631" w:type="dxa"/>
                  <w:tcBorders>
                    <w:top w:val="single" w:sz="12" w:space="0" w:color="000000"/>
                    <w:left w:val="single" w:sz="12" w:space="0" w:color="000000"/>
                    <w:bottom w:val="single" w:sz="12" w:space="0" w:color="000000"/>
                    <w:right w:val="single" w:sz="4" w:space="0" w:color="000000"/>
                  </w:tcBorders>
                  <w:shd w:val="clear" w:color="auto" w:fill="F3F3F3"/>
                </w:tcPr>
                <w:p w:rsidR="00F852EF" w:rsidRDefault="00F852EF" w:rsidP="00615F4B">
                  <w:pPr>
                    <w:pStyle w:val="Default"/>
                    <w:framePr w:hSpace="180" w:wrap="around" w:vAnchor="text" w:hAnchor="text" w:y="1"/>
                    <w:suppressOverlap/>
                    <w:rPr>
                      <w:sz w:val="20"/>
                      <w:szCs w:val="20"/>
                    </w:rPr>
                  </w:pPr>
                  <w:r>
                    <w:rPr>
                      <w:sz w:val="20"/>
                      <w:szCs w:val="20"/>
                    </w:rPr>
                    <w:t xml:space="preserve">End of Life Computers and Televisions </w:t>
                  </w:r>
                </w:p>
              </w:tc>
              <w:tc>
                <w:tcPr>
                  <w:tcW w:w="2931" w:type="dxa"/>
                  <w:tcBorders>
                    <w:top w:val="single" w:sz="12" w:space="0" w:color="000000"/>
                    <w:left w:val="single" w:sz="4" w:space="0" w:color="000000"/>
                    <w:bottom w:val="single" w:sz="12" w:space="0" w:color="000000"/>
                    <w:right w:val="single" w:sz="4" w:space="0" w:color="000000"/>
                  </w:tcBorders>
                </w:tcPr>
                <w:p w:rsidR="00F852EF" w:rsidRDefault="00F852EF" w:rsidP="00615F4B">
                  <w:pPr>
                    <w:pStyle w:val="Default"/>
                    <w:framePr w:hSpace="180" w:wrap="around" w:vAnchor="text" w:hAnchor="text" w:y="1"/>
                    <w:suppressOverlap/>
                    <w:rPr>
                      <w:sz w:val="18"/>
                      <w:szCs w:val="18"/>
                    </w:rPr>
                  </w:pPr>
                  <w:r w:rsidRPr="00830435">
                    <w:rPr>
                      <w:color w:val="0000FF"/>
                      <w:sz w:val="18"/>
                      <w:szCs w:val="18"/>
                    </w:rPr>
                    <w:t>90% recovery rate, rising to 95% after 5 years</w:t>
                  </w:r>
                  <w:r>
                    <w:rPr>
                      <w:sz w:val="18"/>
                      <w:szCs w:val="18"/>
                    </w:rPr>
                    <w:t>.</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Material recovery</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 xml:space="preserve">Metals recovery </w:t>
                  </w:r>
                </w:p>
              </w:tc>
              <w:tc>
                <w:tcPr>
                  <w:tcW w:w="2970" w:type="dxa"/>
                  <w:tcBorders>
                    <w:top w:val="single" w:sz="12" w:space="0" w:color="000000"/>
                    <w:left w:val="single" w:sz="4" w:space="0" w:color="000000"/>
                    <w:bottom w:val="single" w:sz="12" w:space="0" w:color="000000"/>
                    <w:right w:val="single" w:sz="4" w:space="0" w:color="000000"/>
                  </w:tcBorders>
                </w:tcPr>
                <w:p w:rsidR="00F852EF" w:rsidRDefault="00F852EF" w:rsidP="00615F4B">
                  <w:pPr>
                    <w:pStyle w:val="Default"/>
                    <w:framePr w:hSpace="180" w:wrap="around" w:vAnchor="text" w:hAnchor="text" w:y="1"/>
                    <w:suppressOverlap/>
                    <w:rPr>
                      <w:sz w:val="18"/>
                      <w:szCs w:val="18"/>
                    </w:rPr>
                  </w:pPr>
                  <w:r>
                    <w:rPr>
                      <w:sz w:val="18"/>
                      <w:szCs w:val="18"/>
                    </w:rPr>
                    <w:t>Manual dismantling and sorting into major material categories</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 xml:space="preserve">Mechanical processing for dismantling and/or material separation with required dust collection &amp; operator protection </w:t>
                  </w:r>
                </w:p>
              </w:tc>
              <w:tc>
                <w:tcPr>
                  <w:tcW w:w="2855" w:type="dxa"/>
                  <w:tcBorders>
                    <w:top w:val="single" w:sz="12" w:space="0" w:color="000000"/>
                    <w:left w:val="single" w:sz="4" w:space="0" w:color="000000"/>
                    <w:bottom w:val="single" w:sz="12" w:space="0" w:color="000000"/>
                    <w:right w:val="single" w:sz="12" w:space="0" w:color="000000"/>
                  </w:tcBorders>
                </w:tcPr>
                <w:p w:rsidR="00F852EF" w:rsidRPr="00830435" w:rsidRDefault="00F852EF" w:rsidP="00615F4B">
                  <w:pPr>
                    <w:pStyle w:val="Default"/>
                    <w:framePr w:hSpace="180" w:wrap="around" w:vAnchor="text" w:hAnchor="text" w:y="1"/>
                    <w:suppressOverlap/>
                    <w:rPr>
                      <w:color w:val="auto"/>
                      <w:sz w:val="18"/>
                      <w:szCs w:val="18"/>
                    </w:rPr>
                  </w:pPr>
                  <w:r w:rsidRPr="00830435">
                    <w:rPr>
                      <w:color w:val="auto"/>
                      <w:sz w:val="18"/>
                      <w:szCs w:val="18"/>
                    </w:rPr>
                    <w:t xml:space="preserve">Landfill </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Incineration</w:t>
                  </w:r>
                </w:p>
                <w:p w:rsidR="00F852EF" w:rsidRDefault="00F852EF" w:rsidP="00615F4B">
                  <w:pPr>
                    <w:pStyle w:val="Default"/>
                    <w:framePr w:hSpace="180" w:wrap="around" w:vAnchor="text" w:hAnchor="text" w:y="1"/>
                    <w:suppressOverlap/>
                    <w:rPr>
                      <w:sz w:val="18"/>
                      <w:szCs w:val="18"/>
                    </w:rPr>
                  </w:pPr>
                </w:p>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Shredding of whole computers or televisions</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 xml:space="preserve">Dismantling using prison labour (note 1) </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 xml:space="preserve">Export to non OECD countries without the appropriate permit under the </w:t>
                  </w:r>
                  <w:smartTag w:uri="urn:schemas-microsoft-com:office:smarttags" w:element="PersonName">
                    <w:r>
                      <w:rPr>
                        <w:sz w:val="18"/>
                        <w:szCs w:val="18"/>
                      </w:rPr>
                      <w:t>Hazardous Waste</w:t>
                    </w:r>
                  </w:smartTag>
                  <w:r>
                    <w:rPr>
                      <w:sz w:val="18"/>
                      <w:szCs w:val="18"/>
                    </w:rPr>
                    <w:t xml:space="preserve"> (Regulation of Exports and Imports) Act</w:t>
                  </w:r>
                </w:p>
              </w:tc>
            </w:tr>
            <w:tr w:rsidR="00F852EF" w:rsidTr="00F852EF">
              <w:trPr>
                <w:trHeight w:val="1475"/>
                <w:jc w:val="center"/>
              </w:trPr>
              <w:tc>
                <w:tcPr>
                  <w:tcW w:w="1631" w:type="dxa"/>
                  <w:tcBorders>
                    <w:top w:val="single" w:sz="12" w:space="0" w:color="000000"/>
                    <w:left w:val="single" w:sz="12" w:space="0" w:color="000000"/>
                    <w:bottom w:val="single" w:sz="12" w:space="0" w:color="000000"/>
                    <w:right w:val="single" w:sz="2" w:space="0" w:color="000000"/>
                  </w:tcBorders>
                  <w:shd w:val="clear" w:color="auto" w:fill="F3F3F3"/>
                </w:tcPr>
                <w:p w:rsidR="00F852EF" w:rsidRDefault="00F852EF" w:rsidP="00615F4B">
                  <w:pPr>
                    <w:pStyle w:val="Default"/>
                    <w:framePr w:hSpace="180" w:wrap="around" w:vAnchor="text" w:hAnchor="text" w:y="1"/>
                    <w:suppressOverlap/>
                    <w:rPr>
                      <w:sz w:val="20"/>
                      <w:szCs w:val="20"/>
                    </w:rPr>
                  </w:pPr>
                  <w:r>
                    <w:rPr>
                      <w:sz w:val="20"/>
                      <w:szCs w:val="20"/>
                    </w:rPr>
                    <w:t xml:space="preserve">CRT Tubes, Leaded Plasma Display Glass, and Other Leaded Glass </w:t>
                  </w:r>
                </w:p>
              </w:tc>
              <w:tc>
                <w:tcPr>
                  <w:tcW w:w="2931" w:type="dxa"/>
                  <w:tcBorders>
                    <w:top w:val="single" w:sz="12" w:space="0" w:color="000000"/>
                    <w:left w:val="single" w:sz="2" w:space="0" w:color="000000"/>
                    <w:bottom w:val="single" w:sz="12" w:space="0" w:color="000000"/>
                    <w:right w:val="single" w:sz="2" w:space="0" w:color="000000"/>
                  </w:tcBorders>
                </w:tcPr>
                <w:p w:rsidR="00F852EF" w:rsidRDefault="00F852EF" w:rsidP="00615F4B">
                  <w:pPr>
                    <w:pStyle w:val="Default"/>
                    <w:framePr w:hSpace="180" w:wrap="around" w:vAnchor="text" w:hAnchor="text" w:y="1"/>
                    <w:suppressOverlap/>
                    <w:rPr>
                      <w:sz w:val="18"/>
                      <w:szCs w:val="18"/>
                    </w:rPr>
                  </w:pPr>
                  <w:r>
                    <w:rPr>
                      <w:sz w:val="18"/>
                      <w:szCs w:val="18"/>
                    </w:rPr>
                    <w:t>Glass product manufacturing</w:t>
                  </w:r>
                  <w:r>
                    <w:rPr>
                      <w:rStyle w:val="FootnoteReference"/>
                      <w:sz w:val="18"/>
                      <w:szCs w:val="18"/>
                    </w:rPr>
                    <w:footnoteReference w:id="14"/>
                  </w:r>
                  <w:r>
                    <w:rPr>
                      <w:sz w:val="18"/>
                      <w:szCs w:val="18"/>
                    </w:rPr>
                    <w:t xml:space="preserve"> </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sidRPr="00830435">
                    <w:rPr>
                      <w:color w:val="0000FF"/>
                      <w:sz w:val="18"/>
                      <w:szCs w:val="18"/>
                    </w:rPr>
                    <w:t>Separation of un-leaded and leaded glass</w:t>
                  </w:r>
                  <w:r>
                    <w:rPr>
                      <w:rStyle w:val="FootnoteReference"/>
                      <w:sz w:val="18"/>
                      <w:szCs w:val="18"/>
                    </w:rPr>
                    <w:footnoteReference w:id="15"/>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p>
              </w:tc>
              <w:tc>
                <w:tcPr>
                  <w:tcW w:w="2970" w:type="dxa"/>
                  <w:tcBorders>
                    <w:top w:val="single" w:sz="12" w:space="0" w:color="000000"/>
                    <w:left w:val="single" w:sz="2" w:space="0" w:color="000000"/>
                    <w:bottom w:val="single" w:sz="12" w:space="0" w:color="000000"/>
                    <w:right w:val="single" w:sz="2" w:space="0" w:color="000000"/>
                  </w:tcBorders>
                </w:tcPr>
                <w:p w:rsidR="00F852EF" w:rsidRDefault="00F852EF" w:rsidP="00615F4B">
                  <w:pPr>
                    <w:pStyle w:val="Default"/>
                    <w:framePr w:hSpace="180" w:wrap="around" w:vAnchor="text" w:hAnchor="text" w:y="1"/>
                    <w:suppressOverlap/>
                    <w:rPr>
                      <w:sz w:val="18"/>
                      <w:szCs w:val="18"/>
                    </w:rPr>
                  </w:pPr>
                  <w:r>
                    <w:rPr>
                      <w:sz w:val="18"/>
                      <w:szCs w:val="18"/>
                    </w:rPr>
                    <w:t xml:space="preserve">Mechanical cutting and crushing with required dust collection &amp; operator protection. </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p>
              </w:tc>
              <w:tc>
                <w:tcPr>
                  <w:tcW w:w="2855" w:type="dxa"/>
                  <w:tcBorders>
                    <w:top w:val="single" w:sz="12" w:space="0" w:color="000000"/>
                    <w:left w:val="single" w:sz="2" w:space="0" w:color="000000"/>
                    <w:bottom w:val="single" w:sz="12" w:space="0" w:color="000000"/>
                    <w:right w:val="single" w:sz="12" w:space="0" w:color="000000"/>
                  </w:tcBorders>
                </w:tcPr>
                <w:p w:rsidR="00F852EF" w:rsidRDefault="00F852EF" w:rsidP="00615F4B">
                  <w:pPr>
                    <w:pStyle w:val="Default"/>
                    <w:framePr w:hSpace="180" w:wrap="around" w:vAnchor="text" w:hAnchor="text" w:y="1"/>
                    <w:suppressOverlap/>
                    <w:rPr>
                      <w:sz w:val="18"/>
                      <w:szCs w:val="18"/>
                    </w:rPr>
                  </w:pPr>
                  <w:r>
                    <w:rPr>
                      <w:sz w:val="18"/>
                      <w:szCs w:val="18"/>
                    </w:rPr>
                    <w:t xml:space="preserve">Landfill </w:t>
                  </w:r>
                </w:p>
                <w:p w:rsidR="00F852EF" w:rsidRDefault="00F852EF" w:rsidP="00615F4B">
                  <w:pPr>
                    <w:pStyle w:val="Default"/>
                    <w:framePr w:hSpace="180" w:wrap="around" w:vAnchor="text" w:hAnchor="text" w:y="1"/>
                    <w:suppressOverlap/>
                    <w:rPr>
                      <w:sz w:val="18"/>
                      <w:szCs w:val="18"/>
                    </w:rPr>
                  </w:pPr>
                </w:p>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Incineration</w:t>
                  </w:r>
                </w:p>
                <w:p w:rsidR="00F852EF" w:rsidRPr="00830435" w:rsidRDefault="00F852EF" w:rsidP="00615F4B">
                  <w:pPr>
                    <w:pStyle w:val="Default"/>
                    <w:framePr w:hSpace="180" w:wrap="around" w:vAnchor="text" w:hAnchor="text" w:y="1"/>
                    <w:suppressOverlap/>
                    <w:rPr>
                      <w:color w:val="0000FF"/>
                      <w:sz w:val="18"/>
                      <w:szCs w:val="18"/>
                    </w:rPr>
                  </w:pPr>
                </w:p>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Lead smelting</w:t>
                  </w:r>
                </w:p>
                <w:p w:rsidR="00F852EF" w:rsidRPr="00830435" w:rsidRDefault="00F852EF" w:rsidP="00615F4B">
                  <w:pPr>
                    <w:pStyle w:val="Default"/>
                    <w:framePr w:hSpace="180" w:wrap="around" w:vAnchor="text" w:hAnchor="text" w:y="1"/>
                    <w:suppressOverlap/>
                    <w:rPr>
                      <w:color w:val="0000FF"/>
                      <w:sz w:val="18"/>
                      <w:szCs w:val="18"/>
                    </w:rPr>
                  </w:pPr>
                </w:p>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Use as sand substitute in smelter fluxing</w:t>
                  </w:r>
                  <w:r w:rsidRPr="00830435">
                    <w:rPr>
                      <w:rStyle w:val="FootnoteReference"/>
                      <w:color w:val="0000FF"/>
                      <w:sz w:val="18"/>
                      <w:szCs w:val="18"/>
                    </w:rPr>
                    <w:footnoteReference w:id="16"/>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Manual processing using prison labour (note 1)</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 xml:space="preserve">Export to non OECD countries without the appropriate permit under the </w:t>
                  </w:r>
                  <w:smartTag w:uri="urn:schemas-microsoft-com:office:smarttags" w:element="PersonName">
                    <w:r>
                      <w:rPr>
                        <w:sz w:val="18"/>
                        <w:szCs w:val="18"/>
                      </w:rPr>
                      <w:t>Hazardous Waste</w:t>
                    </w:r>
                  </w:smartTag>
                  <w:r>
                    <w:rPr>
                      <w:sz w:val="18"/>
                      <w:szCs w:val="18"/>
                    </w:rPr>
                    <w:t xml:space="preserve"> (Regulation of Exports and </w:t>
                  </w:r>
                  <w:r>
                    <w:rPr>
                      <w:sz w:val="18"/>
                      <w:szCs w:val="18"/>
                    </w:rPr>
                    <w:lastRenderedPageBreak/>
                    <w:t>Imports) Act</w:t>
                  </w:r>
                </w:p>
              </w:tc>
            </w:tr>
            <w:tr w:rsidR="00F852EF" w:rsidTr="00F852EF">
              <w:trPr>
                <w:trHeight w:val="1475"/>
                <w:jc w:val="center"/>
              </w:trPr>
              <w:tc>
                <w:tcPr>
                  <w:tcW w:w="1631" w:type="dxa"/>
                  <w:tcBorders>
                    <w:top w:val="single" w:sz="12" w:space="0" w:color="000000"/>
                    <w:left w:val="single" w:sz="12" w:space="0" w:color="000000"/>
                    <w:bottom w:val="single" w:sz="12" w:space="0" w:color="000000"/>
                    <w:right w:val="single" w:sz="4" w:space="0" w:color="000000"/>
                  </w:tcBorders>
                  <w:shd w:val="clear" w:color="auto" w:fill="F3F3F3"/>
                </w:tcPr>
                <w:p w:rsidR="00F852EF" w:rsidRDefault="00F852EF" w:rsidP="00615F4B">
                  <w:pPr>
                    <w:pStyle w:val="Default"/>
                    <w:framePr w:hSpace="180" w:wrap="around" w:vAnchor="text" w:hAnchor="text" w:y="1"/>
                    <w:suppressOverlap/>
                    <w:rPr>
                      <w:sz w:val="20"/>
                      <w:szCs w:val="20"/>
                    </w:rPr>
                  </w:pPr>
                  <w:r>
                    <w:rPr>
                      <w:sz w:val="20"/>
                      <w:szCs w:val="20"/>
                    </w:rPr>
                    <w:lastRenderedPageBreak/>
                    <w:t xml:space="preserve">Circuit Boards </w:t>
                  </w:r>
                </w:p>
              </w:tc>
              <w:tc>
                <w:tcPr>
                  <w:tcW w:w="2931" w:type="dxa"/>
                  <w:tcBorders>
                    <w:top w:val="single" w:sz="12" w:space="0" w:color="000000"/>
                    <w:left w:val="single" w:sz="4" w:space="0" w:color="000000"/>
                    <w:bottom w:val="single" w:sz="12" w:space="0" w:color="000000"/>
                    <w:right w:val="single" w:sz="4" w:space="0" w:color="000000"/>
                  </w:tcBorders>
                </w:tcPr>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Separation (manual or mechanical)</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 xml:space="preserve">Metal recovery Smelting </w:t>
                  </w:r>
                </w:p>
              </w:tc>
              <w:tc>
                <w:tcPr>
                  <w:tcW w:w="2970" w:type="dxa"/>
                  <w:tcBorders>
                    <w:top w:val="single" w:sz="12" w:space="0" w:color="000000"/>
                    <w:left w:val="single" w:sz="4" w:space="0" w:color="000000"/>
                    <w:bottom w:val="single" w:sz="12" w:space="0" w:color="000000"/>
                    <w:right w:val="single" w:sz="4" w:space="0" w:color="000000"/>
                  </w:tcBorders>
                </w:tcPr>
                <w:p w:rsidR="00F852EF" w:rsidRDefault="00F852EF" w:rsidP="00615F4B">
                  <w:pPr>
                    <w:pStyle w:val="Default"/>
                    <w:framePr w:hSpace="180" w:wrap="around" w:vAnchor="text" w:hAnchor="text" w:y="1"/>
                    <w:suppressOverlap/>
                    <w:rPr>
                      <w:sz w:val="18"/>
                      <w:szCs w:val="18"/>
                    </w:rPr>
                  </w:pPr>
                  <w:r>
                    <w:rPr>
                      <w:sz w:val="18"/>
                      <w:szCs w:val="18"/>
                    </w:rPr>
                    <w:t xml:space="preserve">Manual processing </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 xml:space="preserve">Mechanical processing with dust collection and operator protection. </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 xml:space="preserve">Smelting complete boards </w:t>
                  </w:r>
                </w:p>
              </w:tc>
              <w:tc>
                <w:tcPr>
                  <w:tcW w:w="2855" w:type="dxa"/>
                  <w:tcBorders>
                    <w:top w:val="single" w:sz="12" w:space="0" w:color="000000"/>
                    <w:left w:val="single" w:sz="4" w:space="0" w:color="000000"/>
                    <w:bottom w:val="single" w:sz="12" w:space="0" w:color="000000"/>
                    <w:right w:val="single" w:sz="12" w:space="0" w:color="000000"/>
                  </w:tcBorders>
                </w:tcPr>
                <w:p w:rsidR="00F852EF" w:rsidRDefault="00F852EF" w:rsidP="00615F4B">
                  <w:pPr>
                    <w:pStyle w:val="Default"/>
                    <w:framePr w:hSpace="180" w:wrap="around" w:vAnchor="text" w:hAnchor="text" w:y="1"/>
                    <w:suppressOverlap/>
                    <w:rPr>
                      <w:sz w:val="18"/>
                      <w:szCs w:val="18"/>
                    </w:rPr>
                  </w:pPr>
                  <w:r>
                    <w:rPr>
                      <w:sz w:val="18"/>
                      <w:szCs w:val="18"/>
                    </w:rPr>
                    <w:t xml:space="preserve">Landfill </w:t>
                  </w:r>
                </w:p>
                <w:p w:rsidR="00F852EF" w:rsidRDefault="00F852EF" w:rsidP="00615F4B">
                  <w:pPr>
                    <w:pStyle w:val="Default"/>
                    <w:framePr w:hSpace="180" w:wrap="around" w:vAnchor="text" w:hAnchor="text" w:y="1"/>
                    <w:suppressOverlap/>
                    <w:rPr>
                      <w:sz w:val="18"/>
                      <w:szCs w:val="18"/>
                    </w:rPr>
                  </w:pPr>
                </w:p>
                <w:p w:rsidR="00F852EF" w:rsidRPr="00830435" w:rsidRDefault="00F852EF" w:rsidP="00615F4B">
                  <w:pPr>
                    <w:pStyle w:val="Default"/>
                    <w:framePr w:hSpace="180" w:wrap="around" w:vAnchor="text" w:hAnchor="text" w:y="1"/>
                    <w:suppressOverlap/>
                    <w:rPr>
                      <w:color w:val="auto"/>
                      <w:sz w:val="18"/>
                      <w:szCs w:val="18"/>
                    </w:rPr>
                  </w:pPr>
                  <w:r w:rsidRPr="00830435">
                    <w:rPr>
                      <w:color w:val="auto"/>
                      <w:sz w:val="18"/>
                      <w:szCs w:val="18"/>
                    </w:rPr>
                    <w:t>Incineration</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Manual processing using prison labour (note 1)</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 xml:space="preserve">Export to non OECD countries without the appropriate permit under the </w:t>
                  </w:r>
                  <w:smartTag w:uri="urn:schemas-microsoft-com:office:smarttags" w:element="PersonName">
                    <w:r>
                      <w:rPr>
                        <w:sz w:val="18"/>
                        <w:szCs w:val="18"/>
                      </w:rPr>
                      <w:t>Hazardous Waste</w:t>
                    </w:r>
                  </w:smartTag>
                  <w:r>
                    <w:rPr>
                      <w:sz w:val="18"/>
                      <w:szCs w:val="18"/>
                    </w:rPr>
                    <w:t xml:space="preserve"> (Regulation of Exports and Imports) Act</w:t>
                  </w:r>
                </w:p>
              </w:tc>
            </w:tr>
            <w:tr w:rsidR="00F852EF" w:rsidTr="00F852EF">
              <w:trPr>
                <w:trHeight w:val="570"/>
                <w:jc w:val="center"/>
              </w:trPr>
              <w:tc>
                <w:tcPr>
                  <w:tcW w:w="1631" w:type="dxa"/>
                  <w:tcBorders>
                    <w:top w:val="single" w:sz="12" w:space="0" w:color="000000"/>
                    <w:left w:val="single" w:sz="12" w:space="0" w:color="000000"/>
                    <w:bottom w:val="single" w:sz="12" w:space="0" w:color="000000"/>
                    <w:right w:val="single" w:sz="2" w:space="0" w:color="000000"/>
                  </w:tcBorders>
                  <w:shd w:val="clear" w:color="auto" w:fill="F3F3F3"/>
                </w:tcPr>
                <w:p w:rsidR="00F852EF" w:rsidRDefault="00F852EF" w:rsidP="00615F4B">
                  <w:pPr>
                    <w:pStyle w:val="Default"/>
                    <w:framePr w:hSpace="180" w:wrap="around" w:vAnchor="text" w:hAnchor="text" w:y="1"/>
                    <w:suppressOverlap/>
                    <w:rPr>
                      <w:sz w:val="20"/>
                      <w:szCs w:val="20"/>
                    </w:rPr>
                  </w:pPr>
                  <w:r>
                    <w:rPr>
                      <w:sz w:val="20"/>
                      <w:szCs w:val="20"/>
                    </w:rPr>
                    <w:t xml:space="preserve">Cable and Wires </w:t>
                  </w:r>
                </w:p>
              </w:tc>
              <w:tc>
                <w:tcPr>
                  <w:tcW w:w="2931" w:type="dxa"/>
                  <w:tcBorders>
                    <w:top w:val="single" w:sz="12" w:space="0" w:color="000000"/>
                    <w:left w:val="single" w:sz="2" w:space="0" w:color="000000"/>
                    <w:bottom w:val="single" w:sz="12" w:space="0" w:color="000000"/>
                    <w:right w:val="single" w:sz="2" w:space="0" w:color="000000"/>
                  </w:tcBorders>
                  <w:vAlign w:val="center"/>
                </w:tcPr>
                <w:p w:rsidR="00F852EF" w:rsidRDefault="00F852EF" w:rsidP="00615F4B">
                  <w:pPr>
                    <w:pStyle w:val="Default"/>
                    <w:framePr w:hSpace="180" w:wrap="around" w:vAnchor="text" w:hAnchor="text" w:y="1"/>
                    <w:suppressOverlap/>
                    <w:rPr>
                      <w:sz w:val="18"/>
                      <w:szCs w:val="18"/>
                    </w:rPr>
                  </w:pPr>
                  <w:r>
                    <w:rPr>
                      <w:sz w:val="18"/>
                      <w:szCs w:val="18"/>
                    </w:rPr>
                    <w:t xml:space="preserve">Metal recovery </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 xml:space="preserve">Smelting </w:t>
                  </w:r>
                </w:p>
              </w:tc>
              <w:tc>
                <w:tcPr>
                  <w:tcW w:w="2970" w:type="dxa"/>
                  <w:tcBorders>
                    <w:top w:val="single" w:sz="12" w:space="0" w:color="000000"/>
                    <w:left w:val="single" w:sz="2" w:space="0" w:color="000000"/>
                    <w:bottom w:val="single" w:sz="12" w:space="0" w:color="000000"/>
                    <w:right w:val="single" w:sz="2" w:space="0" w:color="000000"/>
                  </w:tcBorders>
                  <w:vAlign w:val="center"/>
                </w:tcPr>
                <w:p w:rsidR="00F852EF" w:rsidRPr="00830435" w:rsidRDefault="00F852EF" w:rsidP="00615F4B">
                  <w:pPr>
                    <w:pStyle w:val="Default"/>
                    <w:framePr w:hSpace="180" w:wrap="around" w:vAnchor="text" w:hAnchor="text" w:y="1"/>
                    <w:suppressOverlap/>
                    <w:rPr>
                      <w:color w:val="auto"/>
                      <w:sz w:val="18"/>
                      <w:szCs w:val="18"/>
                    </w:rPr>
                  </w:pPr>
                  <w:r w:rsidRPr="00830435">
                    <w:rPr>
                      <w:color w:val="auto"/>
                      <w:sz w:val="18"/>
                      <w:szCs w:val="18"/>
                    </w:rPr>
                    <w:t xml:space="preserve">Manual or mechanical processing </w:t>
                  </w:r>
                </w:p>
                <w:p w:rsidR="00F852EF" w:rsidRPr="00830435" w:rsidRDefault="00F852EF" w:rsidP="00615F4B">
                  <w:pPr>
                    <w:pStyle w:val="Default"/>
                    <w:framePr w:hSpace="180" w:wrap="around" w:vAnchor="text" w:hAnchor="text" w:y="1"/>
                    <w:suppressOverlap/>
                    <w:rPr>
                      <w:color w:val="auto"/>
                      <w:sz w:val="18"/>
                      <w:szCs w:val="18"/>
                    </w:rPr>
                  </w:pPr>
                </w:p>
                <w:p w:rsidR="00F852EF" w:rsidRPr="00830435" w:rsidRDefault="00F852EF" w:rsidP="00615F4B">
                  <w:pPr>
                    <w:pStyle w:val="Default"/>
                    <w:framePr w:hSpace="180" w:wrap="around" w:vAnchor="text" w:hAnchor="text" w:y="1"/>
                    <w:suppressOverlap/>
                    <w:rPr>
                      <w:color w:val="auto"/>
                      <w:sz w:val="18"/>
                      <w:szCs w:val="18"/>
                    </w:rPr>
                  </w:pPr>
                  <w:r w:rsidRPr="00830435">
                    <w:rPr>
                      <w:color w:val="auto"/>
                      <w:sz w:val="18"/>
                      <w:szCs w:val="18"/>
                    </w:rPr>
                    <w:t xml:space="preserve">Smelting </w:t>
                  </w:r>
                </w:p>
              </w:tc>
              <w:tc>
                <w:tcPr>
                  <w:tcW w:w="2855" w:type="dxa"/>
                  <w:tcBorders>
                    <w:top w:val="single" w:sz="12" w:space="0" w:color="000000"/>
                    <w:left w:val="single" w:sz="2" w:space="0" w:color="000000"/>
                    <w:bottom w:val="single" w:sz="12" w:space="0" w:color="000000"/>
                    <w:right w:val="single" w:sz="12" w:space="0" w:color="000000"/>
                  </w:tcBorders>
                  <w:vAlign w:val="center"/>
                </w:tcPr>
                <w:p w:rsidR="00F852EF" w:rsidRPr="00830435" w:rsidRDefault="00F852EF" w:rsidP="00615F4B">
                  <w:pPr>
                    <w:pStyle w:val="Default"/>
                    <w:framePr w:hSpace="180" w:wrap="around" w:vAnchor="text" w:hAnchor="text" w:y="1"/>
                    <w:suppressOverlap/>
                    <w:rPr>
                      <w:color w:val="auto"/>
                      <w:sz w:val="18"/>
                      <w:szCs w:val="18"/>
                    </w:rPr>
                  </w:pPr>
                  <w:r w:rsidRPr="00830435">
                    <w:rPr>
                      <w:color w:val="auto"/>
                      <w:sz w:val="18"/>
                      <w:szCs w:val="18"/>
                    </w:rPr>
                    <w:t xml:space="preserve">Landfill </w:t>
                  </w:r>
                </w:p>
                <w:p w:rsidR="00F852EF" w:rsidRPr="00830435" w:rsidRDefault="00F852EF" w:rsidP="00615F4B">
                  <w:pPr>
                    <w:pStyle w:val="Default"/>
                    <w:framePr w:hSpace="180" w:wrap="around" w:vAnchor="text" w:hAnchor="text" w:y="1"/>
                    <w:suppressOverlap/>
                    <w:rPr>
                      <w:color w:val="auto"/>
                      <w:sz w:val="18"/>
                      <w:szCs w:val="18"/>
                    </w:rPr>
                  </w:pPr>
                </w:p>
                <w:p w:rsidR="00F852EF" w:rsidRPr="00830435" w:rsidRDefault="00F852EF" w:rsidP="00615F4B">
                  <w:pPr>
                    <w:pStyle w:val="Default"/>
                    <w:framePr w:hSpace="180" w:wrap="around" w:vAnchor="text" w:hAnchor="text" w:y="1"/>
                    <w:suppressOverlap/>
                    <w:rPr>
                      <w:color w:val="auto"/>
                      <w:sz w:val="18"/>
                      <w:szCs w:val="18"/>
                    </w:rPr>
                  </w:pPr>
                  <w:r w:rsidRPr="00830435">
                    <w:rPr>
                      <w:color w:val="auto"/>
                      <w:sz w:val="18"/>
                      <w:szCs w:val="18"/>
                    </w:rPr>
                    <w:t>Incineration</w:t>
                  </w:r>
                </w:p>
                <w:p w:rsidR="00F852EF" w:rsidRPr="00830435" w:rsidRDefault="00F852EF" w:rsidP="00615F4B">
                  <w:pPr>
                    <w:pStyle w:val="Default"/>
                    <w:framePr w:hSpace="180" w:wrap="around" w:vAnchor="text" w:hAnchor="text" w:y="1"/>
                    <w:suppressOverlap/>
                    <w:rPr>
                      <w:color w:val="auto"/>
                      <w:sz w:val="18"/>
                      <w:szCs w:val="18"/>
                    </w:rPr>
                  </w:pPr>
                </w:p>
              </w:tc>
            </w:tr>
            <w:tr w:rsidR="00F852EF" w:rsidTr="00F852EF">
              <w:trPr>
                <w:trHeight w:val="568"/>
                <w:jc w:val="center"/>
              </w:trPr>
              <w:tc>
                <w:tcPr>
                  <w:tcW w:w="1631" w:type="dxa"/>
                  <w:tcBorders>
                    <w:top w:val="single" w:sz="12" w:space="0" w:color="000000"/>
                    <w:left w:val="single" w:sz="12" w:space="0" w:color="000000"/>
                    <w:bottom w:val="single" w:sz="12" w:space="0" w:color="000000"/>
                    <w:right w:val="single" w:sz="2" w:space="0" w:color="000000"/>
                  </w:tcBorders>
                  <w:shd w:val="clear" w:color="auto" w:fill="F3F3F3"/>
                </w:tcPr>
                <w:p w:rsidR="00F852EF" w:rsidRDefault="00F852EF" w:rsidP="00615F4B">
                  <w:pPr>
                    <w:pStyle w:val="Default"/>
                    <w:framePr w:hSpace="180" w:wrap="around" w:vAnchor="text" w:hAnchor="text" w:y="1"/>
                    <w:suppressOverlap/>
                    <w:rPr>
                      <w:sz w:val="20"/>
                      <w:szCs w:val="20"/>
                    </w:rPr>
                  </w:pPr>
                  <w:r>
                    <w:rPr>
                      <w:sz w:val="20"/>
                      <w:szCs w:val="20"/>
                    </w:rPr>
                    <w:t xml:space="preserve">Batteries </w:t>
                  </w:r>
                </w:p>
              </w:tc>
              <w:tc>
                <w:tcPr>
                  <w:tcW w:w="2931" w:type="dxa"/>
                  <w:tcBorders>
                    <w:top w:val="single" w:sz="12" w:space="0" w:color="000000"/>
                    <w:left w:val="single" w:sz="2" w:space="0" w:color="000000"/>
                    <w:bottom w:val="single" w:sz="12" w:space="0" w:color="000000"/>
                    <w:right w:val="single" w:sz="2" w:space="0" w:color="000000"/>
                  </w:tcBorders>
                </w:tcPr>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Extract from whole units</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 xml:space="preserve">Metal recovery </w:t>
                  </w:r>
                </w:p>
              </w:tc>
              <w:tc>
                <w:tcPr>
                  <w:tcW w:w="2970" w:type="dxa"/>
                  <w:tcBorders>
                    <w:top w:val="single" w:sz="12" w:space="0" w:color="000000"/>
                    <w:left w:val="single" w:sz="2" w:space="0" w:color="000000"/>
                    <w:bottom w:val="single" w:sz="12" w:space="0" w:color="000000"/>
                    <w:right w:val="single" w:sz="2" w:space="0" w:color="000000"/>
                  </w:tcBorders>
                  <w:vAlign w:val="center"/>
                </w:tcPr>
                <w:p w:rsidR="00F852EF" w:rsidRDefault="00F852EF" w:rsidP="00615F4B">
                  <w:pPr>
                    <w:pStyle w:val="Default"/>
                    <w:framePr w:hSpace="180" w:wrap="around" w:vAnchor="text" w:hAnchor="text" w:y="1"/>
                    <w:suppressOverlap/>
                    <w:rPr>
                      <w:sz w:val="18"/>
                      <w:szCs w:val="18"/>
                    </w:rPr>
                  </w:pPr>
                  <w:r>
                    <w:rPr>
                      <w:sz w:val="18"/>
                      <w:szCs w:val="18"/>
                    </w:rPr>
                    <w:t xml:space="preserve">Manual or mechanical processing </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 xml:space="preserve">Smelting </w:t>
                  </w:r>
                </w:p>
              </w:tc>
              <w:tc>
                <w:tcPr>
                  <w:tcW w:w="2855" w:type="dxa"/>
                  <w:tcBorders>
                    <w:top w:val="single" w:sz="12" w:space="0" w:color="000000"/>
                    <w:left w:val="single" w:sz="2" w:space="0" w:color="000000"/>
                    <w:bottom w:val="single" w:sz="12" w:space="0" w:color="000000"/>
                    <w:right w:val="single" w:sz="12" w:space="0" w:color="000000"/>
                  </w:tcBorders>
                  <w:vAlign w:val="center"/>
                </w:tcPr>
                <w:p w:rsidR="00F852EF" w:rsidRDefault="00F852EF" w:rsidP="00615F4B">
                  <w:pPr>
                    <w:pStyle w:val="Default"/>
                    <w:framePr w:hSpace="180" w:wrap="around" w:vAnchor="text" w:hAnchor="text" w:y="1"/>
                    <w:suppressOverlap/>
                    <w:rPr>
                      <w:sz w:val="18"/>
                      <w:szCs w:val="18"/>
                    </w:rPr>
                  </w:pPr>
                  <w:r>
                    <w:rPr>
                      <w:sz w:val="18"/>
                      <w:szCs w:val="18"/>
                    </w:rPr>
                    <w:t xml:space="preserve">Landfill </w:t>
                  </w:r>
                </w:p>
                <w:p w:rsidR="00F852EF" w:rsidRDefault="00F852EF" w:rsidP="00615F4B">
                  <w:pPr>
                    <w:pStyle w:val="Default"/>
                    <w:framePr w:hSpace="180" w:wrap="around" w:vAnchor="text" w:hAnchor="text" w:y="1"/>
                    <w:suppressOverlap/>
                    <w:rPr>
                      <w:sz w:val="18"/>
                      <w:szCs w:val="18"/>
                    </w:rPr>
                  </w:pPr>
                </w:p>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Incineration</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 xml:space="preserve">Export to non OECD countries without the appropriate permit under the </w:t>
                  </w:r>
                  <w:smartTag w:uri="urn:schemas-microsoft-com:office:smarttags" w:element="PersonName">
                    <w:r>
                      <w:rPr>
                        <w:sz w:val="18"/>
                        <w:szCs w:val="18"/>
                      </w:rPr>
                      <w:t>Hazardous Waste</w:t>
                    </w:r>
                  </w:smartTag>
                  <w:r>
                    <w:rPr>
                      <w:sz w:val="18"/>
                      <w:szCs w:val="18"/>
                    </w:rPr>
                    <w:t xml:space="preserve"> (Regulation of Exports and Imports) Act</w:t>
                  </w:r>
                </w:p>
              </w:tc>
            </w:tr>
            <w:tr w:rsidR="00F852EF" w:rsidTr="00F852EF">
              <w:trPr>
                <w:trHeight w:val="915"/>
                <w:jc w:val="center"/>
              </w:trPr>
              <w:tc>
                <w:tcPr>
                  <w:tcW w:w="1631" w:type="dxa"/>
                  <w:tcBorders>
                    <w:top w:val="single" w:sz="12" w:space="0" w:color="000000"/>
                    <w:left w:val="single" w:sz="12" w:space="0" w:color="000000"/>
                    <w:bottom w:val="single" w:sz="12" w:space="0" w:color="000000"/>
                    <w:right w:val="single" w:sz="2" w:space="0" w:color="000000"/>
                  </w:tcBorders>
                  <w:shd w:val="clear" w:color="auto" w:fill="F3F3F3"/>
                </w:tcPr>
                <w:p w:rsidR="00F852EF" w:rsidRDefault="00F852EF" w:rsidP="00615F4B">
                  <w:pPr>
                    <w:pStyle w:val="Default"/>
                    <w:framePr w:hSpace="180" w:wrap="around" w:vAnchor="text" w:hAnchor="text" w:y="1"/>
                    <w:suppressOverlap/>
                    <w:rPr>
                      <w:sz w:val="20"/>
                      <w:szCs w:val="20"/>
                    </w:rPr>
                  </w:pPr>
                  <w:r>
                    <w:rPr>
                      <w:sz w:val="20"/>
                      <w:szCs w:val="20"/>
                    </w:rPr>
                    <w:t xml:space="preserve">Mercury Containing Lamps and Switches </w:t>
                  </w:r>
                </w:p>
              </w:tc>
              <w:tc>
                <w:tcPr>
                  <w:tcW w:w="2931" w:type="dxa"/>
                  <w:tcBorders>
                    <w:top w:val="single" w:sz="12" w:space="0" w:color="000000"/>
                    <w:left w:val="single" w:sz="2" w:space="0" w:color="000000"/>
                    <w:bottom w:val="single" w:sz="12" w:space="0" w:color="000000"/>
                    <w:right w:val="single" w:sz="2" w:space="0" w:color="000000"/>
                  </w:tcBorders>
                </w:tcPr>
                <w:p w:rsidR="00F852EF" w:rsidRDefault="00F852EF" w:rsidP="00615F4B">
                  <w:pPr>
                    <w:pStyle w:val="Default"/>
                    <w:framePr w:hSpace="180" w:wrap="around" w:vAnchor="text" w:hAnchor="text" w:y="1"/>
                    <w:suppressOverlap/>
                    <w:rPr>
                      <w:sz w:val="18"/>
                      <w:szCs w:val="18"/>
                    </w:rPr>
                  </w:pPr>
                  <w:r>
                    <w:rPr>
                      <w:sz w:val="18"/>
                      <w:szCs w:val="18"/>
                    </w:rPr>
                    <w:t xml:space="preserve">Mercury recovery </w:t>
                  </w:r>
                </w:p>
                <w:p w:rsidR="00F852EF" w:rsidRDefault="00F852EF" w:rsidP="00615F4B">
                  <w:pPr>
                    <w:pStyle w:val="Default"/>
                    <w:framePr w:hSpace="180" w:wrap="around" w:vAnchor="text" w:hAnchor="text" w:y="1"/>
                    <w:suppressOverlap/>
                    <w:rPr>
                      <w:sz w:val="18"/>
                      <w:szCs w:val="18"/>
                    </w:rPr>
                  </w:pPr>
                </w:p>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Extract from whole units</w:t>
                  </w:r>
                </w:p>
              </w:tc>
              <w:tc>
                <w:tcPr>
                  <w:tcW w:w="2970" w:type="dxa"/>
                  <w:tcBorders>
                    <w:top w:val="single" w:sz="12" w:space="0" w:color="000000"/>
                    <w:left w:val="single" w:sz="2" w:space="0" w:color="000000"/>
                    <w:bottom w:val="single" w:sz="12" w:space="0" w:color="000000"/>
                    <w:right w:val="single" w:sz="2" w:space="0" w:color="000000"/>
                  </w:tcBorders>
                </w:tcPr>
                <w:p w:rsidR="00F852EF" w:rsidRDefault="00F852EF" w:rsidP="00615F4B">
                  <w:pPr>
                    <w:pStyle w:val="Default"/>
                    <w:framePr w:hSpace="180" w:wrap="around" w:vAnchor="text" w:hAnchor="text" w:y="1"/>
                    <w:suppressOverlap/>
                    <w:rPr>
                      <w:sz w:val="18"/>
                      <w:szCs w:val="18"/>
                    </w:rPr>
                  </w:pPr>
                  <w:r>
                    <w:rPr>
                      <w:sz w:val="18"/>
                      <w:szCs w:val="18"/>
                    </w:rPr>
                    <w:t xml:space="preserve">Mechanical processing </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 xml:space="preserve">Mercury distillation </w:t>
                  </w:r>
                </w:p>
              </w:tc>
              <w:tc>
                <w:tcPr>
                  <w:tcW w:w="2855" w:type="dxa"/>
                  <w:tcBorders>
                    <w:top w:val="single" w:sz="12" w:space="0" w:color="000000"/>
                    <w:left w:val="single" w:sz="2" w:space="0" w:color="000000"/>
                    <w:bottom w:val="single" w:sz="12" w:space="0" w:color="000000"/>
                    <w:right w:val="single" w:sz="12" w:space="0" w:color="000000"/>
                  </w:tcBorders>
                </w:tcPr>
                <w:p w:rsidR="00F852EF" w:rsidRDefault="00F852EF" w:rsidP="00615F4B">
                  <w:pPr>
                    <w:pStyle w:val="Default"/>
                    <w:framePr w:hSpace="180" w:wrap="around" w:vAnchor="text" w:hAnchor="text" w:y="1"/>
                    <w:suppressOverlap/>
                    <w:rPr>
                      <w:sz w:val="18"/>
                      <w:szCs w:val="18"/>
                    </w:rPr>
                  </w:pPr>
                  <w:r>
                    <w:rPr>
                      <w:sz w:val="18"/>
                      <w:szCs w:val="18"/>
                    </w:rPr>
                    <w:t>Landfill</w:t>
                  </w:r>
                </w:p>
                <w:p w:rsidR="00F852EF" w:rsidRDefault="00F852EF" w:rsidP="00615F4B">
                  <w:pPr>
                    <w:pStyle w:val="Default"/>
                    <w:framePr w:hSpace="180" w:wrap="around" w:vAnchor="text" w:hAnchor="text" w:y="1"/>
                    <w:suppressOverlap/>
                    <w:rPr>
                      <w:sz w:val="18"/>
                      <w:szCs w:val="18"/>
                    </w:rPr>
                  </w:pPr>
                </w:p>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Incineration</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 xml:space="preserve">Export to non OECD countries without the appropriate permit under the </w:t>
                  </w:r>
                  <w:smartTag w:uri="urn:schemas-microsoft-com:office:smarttags" w:element="PersonName">
                    <w:r>
                      <w:rPr>
                        <w:sz w:val="18"/>
                        <w:szCs w:val="18"/>
                      </w:rPr>
                      <w:t>Hazardous Waste</w:t>
                    </w:r>
                  </w:smartTag>
                  <w:r>
                    <w:rPr>
                      <w:sz w:val="18"/>
                      <w:szCs w:val="18"/>
                    </w:rPr>
                    <w:t xml:space="preserve"> (Regulation of Exports and Imports) Act</w:t>
                  </w:r>
                </w:p>
              </w:tc>
            </w:tr>
            <w:tr w:rsidR="00F852EF" w:rsidTr="00F852EF">
              <w:trPr>
                <w:trHeight w:val="1063"/>
                <w:jc w:val="center"/>
              </w:trPr>
              <w:tc>
                <w:tcPr>
                  <w:tcW w:w="1631" w:type="dxa"/>
                  <w:tcBorders>
                    <w:top w:val="single" w:sz="12" w:space="0" w:color="000000"/>
                    <w:left w:val="single" w:sz="12" w:space="0" w:color="000000"/>
                    <w:bottom w:val="single" w:sz="12" w:space="0" w:color="000000"/>
                    <w:right w:val="single" w:sz="2" w:space="0" w:color="000000"/>
                  </w:tcBorders>
                  <w:shd w:val="clear" w:color="auto" w:fill="F3F3F3"/>
                </w:tcPr>
                <w:p w:rsidR="00F852EF" w:rsidRDefault="00F852EF" w:rsidP="00615F4B">
                  <w:pPr>
                    <w:pStyle w:val="Default"/>
                    <w:framePr w:hSpace="180" w:wrap="around" w:vAnchor="text" w:hAnchor="text" w:y="1"/>
                    <w:suppressOverlap/>
                    <w:rPr>
                      <w:sz w:val="20"/>
                      <w:szCs w:val="20"/>
                    </w:rPr>
                  </w:pPr>
                  <w:r w:rsidRPr="00830435">
                    <w:rPr>
                      <w:color w:val="0000FF"/>
                      <w:sz w:val="20"/>
                      <w:szCs w:val="20"/>
                    </w:rPr>
                    <w:lastRenderedPageBreak/>
                    <w:t>BFR Contaminated</w:t>
                  </w:r>
                  <w:r>
                    <w:rPr>
                      <w:sz w:val="20"/>
                      <w:szCs w:val="20"/>
                    </w:rPr>
                    <w:t xml:space="preserve"> Ink and Toner Cartridges (Note 2) </w:t>
                  </w:r>
                </w:p>
              </w:tc>
              <w:tc>
                <w:tcPr>
                  <w:tcW w:w="2931" w:type="dxa"/>
                  <w:tcBorders>
                    <w:top w:val="single" w:sz="12" w:space="0" w:color="000000"/>
                    <w:left w:val="single" w:sz="2" w:space="0" w:color="000000"/>
                    <w:bottom w:val="single" w:sz="12" w:space="0" w:color="000000"/>
                    <w:right w:val="single" w:sz="2" w:space="0" w:color="000000"/>
                  </w:tcBorders>
                </w:tcPr>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Extract from whole units</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 xml:space="preserve">Remanufacture </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Materials recovery f</w:t>
                  </w:r>
                  <w:r w:rsidRPr="00830435">
                    <w:rPr>
                      <w:color w:val="0000FF"/>
                      <w:sz w:val="18"/>
                      <w:szCs w:val="18"/>
                    </w:rPr>
                    <w:t>or a</w:t>
                  </w:r>
                  <w:r>
                    <w:rPr>
                      <w:color w:val="0000FF"/>
                      <w:sz w:val="18"/>
                      <w:szCs w:val="18"/>
                    </w:rPr>
                    <w:t xml:space="preserve"> </w:t>
                  </w:r>
                  <w:r w:rsidRPr="00830435">
                    <w:rPr>
                      <w:color w:val="0000FF"/>
                      <w:sz w:val="18"/>
                      <w:szCs w:val="18"/>
                    </w:rPr>
                    <w:t>period of no more than 2 years from the date of approval of this Standard</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p>
              </w:tc>
              <w:tc>
                <w:tcPr>
                  <w:tcW w:w="2970" w:type="dxa"/>
                  <w:tcBorders>
                    <w:top w:val="single" w:sz="12" w:space="0" w:color="000000"/>
                    <w:left w:val="single" w:sz="2" w:space="0" w:color="000000"/>
                    <w:bottom w:val="single" w:sz="12" w:space="0" w:color="000000"/>
                    <w:right w:val="single" w:sz="2" w:space="0" w:color="000000"/>
                  </w:tcBorders>
                </w:tcPr>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Identification, separation and storage</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 xml:space="preserve">Manual or mechanical processing </w:t>
                  </w:r>
                  <w:r w:rsidRPr="00830435">
                    <w:rPr>
                      <w:color w:val="0000FF"/>
                      <w:sz w:val="18"/>
                      <w:szCs w:val="18"/>
                    </w:rPr>
                    <w:t>only with proven extraction of BFRs</w:t>
                  </w:r>
                  <w:r>
                    <w:rPr>
                      <w:sz w:val="18"/>
                      <w:szCs w:val="18"/>
                    </w:rPr>
                    <w:t xml:space="preserve"> </w:t>
                  </w:r>
                </w:p>
              </w:tc>
              <w:tc>
                <w:tcPr>
                  <w:tcW w:w="2855" w:type="dxa"/>
                  <w:tcBorders>
                    <w:top w:val="single" w:sz="12" w:space="0" w:color="000000"/>
                    <w:left w:val="single" w:sz="2" w:space="0" w:color="000000"/>
                    <w:bottom w:val="single" w:sz="12" w:space="0" w:color="000000"/>
                    <w:right w:val="single" w:sz="12" w:space="0" w:color="000000"/>
                  </w:tcBorders>
                </w:tcPr>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Recycling after 2 years from the date of approval of this Standard</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 xml:space="preserve">Export to non OECD countries without the appropriate permit under the </w:t>
                  </w:r>
                  <w:smartTag w:uri="urn:schemas-microsoft-com:office:smarttags" w:element="PersonName">
                    <w:r>
                      <w:rPr>
                        <w:sz w:val="18"/>
                        <w:szCs w:val="18"/>
                      </w:rPr>
                      <w:t>Hazardous Waste</w:t>
                    </w:r>
                  </w:smartTag>
                  <w:r>
                    <w:rPr>
                      <w:sz w:val="18"/>
                      <w:szCs w:val="18"/>
                    </w:rPr>
                    <w:t xml:space="preserve"> (Regulation of Exports and Imports) Act</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Hazardous waste incineration</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Landfill</w:t>
                  </w:r>
                </w:p>
                <w:p w:rsidR="00F852EF" w:rsidRDefault="00F852EF" w:rsidP="00615F4B">
                  <w:pPr>
                    <w:pStyle w:val="Default"/>
                    <w:framePr w:hSpace="180" w:wrap="around" w:vAnchor="text" w:hAnchor="text" w:y="1"/>
                    <w:suppressOverlap/>
                    <w:rPr>
                      <w:sz w:val="18"/>
                      <w:szCs w:val="18"/>
                    </w:rPr>
                  </w:pPr>
                </w:p>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Incineration</w:t>
                  </w:r>
                </w:p>
              </w:tc>
            </w:tr>
            <w:tr w:rsidR="00F852EF" w:rsidTr="00F852EF">
              <w:trPr>
                <w:trHeight w:val="1428"/>
                <w:jc w:val="center"/>
              </w:trPr>
              <w:tc>
                <w:tcPr>
                  <w:tcW w:w="1631" w:type="dxa"/>
                  <w:tcBorders>
                    <w:top w:val="single" w:sz="12" w:space="0" w:color="000000"/>
                    <w:left w:val="single" w:sz="12" w:space="0" w:color="000000"/>
                    <w:bottom w:val="single" w:sz="12" w:space="0" w:color="000000"/>
                    <w:right w:val="single" w:sz="2" w:space="0" w:color="000000"/>
                  </w:tcBorders>
                  <w:shd w:val="clear" w:color="auto" w:fill="F3F3F3"/>
                </w:tcPr>
                <w:p w:rsidR="00F852EF" w:rsidRDefault="00F852EF" w:rsidP="00615F4B">
                  <w:pPr>
                    <w:pStyle w:val="Default"/>
                    <w:framePr w:hSpace="180" w:wrap="around" w:vAnchor="text" w:hAnchor="text" w:y="1"/>
                    <w:suppressOverlap/>
                    <w:rPr>
                      <w:sz w:val="20"/>
                      <w:szCs w:val="20"/>
                    </w:rPr>
                  </w:pPr>
                  <w:r>
                    <w:rPr>
                      <w:sz w:val="20"/>
                      <w:szCs w:val="20"/>
                    </w:rPr>
                    <w:t xml:space="preserve">BFR Contaminated Plastics </w:t>
                  </w:r>
                </w:p>
              </w:tc>
              <w:tc>
                <w:tcPr>
                  <w:tcW w:w="2931" w:type="dxa"/>
                  <w:tcBorders>
                    <w:top w:val="single" w:sz="12" w:space="0" w:color="000000"/>
                    <w:left w:val="single" w:sz="2" w:space="0" w:color="000000"/>
                    <w:bottom w:val="single" w:sz="12" w:space="0" w:color="000000"/>
                    <w:right w:val="single" w:sz="2" w:space="0" w:color="000000"/>
                  </w:tcBorders>
                </w:tcPr>
                <w:p w:rsidR="00F852EF" w:rsidRDefault="00F852EF" w:rsidP="00615F4B">
                  <w:pPr>
                    <w:pStyle w:val="Default"/>
                    <w:framePr w:hSpace="180" w:wrap="around" w:vAnchor="text" w:hAnchor="text" w:y="1"/>
                    <w:suppressOverlap/>
                    <w:rPr>
                      <w:sz w:val="18"/>
                      <w:szCs w:val="18"/>
                    </w:rPr>
                  </w:pPr>
                  <w:r>
                    <w:rPr>
                      <w:sz w:val="18"/>
                      <w:szCs w:val="18"/>
                    </w:rPr>
                    <w:t xml:space="preserve">Plastic recovery </w:t>
                  </w:r>
                  <w:r w:rsidRPr="00830435">
                    <w:rPr>
                      <w:color w:val="0000FF"/>
                      <w:sz w:val="18"/>
                      <w:szCs w:val="18"/>
                    </w:rPr>
                    <w:t>for a</w:t>
                  </w:r>
                  <w:r>
                    <w:rPr>
                      <w:color w:val="0000FF"/>
                      <w:sz w:val="18"/>
                      <w:szCs w:val="18"/>
                    </w:rPr>
                    <w:t xml:space="preserve"> </w:t>
                  </w:r>
                  <w:r w:rsidRPr="00830435">
                    <w:rPr>
                      <w:color w:val="0000FF"/>
                      <w:sz w:val="18"/>
                      <w:szCs w:val="18"/>
                    </w:rPr>
                    <w:t>period of no more than 2 years from the date of approval of this Standard</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 xml:space="preserve">Depolymerization </w:t>
                  </w:r>
                  <w:r w:rsidRPr="00830435">
                    <w:rPr>
                      <w:color w:val="0000FF"/>
                      <w:sz w:val="18"/>
                      <w:szCs w:val="18"/>
                    </w:rPr>
                    <w:t>without fully proven and documented reduction of BFR content</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 xml:space="preserve">Pelletizing </w:t>
                  </w:r>
                  <w:r w:rsidRPr="00830435">
                    <w:rPr>
                      <w:color w:val="0000FF"/>
                      <w:sz w:val="18"/>
                      <w:szCs w:val="18"/>
                    </w:rPr>
                    <w:t>without fully proven and documented reduction of BFR content</w:t>
                  </w:r>
                </w:p>
              </w:tc>
              <w:tc>
                <w:tcPr>
                  <w:tcW w:w="2970" w:type="dxa"/>
                  <w:tcBorders>
                    <w:top w:val="single" w:sz="12" w:space="0" w:color="000000"/>
                    <w:left w:val="single" w:sz="2" w:space="0" w:color="000000"/>
                    <w:bottom w:val="single" w:sz="12" w:space="0" w:color="000000"/>
                    <w:right w:val="single" w:sz="2" w:space="0" w:color="000000"/>
                  </w:tcBorders>
                </w:tcPr>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Identification, separation and storage</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 xml:space="preserve">Manual or mechanical processing </w:t>
                  </w:r>
                  <w:r w:rsidRPr="00830435">
                    <w:rPr>
                      <w:color w:val="0000FF"/>
                      <w:sz w:val="18"/>
                      <w:szCs w:val="18"/>
                    </w:rPr>
                    <w:t>only with proven extraction of BFRs</w:t>
                  </w:r>
                  <w:r>
                    <w:rPr>
                      <w:sz w:val="18"/>
                      <w:szCs w:val="18"/>
                    </w:rPr>
                    <w:t xml:space="preserve"> </w:t>
                  </w:r>
                </w:p>
              </w:tc>
              <w:tc>
                <w:tcPr>
                  <w:tcW w:w="2855" w:type="dxa"/>
                  <w:tcBorders>
                    <w:top w:val="single" w:sz="12" w:space="0" w:color="000000"/>
                    <w:left w:val="single" w:sz="2" w:space="0" w:color="000000"/>
                    <w:bottom w:val="single" w:sz="12" w:space="0" w:color="000000"/>
                    <w:right w:val="single" w:sz="12" w:space="0" w:color="000000"/>
                  </w:tcBorders>
                </w:tcPr>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Recycling after 2 years from the date of approval of this Standard</w:t>
                  </w:r>
                </w:p>
                <w:p w:rsidR="00F852EF" w:rsidRPr="00830435" w:rsidRDefault="00F852EF" w:rsidP="00615F4B">
                  <w:pPr>
                    <w:pStyle w:val="Default"/>
                    <w:framePr w:hSpace="180" w:wrap="around" w:vAnchor="text" w:hAnchor="text" w:y="1"/>
                    <w:suppressOverlap/>
                    <w:rPr>
                      <w:color w:val="0000FF"/>
                      <w:sz w:val="18"/>
                      <w:szCs w:val="18"/>
                    </w:rPr>
                  </w:pPr>
                </w:p>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Landfilling</w:t>
                  </w:r>
                </w:p>
                <w:p w:rsidR="00F852EF" w:rsidRPr="00830435" w:rsidRDefault="00F852EF" w:rsidP="00615F4B">
                  <w:pPr>
                    <w:pStyle w:val="Default"/>
                    <w:framePr w:hSpace="180" w:wrap="around" w:vAnchor="text" w:hAnchor="text" w:y="1"/>
                    <w:suppressOverlap/>
                    <w:rPr>
                      <w:color w:val="0000FF"/>
                      <w:sz w:val="18"/>
                      <w:szCs w:val="18"/>
                    </w:rPr>
                  </w:pPr>
                </w:p>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Incineration</w:t>
                  </w:r>
                </w:p>
                <w:p w:rsidR="00F852EF" w:rsidRPr="00830435" w:rsidRDefault="00F852EF" w:rsidP="00615F4B">
                  <w:pPr>
                    <w:pStyle w:val="Default"/>
                    <w:framePr w:hSpace="180" w:wrap="around" w:vAnchor="text" w:hAnchor="text" w:y="1"/>
                    <w:suppressOverlap/>
                    <w:rPr>
                      <w:color w:val="0000FF"/>
                      <w:sz w:val="18"/>
                      <w:szCs w:val="18"/>
                    </w:rPr>
                  </w:pPr>
                </w:p>
                <w:p w:rsidR="00F852EF" w:rsidRDefault="00F852EF" w:rsidP="00615F4B">
                  <w:pPr>
                    <w:pStyle w:val="Default"/>
                    <w:framePr w:hSpace="180" w:wrap="around" w:vAnchor="text" w:hAnchor="text" w:y="1"/>
                    <w:suppressOverlap/>
                    <w:rPr>
                      <w:sz w:val="18"/>
                      <w:szCs w:val="18"/>
                    </w:rPr>
                  </w:pPr>
                  <w:r w:rsidRPr="00830435">
                    <w:rPr>
                      <w:color w:val="0000FF"/>
                      <w:sz w:val="18"/>
                      <w:szCs w:val="18"/>
                    </w:rPr>
                    <w:t xml:space="preserve">Export to non OECD countries without the appropriate permit under the </w:t>
                  </w:r>
                  <w:smartTag w:uri="urn:schemas-microsoft-com:office:smarttags" w:element="PersonName">
                    <w:r w:rsidRPr="00830435">
                      <w:rPr>
                        <w:color w:val="0000FF"/>
                        <w:sz w:val="18"/>
                        <w:szCs w:val="18"/>
                      </w:rPr>
                      <w:t>Hazardous Waste</w:t>
                    </w:r>
                  </w:smartTag>
                  <w:r w:rsidRPr="00830435">
                    <w:rPr>
                      <w:color w:val="0000FF"/>
                      <w:sz w:val="18"/>
                      <w:szCs w:val="18"/>
                    </w:rPr>
                    <w:t xml:space="preserve"> (Regulation of Exports and Imports) Act</w:t>
                  </w:r>
                </w:p>
              </w:tc>
            </w:tr>
            <w:tr w:rsidR="00F852EF" w:rsidTr="00F852EF">
              <w:trPr>
                <w:trHeight w:val="1122"/>
                <w:jc w:val="center"/>
              </w:trPr>
              <w:tc>
                <w:tcPr>
                  <w:tcW w:w="1631" w:type="dxa"/>
                  <w:tcBorders>
                    <w:top w:val="single" w:sz="12" w:space="0" w:color="000000"/>
                    <w:left w:val="single" w:sz="12" w:space="0" w:color="000000"/>
                    <w:bottom w:val="single" w:sz="12" w:space="0" w:color="000000"/>
                    <w:right w:val="single" w:sz="2" w:space="0" w:color="000000"/>
                  </w:tcBorders>
                  <w:shd w:val="clear" w:color="auto" w:fill="F3F3F3"/>
                </w:tcPr>
                <w:p w:rsidR="00F852EF" w:rsidRPr="00830435" w:rsidRDefault="00F852EF" w:rsidP="00615F4B">
                  <w:pPr>
                    <w:pStyle w:val="Default"/>
                    <w:framePr w:hSpace="180" w:wrap="around" w:vAnchor="text" w:hAnchor="text" w:y="1"/>
                    <w:suppressOverlap/>
                    <w:rPr>
                      <w:color w:val="0000FF"/>
                      <w:sz w:val="20"/>
                      <w:szCs w:val="20"/>
                    </w:rPr>
                  </w:pPr>
                  <w:r w:rsidRPr="00830435">
                    <w:rPr>
                      <w:color w:val="0000FF"/>
                      <w:sz w:val="20"/>
                      <w:szCs w:val="20"/>
                    </w:rPr>
                    <w:t>Non-contaminated plastics</w:t>
                  </w:r>
                </w:p>
              </w:tc>
              <w:tc>
                <w:tcPr>
                  <w:tcW w:w="2931" w:type="dxa"/>
                  <w:tcBorders>
                    <w:top w:val="single" w:sz="12" w:space="0" w:color="000000"/>
                    <w:left w:val="single" w:sz="2" w:space="0" w:color="000000"/>
                    <w:bottom w:val="single" w:sz="12" w:space="0" w:color="000000"/>
                    <w:right w:val="single" w:sz="2" w:space="0" w:color="000000"/>
                  </w:tcBorders>
                </w:tcPr>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Plastic recovery</w:t>
                  </w:r>
                </w:p>
                <w:p w:rsidR="00F852EF" w:rsidRPr="00830435" w:rsidRDefault="00F852EF" w:rsidP="00615F4B">
                  <w:pPr>
                    <w:pStyle w:val="Default"/>
                    <w:framePr w:hSpace="180" w:wrap="around" w:vAnchor="text" w:hAnchor="text" w:y="1"/>
                    <w:suppressOverlap/>
                    <w:rPr>
                      <w:color w:val="0000FF"/>
                      <w:sz w:val="18"/>
                      <w:szCs w:val="18"/>
                    </w:rPr>
                  </w:pPr>
                </w:p>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Depolymerization</w:t>
                  </w:r>
                </w:p>
                <w:p w:rsidR="00F852EF" w:rsidRPr="00830435" w:rsidRDefault="00F852EF" w:rsidP="00615F4B">
                  <w:pPr>
                    <w:pStyle w:val="Default"/>
                    <w:framePr w:hSpace="180" w:wrap="around" w:vAnchor="text" w:hAnchor="text" w:y="1"/>
                    <w:suppressOverlap/>
                    <w:rPr>
                      <w:color w:val="0000FF"/>
                      <w:sz w:val="18"/>
                      <w:szCs w:val="18"/>
                    </w:rPr>
                  </w:pPr>
                </w:p>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Pelletizing</w:t>
                  </w:r>
                </w:p>
              </w:tc>
              <w:tc>
                <w:tcPr>
                  <w:tcW w:w="2970" w:type="dxa"/>
                  <w:tcBorders>
                    <w:top w:val="single" w:sz="12" w:space="0" w:color="000000"/>
                    <w:left w:val="single" w:sz="2" w:space="0" w:color="000000"/>
                    <w:bottom w:val="single" w:sz="12" w:space="0" w:color="000000"/>
                    <w:right w:val="single" w:sz="2" w:space="0" w:color="000000"/>
                  </w:tcBorders>
                </w:tcPr>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 xml:space="preserve">Manual or mechanical processing </w:t>
                  </w:r>
                </w:p>
                <w:p w:rsidR="00F852EF" w:rsidRPr="00830435" w:rsidRDefault="00F852EF" w:rsidP="00615F4B">
                  <w:pPr>
                    <w:pStyle w:val="Default"/>
                    <w:framePr w:hSpace="180" w:wrap="around" w:vAnchor="text" w:hAnchor="text" w:y="1"/>
                    <w:suppressOverlap/>
                    <w:rPr>
                      <w:color w:val="0000FF"/>
                      <w:sz w:val="18"/>
                      <w:szCs w:val="18"/>
                    </w:rPr>
                  </w:pPr>
                </w:p>
                <w:p w:rsidR="00F852EF" w:rsidRPr="00830435" w:rsidDel="00FE65EF" w:rsidRDefault="00F852EF" w:rsidP="00615F4B">
                  <w:pPr>
                    <w:pStyle w:val="Default"/>
                    <w:framePr w:hSpace="180" w:wrap="around" w:vAnchor="text" w:hAnchor="text" w:y="1"/>
                    <w:suppressOverlap/>
                    <w:rPr>
                      <w:color w:val="0000FF"/>
                      <w:sz w:val="18"/>
                      <w:szCs w:val="18"/>
                    </w:rPr>
                  </w:pPr>
                  <w:r w:rsidRPr="00830435">
                    <w:rPr>
                      <w:color w:val="0000FF"/>
                      <w:sz w:val="18"/>
                      <w:szCs w:val="18"/>
                    </w:rPr>
                    <w:t>Waste to energy incineration</w:t>
                  </w:r>
                </w:p>
              </w:tc>
              <w:tc>
                <w:tcPr>
                  <w:tcW w:w="2855" w:type="dxa"/>
                  <w:tcBorders>
                    <w:top w:val="single" w:sz="12" w:space="0" w:color="000000"/>
                    <w:left w:val="single" w:sz="2" w:space="0" w:color="000000"/>
                    <w:bottom w:val="single" w:sz="12" w:space="0" w:color="000000"/>
                    <w:right w:val="single" w:sz="12" w:space="0" w:color="000000"/>
                  </w:tcBorders>
                </w:tcPr>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Landfilling</w:t>
                  </w:r>
                </w:p>
                <w:p w:rsidR="00F852EF" w:rsidRPr="00830435" w:rsidRDefault="00F852EF" w:rsidP="00615F4B">
                  <w:pPr>
                    <w:pStyle w:val="Default"/>
                    <w:framePr w:hSpace="180" w:wrap="around" w:vAnchor="text" w:hAnchor="text" w:y="1"/>
                    <w:suppressOverlap/>
                    <w:rPr>
                      <w:color w:val="0000FF"/>
                      <w:sz w:val="18"/>
                      <w:szCs w:val="18"/>
                    </w:rPr>
                  </w:pPr>
                </w:p>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Incineration</w:t>
                  </w:r>
                </w:p>
                <w:p w:rsidR="00F852EF" w:rsidRPr="00830435" w:rsidDel="00FE65EF" w:rsidRDefault="00F852EF" w:rsidP="00615F4B">
                  <w:pPr>
                    <w:pStyle w:val="Default"/>
                    <w:framePr w:hSpace="180" w:wrap="around" w:vAnchor="text" w:hAnchor="text" w:y="1"/>
                    <w:suppressOverlap/>
                    <w:rPr>
                      <w:color w:val="0000FF"/>
                      <w:sz w:val="18"/>
                      <w:szCs w:val="18"/>
                    </w:rPr>
                  </w:pPr>
                </w:p>
              </w:tc>
            </w:tr>
            <w:tr w:rsidR="00F852EF" w:rsidTr="00F852EF">
              <w:trPr>
                <w:trHeight w:val="683"/>
                <w:jc w:val="center"/>
              </w:trPr>
              <w:tc>
                <w:tcPr>
                  <w:tcW w:w="1631" w:type="dxa"/>
                  <w:tcBorders>
                    <w:top w:val="single" w:sz="12" w:space="0" w:color="000000"/>
                    <w:left w:val="single" w:sz="12" w:space="0" w:color="000000"/>
                    <w:bottom w:val="single" w:sz="12" w:space="0" w:color="000000"/>
                    <w:right w:val="single" w:sz="2" w:space="0" w:color="000000"/>
                  </w:tcBorders>
                  <w:shd w:val="clear" w:color="auto" w:fill="F3F3F3"/>
                </w:tcPr>
                <w:p w:rsidR="00F852EF" w:rsidRDefault="00F852EF" w:rsidP="00615F4B">
                  <w:pPr>
                    <w:pStyle w:val="Default"/>
                    <w:framePr w:hSpace="180" w:wrap="around" w:vAnchor="text" w:hAnchor="text" w:y="1"/>
                    <w:suppressOverlap/>
                    <w:rPr>
                      <w:sz w:val="20"/>
                      <w:szCs w:val="20"/>
                    </w:rPr>
                  </w:pPr>
                  <w:r>
                    <w:rPr>
                      <w:sz w:val="20"/>
                      <w:szCs w:val="20"/>
                    </w:rPr>
                    <w:t xml:space="preserve">Ferrous and Non-ferrous Metals </w:t>
                  </w:r>
                </w:p>
              </w:tc>
              <w:tc>
                <w:tcPr>
                  <w:tcW w:w="2931" w:type="dxa"/>
                  <w:tcBorders>
                    <w:top w:val="single" w:sz="12" w:space="0" w:color="000000"/>
                    <w:left w:val="single" w:sz="2" w:space="0" w:color="000000"/>
                    <w:bottom w:val="single" w:sz="12" w:space="0" w:color="000000"/>
                    <w:right w:val="single" w:sz="2" w:space="0" w:color="000000"/>
                  </w:tcBorders>
                </w:tcPr>
                <w:p w:rsidR="00F852EF" w:rsidRDefault="00F852EF" w:rsidP="00615F4B">
                  <w:pPr>
                    <w:pStyle w:val="Default"/>
                    <w:framePr w:hSpace="180" w:wrap="around" w:vAnchor="text" w:hAnchor="text" w:y="1"/>
                    <w:suppressOverlap/>
                    <w:rPr>
                      <w:sz w:val="18"/>
                      <w:szCs w:val="18"/>
                    </w:rPr>
                  </w:pPr>
                  <w:r>
                    <w:rPr>
                      <w:sz w:val="18"/>
                      <w:szCs w:val="18"/>
                    </w:rPr>
                    <w:t>Metal recovery</w:t>
                  </w:r>
                  <w:r>
                    <w:rPr>
                      <w:rStyle w:val="FootnoteReference"/>
                      <w:sz w:val="18"/>
                      <w:szCs w:val="18"/>
                    </w:rPr>
                    <w:footnoteReference w:id="17"/>
                  </w:r>
                  <w:r>
                    <w:rPr>
                      <w:sz w:val="18"/>
                      <w:szCs w:val="18"/>
                    </w:rPr>
                    <w:t xml:space="preserve"> </w:t>
                  </w:r>
                </w:p>
              </w:tc>
              <w:tc>
                <w:tcPr>
                  <w:tcW w:w="2970" w:type="dxa"/>
                  <w:tcBorders>
                    <w:top w:val="single" w:sz="12" w:space="0" w:color="000000"/>
                    <w:left w:val="single" w:sz="2" w:space="0" w:color="000000"/>
                    <w:bottom w:val="single" w:sz="12" w:space="0" w:color="000000"/>
                    <w:right w:val="single" w:sz="2" w:space="0" w:color="000000"/>
                  </w:tcBorders>
                  <w:vAlign w:val="center"/>
                </w:tcPr>
                <w:p w:rsidR="00F852EF" w:rsidRDefault="00F852EF" w:rsidP="00615F4B">
                  <w:pPr>
                    <w:pStyle w:val="Default"/>
                    <w:framePr w:hSpace="180" w:wrap="around" w:vAnchor="text" w:hAnchor="text" w:y="1"/>
                    <w:suppressOverlap/>
                    <w:rPr>
                      <w:sz w:val="18"/>
                      <w:szCs w:val="18"/>
                    </w:rPr>
                  </w:pPr>
                  <w:r>
                    <w:rPr>
                      <w:sz w:val="18"/>
                      <w:szCs w:val="18"/>
                    </w:rPr>
                    <w:t xml:space="preserve">Manual or mechanical processing </w:t>
                  </w:r>
                </w:p>
                <w:p w:rsidR="00F852EF" w:rsidRDefault="00F852EF" w:rsidP="00615F4B">
                  <w:pPr>
                    <w:pStyle w:val="Default"/>
                    <w:framePr w:hSpace="180" w:wrap="around" w:vAnchor="text" w:hAnchor="text" w:y="1"/>
                    <w:suppressOverlap/>
                    <w:rPr>
                      <w:sz w:val="18"/>
                      <w:szCs w:val="18"/>
                    </w:rPr>
                  </w:pPr>
                </w:p>
                <w:p w:rsidR="00F852EF" w:rsidRDefault="00F852EF" w:rsidP="00615F4B">
                  <w:pPr>
                    <w:pStyle w:val="Default"/>
                    <w:framePr w:hSpace="180" w:wrap="around" w:vAnchor="text" w:hAnchor="text" w:y="1"/>
                    <w:suppressOverlap/>
                    <w:rPr>
                      <w:sz w:val="18"/>
                      <w:szCs w:val="18"/>
                    </w:rPr>
                  </w:pPr>
                  <w:r>
                    <w:rPr>
                      <w:sz w:val="18"/>
                      <w:szCs w:val="18"/>
                    </w:rPr>
                    <w:t xml:space="preserve">Foundry </w:t>
                  </w:r>
                </w:p>
              </w:tc>
              <w:tc>
                <w:tcPr>
                  <w:tcW w:w="2855" w:type="dxa"/>
                  <w:tcBorders>
                    <w:top w:val="single" w:sz="12" w:space="0" w:color="000000"/>
                    <w:left w:val="single" w:sz="2" w:space="0" w:color="000000"/>
                    <w:bottom w:val="single" w:sz="12" w:space="0" w:color="000000"/>
                    <w:right w:val="single" w:sz="12" w:space="0" w:color="000000"/>
                  </w:tcBorders>
                </w:tcPr>
                <w:p w:rsidR="00F852EF" w:rsidRDefault="00F852EF" w:rsidP="00615F4B">
                  <w:pPr>
                    <w:pStyle w:val="Default"/>
                    <w:framePr w:hSpace="180" w:wrap="around" w:vAnchor="text" w:hAnchor="text" w:y="1"/>
                    <w:suppressOverlap/>
                    <w:rPr>
                      <w:sz w:val="18"/>
                      <w:szCs w:val="18"/>
                    </w:rPr>
                  </w:pPr>
                  <w:r>
                    <w:rPr>
                      <w:sz w:val="18"/>
                      <w:szCs w:val="18"/>
                    </w:rPr>
                    <w:t xml:space="preserve">Landfill </w:t>
                  </w:r>
                </w:p>
              </w:tc>
            </w:tr>
            <w:tr w:rsidR="00F852EF" w:rsidTr="00F852EF">
              <w:trPr>
                <w:trHeight w:val="276"/>
                <w:jc w:val="center"/>
              </w:trPr>
              <w:tc>
                <w:tcPr>
                  <w:tcW w:w="1631" w:type="dxa"/>
                  <w:tcBorders>
                    <w:top w:val="single" w:sz="12" w:space="0" w:color="000000"/>
                    <w:left w:val="single" w:sz="12" w:space="0" w:color="000000"/>
                    <w:bottom w:val="single" w:sz="12" w:space="0" w:color="000000"/>
                    <w:right w:val="single" w:sz="2" w:space="0" w:color="000000"/>
                  </w:tcBorders>
                  <w:shd w:val="clear" w:color="auto" w:fill="F3F3F3"/>
                </w:tcPr>
                <w:p w:rsidR="00F852EF" w:rsidRDefault="00F852EF" w:rsidP="00615F4B">
                  <w:pPr>
                    <w:pStyle w:val="Default"/>
                    <w:framePr w:hSpace="180" w:wrap="around" w:vAnchor="text" w:hAnchor="text" w:y="1"/>
                    <w:suppressOverlap/>
                    <w:rPr>
                      <w:sz w:val="20"/>
                      <w:szCs w:val="20"/>
                    </w:rPr>
                  </w:pPr>
                  <w:r>
                    <w:rPr>
                      <w:sz w:val="20"/>
                      <w:szCs w:val="20"/>
                    </w:rPr>
                    <w:t>Packaging</w:t>
                  </w:r>
                </w:p>
              </w:tc>
              <w:tc>
                <w:tcPr>
                  <w:tcW w:w="2931" w:type="dxa"/>
                  <w:tcBorders>
                    <w:top w:val="single" w:sz="12" w:space="0" w:color="000000"/>
                    <w:left w:val="single" w:sz="2" w:space="0" w:color="000000"/>
                    <w:bottom w:val="single" w:sz="12" w:space="0" w:color="000000"/>
                    <w:right w:val="single" w:sz="2" w:space="0" w:color="000000"/>
                  </w:tcBorders>
                </w:tcPr>
                <w:p w:rsidR="00F852EF" w:rsidRDefault="00F852EF" w:rsidP="00615F4B">
                  <w:pPr>
                    <w:pStyle w:val="Default"/>
                    <w:framePr w:hSpace="180" w:wrap="around" w:vAnchor="text" w:hAnchor="text" w:y="1"/>
                    <w:suppressOverlap/>
                    <w:rPr>
                      <w:sz w:val="18"/>
                      <w:szCs w:val="18"/>
                    </w:rPr>
                  </w:pPr>
                  <w:r>
                    <w:rPr>
                      <w:sz w:val="18"/>
                      <w:szCs w:val="18"/>
                    </w:rPr>
                    <w:t>Material Recovery</w:t>
                  </w:r>
                </w:p>
                <w:p w:rsidR="00F852EF" w:rsidRPr="00830435" w:rsidRDefault="00F852EF" w:rsidP="00615F4B">
                  <w:pPr>
                    <w:pStyle w:val="Default"/>
                    <w:framePr w:hSpace="180" w:wrap="around" w:vAnchor="text" w:hAnchor="text" w:y="1"/>
                    <w:suppressOverlap/>
                    <w:rPr>
                      <w:color w:val="0000FF"/>
                      <w:sz w:val="18"/>
                      <w:szCs w:val="18"/>
                    </w:rPr>
                  </w:pPr>
                  <w:r w:rsidRPr="00830435">
                    <w:rPr>
                      <w:color w:val="0000FF"/>
                      <w:sz w:val="18"/>
                      <w:szCs w:val="18"/>
                    </w:rPr>
                    <w:t>Recovery of cardboard, plastics and polystyrene</w:t>
                  </w:r>
                </w:p>
              </w:tc>
              <w:tc>
                <w:tcPr>
                  <w:tcW w:w="2970" w:type="dxa"/>
                  <w:tcBorders>
                    <w:top w:val="single" w:sz="12" w:space="0" w:color="000000"/>
                    <w:left w:val="single" w:sz="2" w:space="0" w:color="000000"/>
                    <w:bottom w:val="single" w:sz="12" w:space="0" w:color="000000"/>
                    <w:right w:val="single" w:sz="2" w:space="0" w:color="000000"/>
                  </w:tcBorders>
                  <w:vAlign w:val="center"/>
                </w:tcPr>
                <w:p w:rsidR="00F852EF" w:rsidRDefault="00F852EF" w:rsidP="00615F4B">
                  <w:pPr>
                    <w:pStyle w:val="Default"/>
                    <w:framePr w:hSpace="180" w:wrap="around" w:vAnchor="text" w:hAnchor="text" w:y="1"/>
                    <w:suppressOverlap/>
                    <w:rPr>
                      <w:sz w:val="18"/>
                      <w:szCs w:val="18"/>
                    </w:rPr>
                  </w:pPr>
                  <w:r>
                    <w:rPr>
                      <w:sz w:val="18"/>
                      <w:szCs w:val="18"/>
                    </w:rPr>
                    <w:t>Mechanical or chemical processing</w:t>
                  </w:r>
                </w:p>
              </w:tc>
              <w:tc>
                <w:tcPr>
                  <w:tcW w:w="2855" w:type="dxa"/>
                  <w:tcBorders>
                    <w:top w:val="single" w:sz="12" w:space="0" w:color="000000"/>
                    <w:left w:val="single" w:sz="2" w:space="0" w:color="000000"/>
                    <w:bottom w:val="single" w:sz="12" w:space="0" w:color="000000"/>
                    <w:right w:val="single" w:sz="12" w:space="0" w:color="000000"/>
                  </w:tcBorders>
                </w:tcPr>
                <w:p w:rsidR="00F852EF" w:rsidRDefault="00F852EF" w:rsidP="00615F4B">
                  <w:pPr>
                    <w:pStyle w:val="Default"/>
                    <w:framePr w:hSpace="180" w:wrap="around" w:vAnchor="text" w:hAnchor="text" w:y="1"/>
                    <w:suppressOverlap/>
                    <w:rPr>
                      <w:sz w:val="18"/>
                      <w:szCs w:val="18"/>
                    </w:rPr>
                  </w:pPr>
                  <w:r>
                    <w:rPr>
                      <w:sz w:val="18"/>
                      <w:szCs w:val="18"/>
                    </w:rPr>
                    <w:t>Landfill where materials are recoverable</w:t>
                  </w:r>
                </w:p>
              </w:tc>
            </w:tr>
          </w:tbl>
          <w:p w:rsidR="00F852EF" w:rsidRPr="00CF77DB" w:rsidRDefault="00F852EF" w:rsidP="00F852EF">
            <w:pPr>
              <w:spacing w:before="120" w:after="120"/>
              <w:ind w:left="360"/>
              <w:rPr>
                <w:lang w:val="en-US"/>
              </w:rPr>
            </w:pPr>
          </w:p>
        </w:tc>
      </w:tr>
      <w:tr w:rsidR="00F852EF" w:rsidRPr="003455F9" w:rsidTr="00F852EF">
        <w:trPr>
          <w:trHeight w:val="346"/>
        </w:trPr>
        <w:tc>
          <w:tcPr>
            <w:tcW w:w="2096" w:type="dxa"/>
          </w:tcPr>
          <w:p w:rsidR="00F852EF" w:rsidRPr="00CF77DB" w:rsidRDefault="00F852EF" w:rsidP="00F852EF">
            <w:pPr>
              <w:spacing w:before="120" w:after="120"/>
              <w:rPr>
                <w:lang w:val="en-US"/>
              </w:rPr>
            </w:pPr>
            <w:r w:rsidRPr="00CF77DB">
              <w:rPr>
                <w:lang w:val="en-US"/>
              </w:rPr>
              <w:lastRenderedPageBreak/>
              <w:t>Recycler</w:t>
            </w:r>
          </w:p>
        </w:tc>
        <w:tc>
          <w:tcPr>
            <w:tcW w:w="11812" w:type="dxa"/>
          </w:tcPr>
          <w:p w:rsidR="00F852EF" w:rsidRPr="00CF77DB" w:rsidRDefault="00F852EF" w:rsidP="00F852EF">
            <w:pPr>
              <w:spacing w:before="120" w:after="120"/>
              <w:rPr>
                <w:lang w:val="en-US"/>
              </w:rPr>
            </w:pPr>
            <w:r w:rsidRPr="00CF77DB">
              <w:rPr>
                <w:b/>
                <w:u w:val="single"/>
              </w:rPr>
              <w:t>VES</w:t>
            </w:r>
            <w:r w:rsidRPr="003455F9">
              <w:t xml:space="preserve"> - </w:t>
            </w:r>
            <w:r w:rsidRPr="00CF77DB">
              <w:rPr>
                <w:lang w:val="en-US"/>
              </w:rPr>
              <w:t>acknowledges the interim industry standard as largely appropriate for its purpose. With caveats noted below, it puts appropriate emphasis on driving performance, as well as ensuring required environmental, and occupational health and safety aspects are met.</w:t>
            </w:r>
          </w:p>
          <w:p w:rsidR="00F852EF" w:rsidRDefault="00F852EF" w:rsidP="00F852EF">
            <w:pPr>
              <w:spacing w:before="120" w:after="120"/>
            </w:pPr>
            <w:r w:rsidRPr="00CF77DB">
              <w:rPr>
                <w:b/>
                <w:u w:val="single"/>
              </w:rPr>
              <w:t>SITA</w:t>
            </w:r>
            <w:r>
              <w:t xml:space="preserve"> - </w:t>
            </w:r>
            <w:r w:rsidRPr="00007788">
              <w:t>Yes, for an Interim Industry Standard.</w:t>
            </w:r>
          </w:p>
          <w:p w:rsidR="00F852EF" w:rsidRDefault="00F852EF" w:rsidP="00F852EF">
            <w:pPr>
              <w:spacing w:before="120" w:after="120"/>
            </w:pPr>
            <w:r w:rsidRPr="00CF77DB">
              <w:rPr>
                <w:b/>
                <w:u w:val="single"/>
              </w:rPr>
              <w:t>Mai-Wel E-Cycling Services</w:t>
            </w:r>
            <w:r>
              <w:t xml:space="preserve"> - With the appropriate mix of education, promotion, accessibility &amp; community involvement it is possible to achieve very high recycling rates in a relatively short period. For instance</w:t>
            </w:r>
          </w:p>
          <w:p w:rsidR="00F852EF" w:rsidRDefault="00F852EF" w:rsidP="00162446">
            <w:pPr>
              <w:numPr>
                <w:ilvl w:val="0"/>
                <w:numId w:val="96"/>
              </w:numPr>
              <w:spacing w:before="120" w:after="120"/>
              <w:jc w:val="left"/>
            </w:pPr>
            <w:r>
              <w:t>Free collection and/or drop off days</w:t>
            </w:r>
          </w:p>
          <w:p w:rsidR="00F852EF" w:rsidRDefault="00F852EF" w:rsidP="00162446">
            <w:pPr>
              <w:numPr>
                <w:ilvl w:val="0"/>
                <w:numId w:val="96"/>
              </w:numPr>
              <w:spacing w:before="120" w:after="120"/>
              <w:jc w:val="left"/>
            </w:pPr>
            <w:r>
              <w:t>Free collection points at Council waste management facilities</w:t>
            </w:r>
          </w:p>
          <w:p w:rsidR="00F852EF" w:rsidRDefault="00F852EF" w:rsidP="00162446">
            <w:pPr>
              <w:numPr>
                <w:ilvl w:val="0"/>
                <w:numId w:val="96"/>
              </w:numPr>
              <w:spacing w:before="120" w:after="120"/>
              <w:jc w:val="left"/>
            </w:pPr>
            <w:r>
              <w:t>Online and print advertising</w:t>
            </w:r>
          </w:p>
          <w:p w:rsidR="00F852EF" w:rsidRDefault="00F852EF" w:rsidP="00162446">
            <w:pPr>
              <w:numPr>
                <w:ilvl w:val="0"/>
                <w:numId w:val="96"/>
              </w:numPr>
              <w:spacing w:before="120" w:after="120"/>
              <w:jc w:val="left"/>
            </w:pPr>
            <w:r>
              <w:t>Not for profit Disability Service Providers managing local and comprehensive disassembly</w:t>
            </w:r>
          </w:p>
          <w:p w:rsidR="00F852EF" w:rsidRDefault="00F852EF" w:rsidP="00162446">
            <w:pPr>
              <w:numPr>
                <w:ilvl w:val="0"/>
                <w:numId w:val="96"/>
              </w:numPr>
              <w:spacing w:before="120" w:after="120"/>
              <w:jc w:val="left"/>
            </w:pPr>
            <w:r>
              <w:t>24 full time jobs (20 of which are people with a disability)</w:t>
            </w:r>
          </w:p>
          <w:p w:rsidR="00F852EF" w:rsidRPr="00007788" w:rsidRDefault="00F852EF" w:rsidP="00162446">
            <w:pPr>
              <w:numPr>
                <w:ilvl w:val="0"/>
                <w:numId w:val="96"/>
              </w:numPr>
              <w:spacing w:before="120" w:after="120"/>
              <w:jc w:val="left"/>
            </w:pPr>
            <w:r>
              <w:t>Over 385 tonnes recycled in first 18 months of operation.</w:t>
            </w:r>
          </w:p>
        </w:tc>
      </w:tr>
      <w:tr w:rsidR="00F852EF" w:rsidRPr="003455F9" w:rsidTr="00F852EF">
        <w:trPr>
          <w:trHeight w:val="346"/>
        </w:trPr>
        <w:tc>
          <w:tcPr>
            <w:tcW w:w="13908" w:type="dxa"/>
            <w:gridSpan w:val="2"/>
            <w:shd w:val="clear" w:color="auto" w:fill="F3F3F3"/>
          </w:tcPr>
          <w:p w:rsidR="00F852EF" w:rsidRPr="00CF77DB" w:rsidRDefault="00F852EF" w:rsidP="00F852EF">
            <w:pPr>
              <w:spacing w:before="120" w:after="120"/>
              <w:rPr>
                <w:i/>
                <w:lang w:val="en-US"/>
              </w:rPr>
            </w:pPr>
            <w:r w:rsidRPr="00CF77DB">
              <w:rPr>
                <w:i/>
                <w:lang w:val="en-US"/>
              </w:rPr>
              <w:t xml:space="preserve">Question 2: Are the required occupational health and safety and environmental performance appropriately incorporated, including as defined by Commonwealth, state and territory laws, including the </w:t>
            </w:r>
            <w:smartTag w:uri="urn:schemas-microsoft-com:office:smarttags" w:element="PersonName">
              <w:r w:rsidRPr="00CF77DB">
                <w:rPr>
                  <w:i/>
                  <w:lang w:val="en-US"/>
                </w:rPr>
                <w:t>Hazardous Waste</w:t>
              </w:r>
            </w:smartTag>
            <w:r w:rsidRPr="00CF77DB">
              <w:rPr>
                <w:i/>
                <w:lang w:val="en-US"/>
              </w:rPr>
              <w:t xml:space="preserve"> (Regulation of Exports and Imports) Act 1989 (Cth), and as identified in relevant international standards?</w:t>
            </w:r>
          </w:p>
        </w:tc>
      </w:tr>
      <w:tr w:rsidR="00F852EF" w:rsidRPr="003455F9" w:rsidTr="00F852EF">
        <w:trPr>
          <w:trHeight w:val="530"/>
        </w:trPr>
        <w:tc>
          <w:tcPr>
            <w:tcW w:w="2096" w:type="dxa"/>
          </w:tcPr>
          <w:p w:rsidR="00F852EF" w:rsidRPr="00CF77DB" w:rsidRDefault="00F852EF" w:rsidP="00F852EF">
            <w:pPr>
              <w:spacing w:before="120" w:after="120"/>
              <w:rPr>
                <w:lang w:val="en-US"/>
              </w:rPr>
            </w:pPr>
            <w:r w:rsidRPr="00CF77DB">
              <w:rPr>
                <w:lang w:val="en-US"/>
              </w:rPr>
              <w:t>Industry Association</w:t>
            </w:r>
          </w:p>
        </w:tc>
        <w:tc>
          <w:tcPr>
            <w:tcW w:w="11812" w:type="dxa"/>
          </w:tcPr>
          <w:p w:rsidR="00F852EF" w:rsidRPr="00CF77DB" w:rsidRDefault="00F852EF" w:rsidP="00F852EF">
            <w:pPr>
              <w:spacing w:before="120" w:after="120"/>
              <w:rPr>
                <w:lang w:val="en-US"/>
              </w:rPr>
            </w:pPr>
            <w:r w:rsidRPr="00CF77DB">
              <w:rPr>
                <w:b/>
                <w:u w:val="single"/>
                <w:lang w:val="en-US"/>
              </w:rPr>
              <w:t>AMTA</w:t>
            </w:r>
            <w:r w:rsidRPr="00CF77DB">
              <w:rPr>
                <w:lang w:val="en-US"/>
              </w:rPr>
              <w:t xml:space="preserve"> - It is comprehensive – there does not appear to be any gaps, however, the reality is that until the sites are audited it is difficult to confirm if they comply with all performance standards and regulations.</w:t>
            </w:r>
          </w:p>
        </w:tc>
      </w:tr>
      <w:tr w:rsidR="00F852EF" w:rsidRPr="003455F9" w:rsidTr="00F852EF">
        <w:trPr>
          <w:trHeight w:val="530"/>
        </w:trPr>
        <w:tc>
          <w:tcPr>
            <w:tcW w:w="2096" w:type="dxa"/>
          </w:tcPr>
          <w:p w:rsidR="00F852EF" w:rsidRPr="00CF77DB" w:rsidRDefault="00F852EF" w:rsidP="00F852EF">
            <w:pPr>
              <w:spacing w:before="120" w:after="120"/>
              <w:rPr>
                <w:lang w:val="en-US"/>
              </w:rPr>
            </w:pPr>
            <w:r w:rsidRPr="00CF77DB">
              <w:rPr>
                <w:lang w:val="en-US"/>
              </w:rPr>
              <w:t>Local Government</w:t>
            </w:r>
          </w:p>
        </w:tc>
        <w:tc>
          <w:tcPr>
            <w:tcW w:w="11812" w:type="dxa"/>
          </w:tcPr>
          <w:p w:rsidR="00F852EF" w:rsidRPr="00CF77DB" w:rsidRDefault="00F852EF" w:rsidP="00F852EF">
            <w:pPr>
              <w:spacing w:before="120" w:after="120"/>
              <w:rPr>
                <w:lang w:val="en-US"/>
              </w:rPr>
            </w:pPr>
            <w:r w:rsidRPr="00CF77DB">
              <w:rPr>
                <w:b/>
                <w:u w:val="single"/>
                <w:lang w:val="en-US"/>
              </w:rPr>
              <w:t>Leichhardt Council</w:t>
            </w:r>
            <w:r w:rsidRPr="00CF77DB">
              <w:rPr>
                <w:lang w:val="en-US"/>
              </w:rPr>
              <w:t xml:space="preserve"> -</w:t>
            </w:r>
            <w:r>
              <w:rPr>
                <w:lang w:val="en-US"/>
              </w:rPr>
              <w:t xml:space="preserve"> </w:t>
            </w:r>
            <w:r w:rsidRPr="00CF77DB">
              <w:rPr>
                <w:lang w:val="en-US"/>
              </w:rPr>
              <w:t xml:space="preserve">As above. There is also a gap between current substances used in some electronic equipment and new chemicals added under the </w:t>
            </w:r>
            <w:smartTag w:uri="urn:schemas-microsoft-com:office:smarttags" w:element="place">
              <w:smartTag w:uri="urn:schemas-microsoft-com:office:smarttags" w:element="City">
                <w:r w:rsidRPr="00CF77DB">
                  <w:rPr>
                    <w:lang w:val="en-US"/>
                  </w:rPr>
                  <w:t>Stockholm</w:t>
                </w:r>
              </w:smartTag>
            </w:smartTag>
            <w:r w:rsidRPr="00CF77DB">
              <w:rPr>
                <w:lang w:val="en-US"/>
              </w:rPr>
              <w:t xml:space="preserve"> convention. If this is not addressed then OH &amp; S / environmental performance would not be in accordance with relevant international standards.</w:t>
            </w:r>
          </w:p>
        </w:tc>
      </w:tr>
      <w:tr w:rsidR="00F852EF" w:rsidRPr="003455F9" w:rsidTr="00F852EF">
        <w:trPr>
          <w:trHeight w:val="530"/>
        </w:trPr>
        <w:tc>
          <w:tcPr>
            <w:tcW w:w="2096" w:type="dxa"/>
          </w:tcPr>
          <w:p w:rsidR="00F852EF" w:rsidRPr="00CF77DB" w:rsidRDefault="00F852EF" w:rsidP="00F852EF">
            <w:pPr>
              <w:spacing w:before="120" w:after="120"/>
              <w:rPr>
                <w:lang w:val="en-US"/>
              </w:rPr>
            </w:pPr>
            <w:r w:rsidRPr="00CF77DB">
              <w:rPr>
                <w:lang w:val="en-US"/>
              </w:rPr>
              <w:t>NGO</w:t>
            </w:r>
          </w:p>
        </w:tc>
        <w:tc>
          <w:tcPr>
            <w:tcW w:w="11812" w:type="dxa"/>
          </w:tcPr>
          <w:p w:rsidR="00F852EF" w:rsidRDefault="00F852EF" w:rsidP="00F852EF">
            <w:pPr>
              <w:spacing w:before="120" w:after="120"/>
            </w:pPr>
            <w:r w:rsidRPr="00CF77DB">
              <w:rPr>
                <w:b/>
                <w:u w:val="single"/>
              </w:rPr>
              <w:t>CRN</w:t>
            </w:r>
            <w:r>
              <w:t xml:space="preserve"> - The concern is that the definition within the document of a recycler specifies this role being involved in the reprocessing of materials. A pre-processor / dismantler simply takes a product apart into component parts without disturbing the material; this has implementation around the level of OH&amp;S controls; i.e. air monitoring, risk assessments and the control measures to ensure a safe workplace. The clear definition of a pre-processor / dismantler should be included outlining the tasks involved within this role.</w:t>
            </w:r>
          </w:p>
          <w:p w:rsidR="00F852EF" w:rsidRPr="00236980" w:rsidRDefault="00F852EF" w:rsidP="00F852EF">
            <w:pPr>
              <w:spacing w:before="120" w:after="120"/>
            </w:pPr>
            <w:r w:rsidRPr="00CF77DB">
              <w:rPr>
                <w:b/>
                <w:u w:val="single"/>
              </w:rPr>
              <w:t>TEC/NTN</w:t>
            </w:r>
            <w:r w:rsidRPr="00CF77DB">
              <w:rPr>
                <w:b/>
              </w:rPr>
              <w:t xml:space="preserve"> </w:t>
            </w:r>
            <w:r w:rsidRPr="00236980">
              <w:t xml:space="preserve">- No. The DIIS requires ‘Monitoring of worker exposure or air emissions if potential exposure above the safe exposure limits or potential for emissions to atmosphere have been identified as a potential risk.’ (p. 9, 4.1.d) This is well below standards, as it is only through adequate monitoring that exposures will be identified. All recycling facilities and workers must therefore be subject </w:t>
            </w:r>
            <w:r w:rsidRPr="00236980">
              <w:lastRenderedPageBreak/>
              <w:t xml:space="preserve">to exposure monitoring. </w:t>
            </w:r>
          </w:p>
        </w:tc>
      </w:tr>
      <w:tr w:rsidR="00F852EF" w:rsidRPr="003455F9" w:rsidTr="00F852EF">
        <w:trPr>
          <w:trHeight w:val="530"/>
        </w:trPr>
        <w:tc>
          <w:tcPr>
            <w:tcW w:w="2096" w:type="dxa"/>
          </w:tcPr>
          <w:p w:rsidR="00F852EF" w:rsidRPr="00CF77DB" w:rsidRDefault="00F852EF" w:rsidP="00F852EF">
            <w:pPr>
              <w:spacing w:before="120" w:after="120"/>
              <w:rPr>
                <w:lang w:val="en-US"/>
              </w:rPr>
            </w:pPr>
            <w:r w:rsidRPr="00CF77DB">
              <w:rPr>
                <w:lang w:val="en-US"/>
              </w:rPr>
              <w:lastRenderedPageBreak/>
              <w:t>Recycler</w:t>
            </w:r>
          </w:p>
        </w:tc>
        <w:tc>
          <w:tcPr>
            <w:tcW w:w="11812" w:type="dxa"/>
          </w:tcPr>
          <w:p w:rsidR="00F852EF" w:rsidRPr="00CF77DB" w:rsidRDefault="00F852EF" w:rsidP="00F852EF">
            <w:pPr>
              <w:spacing w:before="120" w:after="120"/>
              <w:rPr>
                <w:lang w:val="en-US"/>
              </w:rPr>
            </w:pPr>
            <w:r w:rsidRPr="00CF77DB">
              <w:rPr>
                <w:b/>
                <w:u w:val="single"/>
                <w:lang w:val="en-US"/>
              </w:rPr>
              <w:t>VES</w:t>
            </w:r>
            <w:r>
              <w:rPr>
                <w:lang w:val="en-US"/>
              </w:rPr>
              <w:t xml:space="preserve"> </w:t>
            </w:r>
            <w:r w:rsidRPr="00CF77DB">
              <w:rPr>
                <w:lang w:val="en-US"/>
              </w:rPr>
              <w:t>-Yes. In the context of Australian provisions, the interim industry standard puts appropriate emphases with regard to OHS and environmental performance aspects on to different segments of the EOL TV and computer supply chain. VES is not in a position to comment on international provisions.</w:t>
            </w:r>
          </w:p>
          <w:p w:rsidR="00F852EF" w:rsidRPr="00CF77DB" w:rsidRDefault="00F852EF" w:rsidP="00F852EF">
            <w:pPr>
              <w:spacing w:before="120" w:after="120"/>
              <w:rPr>
                <w:lang w:val="en-US"/>
              </w:rPr>
            </w:pPr>
            <w:r w:rsidRPr="00CF77DB">
              <w:rPr>
                <w:b/>
                <w:u w:val="single"/>
                <w:lang w:val="en-US"/>
              </w:rPr>
              <w:t>Recovery TAS</w:t>
            </w:r>
            <w:r w:rsidRPr="00CF77DB">
              <w:rPr>
                <w:lang w:val="en-US"/>
              </w:rPr>
              <w:t xml:space="preserve"> - They are sufficient</w:t>
            </w:r>
          </w:p>
          <w:p w:rsidR="00F852EF" w:rsidRDefault="00F852EF" w:rsidP="00F852EF">
            <w:pPr>
              <w:spacing w:before="120" w:after="120"/>
            </w:pPr>
            <w:r w:rsidRPr="00CF77DB">
              <w:rPr>
                <w:b/>
                <w:u w:val="single"/>
              </w:rPr>
              <w:t>SITA</w:t>
            </w:r>
            <w:r>
              <w:t xml:space="preserve"> - </w:t>
            </w:r>
            <w:r w:rsidRPr="00007788">
              <w:t>Yes, for an Interim Industry Standard.</w:t>
            </w:r>
          </w:p>
          <w:p w:rsidR="00F852EF" w:rsidRDefault="00F852EF" w:rsidP="00F852EF">
            <w:pPr>
              <w:spacing w:before="120" w:after="120"/>
            </w:pPr>
            <w:r w:rsidRPr="00CF77DB">
              <w:rPr>
                <w:b/>
                <w:u w:val="single"/>
              </w:rPr>
              <w:t>Mai-Wel E-Cycling Services</w:t>
            </w:r>
            <w:r>
              <w:t xml:space="preserve"> - A key understanding needs to be achieved that disassembly at local/regional level is critical to reducing logistical costs and environmental impact.</w:t>
            </w:r>
          </w:p>
          <w:p w:rsidR="00F852EF" w:rsidRDefault="00F852EF" w:rsidP="00F852EF">
            <w:pPr>
              <w:spacing w:before="120" w:after="120"/>
            </w:pPr>
            <w:r>
              <w:t>However, disassembly and the sale of commodity components is very different to the complete on-site recycling of items. Lower hazards, infrastructure and environmental impacts can be achieved by utilising, local/regional disassembly in conjunction with the downstream recyclers, including those that send components for off-shore processing.</w:t>
            </w:r>
          </w:p>
          <w:p w:rsidR="00F852EF" w:rsidRPr="00E83CE1" w:rsidRDefault="00F852EF" w:rsidP="00F852EF">
            <w:pPr>
              <w:spacing w:before="120" w:after="120"/>
            </w:pPr>
            <w:r>
              <w:t>Importantly this demonstrates that local disassembly such as that provided by Mai-Wel E-Cycling Services (in partnership with Hunter Resource Recovery) can work in parallel to and add value to downstream recyclers.</w:t>
            </w:r>
          </w:p>
        </w:tc>
      </w:tr>
      <w:tr w:rsidR="00F852EF" w:rsidRPr="003455F9" w:rsidTr="00F852EF">
        <w:trPr>
          <w:trHeight w:val="530"/>
        </w:trPr>
        <w:tc>
          <w:tcPr>
            <w:tcW w:w="13908" w:type="dxa"/>
            <w:gridSpan w:val="2"/>
            <w:shd w:val="clear" w:color="auto" w:fill="F3F3F3"/>
          </w:tcPr>
          <w:p w:rsidR="00F852EF" w:rsidRPr="00CF77DB" w:rsidRDefault="00F852EF" w:rsidP="00F852EF">
            <w:pPr>
              <w:spacing w:before="120" w:after="120"/>
              <w:rPr>
                <w:i/>
                <w:lang w:val="en-US"/>
              </w:rPr>
            </w:pPr>
            <w:r w:rsidRPr="00CF77DB">
              <w:rPr>
                <w:i/>
                <w:lang w:val="en-US"/>
              </w:rPr>
              <w:t>Question 3: Does the interim industry standard provide for adequate auditing and validation requirements in any contracts between the industry-led Scheme and service providers? Do these arrangements align with international best practice?</w:t>
            </w:r>
          </w:p>
        </w:tc>
      </w:tr>
      <w:tr w:rsidR="00F852EF" w:rsidRPr="003455F9" w:rsidTr="00F852EF">
        <w:trPr>
          <w:trHeight w:val="350"/>
        </w:trPr>
        <w:tc>
          <w:tcPr>
            <w:tcW w:w="2096" w:type="dxa"/>
          </w:tcPr>
          <w:p w:rsidR="00F852EF" w:rsidRPr="00CF77DB" w:rsidRDefault="00F852EF" w:rsidP="00F852EF">
            <w:pPr>
              <w:spacing w:before="120" w:after="120"/>
              <w:rPr>
                <w:lang w:val="en-US"/>
              </w:rPr>
            </w:pPr>
            <w:r w:rsidRPr="00CF77DB">
              <w:rPr>
                <w:lang w:val="en-US"/>
              </w:rPr>
              <w:t>Industry Association</w:t>
            </w:r>
          </w:p>
        </w:tc>
        <w:tc>
          <w:tcPr>
            <w:tcW w:w="11812" w:type="dxa"/>
          </w:tcPr>
          <w:p w:rsidR="00F852EF" w:rsidRPr="00CF77DB" w:rsidRDefault="00F852EF" w:rsidP="00F852EF">
            <w:pPr>
              <w:spacing w:before="120" w:after="120"/>
              <w:rPr>
                <w:color w:val="000000"/>
                <w:lang w:val="en-US"/>
              </w:rPr>
            </w:pPr>
            <w:r w:rsidRPr="00CF77DB">
              <w:rPr>
                <w:b/>
                <w:color w:val="000000"/>
                <w:u w:val="single"/>
                <w:lang w:val="en-US"/>
              </w:rPr>
              <w:t>AMTA</w:t>
            </w:r>
            <w:r w:rsidRPr="00CF77DB">
              <w:rPr>
                <w:color w:val="000000"/>
                <w:lang w:val="en-US"/>
              </w:rPr>
              <w:t xml:space="preserve"> -</w:t>
            </w:r>
            <w:r>
              <w:rPr>
                <w:color w:val="000000"/>
                <w:lang w:val="en-US"/>
              </w:rPr>
              <w:t xml:space="preserve"> </w:t>
            </w:r>
            <w:r w:rsidRPr="00CF77DB">
              <w:rPr>
                <w:color w:val="000000"/>
                <w:lang w:val="en-US"/>
              </w:rPr>
              <w:t>Yes it sets a good framework for the PRO to audit and validate performance by a collector, transporter and Recycler. They may choose to go into more detail in some areas – eg storage bins used</w:t>
            </w:r>
          </w:p>
        </w:tc>
      </w:tr>
      <w:tr w:rsidR="00F852EF" w:rsidRPr="003455F9" w:rsidTr="00F852EF">
        <w:trPr>
          <w:trHeight w:val="350"/>
        </w:trPr>
        <w:tc>
          <w:tcPr>
            <w:tcW w:w="2096" w:type="dxa"/>
          </w:tcPr>
          <w:p w:rsidR="00F852EF" w:rsidRPr="00CF77DB" w:rsidRDefault="00F852EF" w:rsidP="00F852EF">
            <w:pPr>
              <w:spacing w:before="120" w:after="120"/>
              <w:rPr>
                <w:lang w:val="en-US"/>
              </w:rPr>
            </w:pPr>
            <w:r w:rsidRPr="00CF77DB">
              <w:rPr>
                <w:lang w:val="en-US"/>
              </w:rPr>
              <w:t>Local Government</w:t>
            </w:r>
          </w:p>
        </w:tc>
        <w:tc>
          <w:tcPr>
            <w:tcW w:w="11812" w:type="dxa"/>
          </w:tcPr>
          <w:p w:rsidR="00F852EF" w:rsidRPr="00CF77DB" w:rsidRDefault="00F852EF" w:rsidP="00F852EF">
            <w:pPr>
              <w:spacing w:before="120" w:after="120"/>
              <w:rPr>
                <w:lang w:val="en-US"/>
              </w:rPr>
            </w:pPr>
            <w:r w:rsidRPr="00CF77DB">
              <w:rPr>
                <w:b/>
                <w:u w:val="single"/>
                <w:lang w:val="en-US"/>
              </w:rPr>
              <w:t>Leichhardt Council</w:t>
            </w:r>
            <w:r w:rsidRPr="00CF77DB">
              <w:rPr>
                <w:lang w:val="en-US"/>
              </w:rPr>
              <w:t xml:space="preserve"> -</w:t>
            </w:r>
            <w:r>
              <w:rPr>
                <w:lang w:val="en-US"/>
              </w:rPr>
              <w:t xml:space="preserve"> </w:t>
            </w:r>
            <w:r w:rsidRPr="00CF77DB">
              <w:rPr>
                <w:lang w:val="en-US"/>
              </w:rPr>
              <w:t>Whilst there are requirements in place for reporting processes within the Interim Standard, it is not clear who is actually responsible for tracking and how this information will be publicly reported, so the public has confidence that materials are being appropriately handled. Matching mass inputs to mass outputs would be a challenging task</w:t>
            </w:r>
            <w:r>
              <w:rPr>
                <w:lang w:val="en-US"/>
              </w:rPr>
              <w:t xml:space="preserve"> </w:t>
            </w:r>
            <w:r w:rsidRPr="00CF77DB">
              <w:rPr>
                <w:lang w:val="en-US"/>
              </w:rPr>
              <w:t>Without physical audits there is no accountability apart from on paper, between processors down the chain. Clause 7.7 refers to ‘periodic auditing’ but what % of locations are going to be randomly audited who by and how often and what resources are available to physically and financially fund this?</w:t>
            </w:r>
          </w:p>
        </w:tc>
      </w:tr>
      <w:tr w:rsidR="00F852EF" w:rsidRPr="003455F9" w:rsidTr="00F852EF">
        <w:trPr>
          <w:trHeight w:val="350"/>
        </w:trPr>
        <w:tc>
          <w:tcPr>
            <w:tcW w:w="2096" w:type="dxa"/>
          </w:tcPr>
          <w:p w:rsidR="00F852EF" w:rsidRPr="00CF77DB" w:rsidRDefault="00F852EF" w:rsidP="00F852EF">
            <w:pPr>
              <w:spacing w:before="120" w:after="120"/>
              <w:rPr>
                <w:lang w:val="en-US"/>
              </w:rPr>
            </w:pPr>
            <w:r w:rsidRPr="00CF77DB">
              <w:rPr>
                <w:lang w:val="en-US"/>
              </w:rPr>
              <w:t>NGO</w:t>
            </w:r>
          </w:p>
        </w:tc>
        <w:tc>
          <w:tcPr>
            <w:tcW w:w="11812" w:type="dxa"/>
          </w:tcPr>
          <w:p w:rsidR="00F852EF" w:rsidRDefault="00F852EF" w:rsidP="00F852EF">
            <w:pPr>
              <w:spacing w:before="120" w:after="120"/>
            </w:pPr>
            <w:r w:rsidRPr="00CF77DB">
              <w:rPr>
                <w:b/>
                <w:u w:val="single"/>
              </w:rPr>
              <w:t>CRN</w:t>
            </w:r>
            <w:r>
              <w:t xml:space="preserve"> - The DIIS needs to provide further details of the “auditing regime” for collection locations. The DIIS requests “periodic” second and third party audits of downstream recyclers, what does the DIIS consider “periodic” once a year, twice a year etc</w:t>
            </w:r>
          </w:p>
          <w:p w:rsidR="00F852EF" w:rsidRPr="00236980" w:rsidRDefault="00F852EF" w:rsidP="00F852EF">
            <w:pPr>
              <w:spacing w:before="120" w:after="120"/>
            </w:pPr>
            <w:r w:rsidRPr="00CF77DB">
              <w:rPr>
                <w:b/>
                <w:u w:val="single"/>
                <w:lang w:val="en-US"/>
              </w:rPr>
              <w:t>TEC/NTN</w:t>
            </w:r>
            <w:r w:rsidRPr="00CF77DB">
              <w:rPr>
                <w:lang w:val="en-US"/>
              </w:rPr>
              <w:t xml:space="preserve"> - </w:t>
            </w:r>
            <w:r w:rsidRPr="00236980">
              <w:t xml:space="preserve">No. The DIIS adopts poor standards for the tracking of materials from first recyclers to their final destination. This is well below WEEE requirements that enable proper understanding of whether the Scheme is meeting its targets. Such data is necessary to ensure that the Scheme is delivering on its goals and to maintain consumer confidence that the Scheme is not ‘greenwash’. It is therefore essential that all materials, not just ‘substances of concern’ are tracked – and auditable - to their final </w:t>
            </w:r>
            <w:r w:rsidRPr="00236980">
              <w:lastRenderedPageBreak/>
              <w:t>destination.</w:t>
            </w:r>
          </w:p>
          <w:p w:rsidR="00F852EF" w:rsidRPr="00007788" w:rsidRDefault="00F852EF" w:rsidP="00F852EF">
            <w:pPr>
              <w:spacing w:before="120" w:after="120"/>
            </w:pPr>
            <w:r w:rsidRPr="00236980">
              <w:t xml:space="preserve">In addition, the DIIS states that ‘If relevant information on the hazardous nature of the material or components submitted for recycling is not known, information should be sought from the manufacturer directly or from the National Television and Computer Product Stewardship Program’. (p. 9, 3) Information should not be limited to the PRO but be sought from research and international bodies such as the POPs Review Committee reports, </w:t>
            </w:r>
            <w:r>
              <w:t xml:space="preserve">UNEP documentation, NGOs, etc. </w:t>
            </w:r>
          </w:p>
        </w:tc>
      </w:tr>
      <w:tr w:rsidR="00F852EF" w:rsidRPr="003455F9" w:rsidTr="00F852EF">
        <w:trPr>
          <w:trHeight w:val="350"/>
        </w:trPr>
        <w:tc>
          <w:tcPr>
            <w:tcW w:w="2096" w:type="dxa"/>
          </w:tcPr>
          <w:p w:rsidR="00F852EF" w:rsidRPr="00CF77DB" w:rsidRDefault="00F852EF" w:rsidP="00F852EF">
            <w:pPr>
              <w:spacing w:before="120" w:after="120"/>
              <w:rPr>
                <w:lang w:val="en-US"/>
              </w:rPr>
            </w:pPr>
            <w:r w:rsidRPr="00CF77DB">
              <w:rPr>
                <w:lang w:val="en-US"/>
              </w:rPr>
              <w:lastRenderedPageBreak/>
              <w:t>Recycler</w:t>
            </w:r>
          </w:p>
        </w:tc>
        <w:tc>
          <w:tcPr>
            <w:tcW w:w="11812" w:type="dxa"/>
          </w:tcPr>
          <w:p w:rsidR="00F852EF" w:rsidRPr="00CF77DB" w:rsidRDefault="00F852EF" w:rsidP="00F852EF">
            <w:pPr>
              <w:spacing w:before="120" w:after="120"/>
              <w:rPr>
                <w:lang w:val="en-US"/>
              </w:rPr>
            </w:pPr>
            <w:r w:rsidRPr="00CF77DB">
              <w:rPr>
                <w:b/>
                <w:u w:val="single"/>
                <w:lang w:val="en-US"/>
              </w:rPr>
              <w:t>VES</w:t>
            </w:r>
            <w:r w:rsidRPr="00CF77DB">
              <w:rPr>
                <w:lang w:val="en-US"/>
              </w:rPr>
              <w:t xml:space="preserve"> - While it is understood what records and data needs to be collected and retained, it is unclear from the interim industry standard what the specific auditing and validation requirements will be. This should be clarified to increase the rigour of the interim standard.</w:t>
            </w:r>
          </w:p>
          <w:p w:rsidR="00F852EF" w:rsidRPr="00CF77DB" w:rsidRDefault="00F852EF" w:rsidP="00F852EF">
            <w:pPr>
              <w:spacing w:before="120" w:after="120"/>
              <w:rPr>
                <w:lang w:val="en-US"/>
              </w:rPr>
            </w:pPr>
            <w:r w:rsidRPr="00CF77DB">
              <w:rPr>
                <w:b/>
                <w:u w:val="single"/>
                <w:lang w:val="en-US"/>
              </w:rPr>
              <w:t>Recovery TAS</w:t>
            </w:r>
            <w:r w:rsidRPr="00CF77DB">
              <w:rPr>
                <w:lang w:val="en-US"/>
              </w:rPr>
              <w:t xml:space="preserve"> - The standards are sufficient, how ever emphasis should be placed on ensuring existing 2nd life outcomes remain and can continue to grow with out undue hindrance.</w:t>
            </w:r>
          </w:p>
          <w:p w:rsidR="00F852EF" w:rsidRPr="00CF77DB" w:rsidRDefault="00F852EF" w:rsidP="00F852EF">
            <w:pPr>
              <w:spacing w:before="120" w:after="120"/>
              <w:rPr>
                <w:lang w:val="en-US"/>
              </w:rPr>
            </w:pPr>
            <w:r w:rsidRPr="00CF77DB">
              <w:rPr>
                <w:b/>
                <w:u w:val="single"/>
              </w:rPr>
              <w:t>SITA</w:t>
            </w:r>
            <w:r>
              <w:t xml:space="preserve"> - </w:t>
            </w:r>
            <w:r w:rsidRPr="00CF77DB">
              <w:rPr>
                <w:lang w:val="en-US"/>
              </w:rPr>
              <w:t>the inclusion of date of destruction in the reporting would add significantly to the data recorded and strengthen payment structures whilst enforcing recycling and avoiding stockpiling.</w:t>
            </w:r>
            <w:r>
              <w:rPr>
                <w:lang w:val="en-US"/>
              </w:rPr>
              <w:t xml:space="preserve"> </w:t>
            </w:r>
            <w:r w:rsidRPr="00CF77DB">
              <w:rPr>
                <w:lang w:val="en-US"/>
              </w:rPr>
              <w:t xml:space="preserve">Refer to the comment relating to Page 18 / 7.5 Traceability. This is based on experience and advice from SITA’s WEEE facility in </w:t>
            </w:r>
            <w:smartTag w:uri="urn:schemas-microsoft-com:office:smarttags" w:element="place">
              <w:smartTag w:uri="urn:schemas-microsoft-com:office:smarttags" w:element="country-region">
                <w:r w:rsidRPr="00CF77DB">
                  <w:rPr>
                    <w:lang w:val="en-US"/>
                  </w:rPr>
                  <w:t>France</w:t>
                </w:r>
              </w:smartTag>
            </w:smartTag>
            <w:r w:rsidRPr="00CF77DB">
              <w:rPr>
                <w:lang w:val="en-US"/>
              </w:rPr>
              <w:t xml:space="preserve">. SITA Australia would be happy to discuss this further if needed. </w:t>
            </w:r>
          </w:p>
          <w:p w:rsidR="00F852EF" w:rsidRPr="00E83CE1" w:rsidRDefault="00F852EF" w:rsidP="00F852EF">
            <w:pPr>
              <w:spacing w:before="120" w:after="120"/>
            </w:pPr>
            <w:r w:rsidRPr="00CF77DB">
              <w:rPr>
                <w:b/>
                <w:u w:val="single"/>
              </w:rPr>
              <w:t>Mai-Wel E-Cycling Services</w:t>
            </w:r>
            <w:r>
              <w:t xml:space="preserve"> - Overall, this is correct. However it must be noted once again that the system should encourage and support local delivery of service by local organisations, rather than allow large corporations to dominate, without regard for local communities and organisations. Alignment with ISO 14001 should ensure the highest standards are maintained.</w:t>
            </w:r>
          </w:p>
        </w:tc>
      </w:tr>
      <w:tr w:rsidR="00F852EF" w:rsidRPr="003455F9" w:rsidTr="00F852EF">
        <w:trPr>
          <w:trHeight w:val="530"/>
        </w:trPr>
        <w:tc>
          <w:tcPr>
            <w:tcW w:w="13908" w:type="dxa"/>
            <w:gridSpan w:val="2"/>
            <w:shd w:val="clear" w:color="auto" w:fill="F3F3F3"/>
          </w:tcPr>
          <w:p w:rsidR="00F852EF" w:rsidRPr="00CF77DB" w:rsidRDefault="00F852EF" w:rsidP="00F852EF">
            <w:pPr>
              <w:spacing w:before="120" w:after="120"/>
              <w:rPr>
                <w:lang w:val="en-US"/>
              </w:rPr>
            </w:pPr>
            <w:r w:rsidRPr="00CF77DB">
              <w:rPr>
                <w:i/>
                <w:color w:val="000000"/>
                <w:lang w:val="en-US"/>
              </w:rPr>
              <w:t>Question 4: Is the standard appropriate for an Australian context, including consideration of regional and remote areas and demographic spread?</w:t>
            </w:r>
          </w:p>
        </w:tc>
      </w:tr>
      <w:tr w:rsidR="00F852EF" w:rsidRPr="003455F9" w:rsidTr="00F852EF">
        <w:trPr>
          <w:trHeight w:val="530"/>
        </w:trPr>
        <w:tc>
          <w:tcPr>
            <w:tcW w:w="2096" w:type="dxa"/>
          </w:tcPr>
          <w:p w:rsidR="00F852EF" w:rsidRPr="00CF77DB" w:rsidRDefault="00F852EF" w:rsidP="00F852EF">
            <w:pPr>
              <w:spacing w:before="120" w:after="120"/>
              <w:rPr>
                <w:lang w:val="en-US"/>
              </w:rPr>
            </w:pPr>
            <w:r w:rsidRPr="00CF77DB">
              <w:rPr>
                <w:lang w:val="en-US"/>
              </w:rPr>
              <w:t>Industry Association</w:t>
            </w:r>
          </w:p>
        </w:tc>
        <w:tc>
          <w:tcPr>
            <w:tcW w:w="11812" w:type="dxa"/>
          </w:tcPr>
          <w:p w:rsidR="00F852EF" w:rsidRPr="00CF77DB" w:rsidRDefault="00F852EF" w:rsidP="00F852EF">
            <w:pPr>
              <w:spacing w:before="120" w:after="120"/>
              <w:rPr>
                <w:lang w:val="en-US"/>
              </w:rPr>
            </w:pPr>
            <w:r w:rsidRPr="00CF77DB">
              <w:rPr>
                <w:b/>
                <w:u w:val="single"/>
                <w:lang w:val="en-US"/>
              </w:rPr>
              <w:t>AMTA</w:t>
            </w:r>
            <w:r w:rsidRPr="00CF77DB">
              <w:rPr>
                <w:lang w:val="en-US"/>
              </w:rPr>
              <w:t xml:space="preserve"> - Yes</w:t>
            </w:r>
          </w:p>
        </w:tc>
      </w:tr>
      <w:tr w:rsidR="00F852EF" w:rsidRPr="003455F9" w:rsidTr="00F852EF">
        <w:trPr>
          <w:trHeight w:val="530"/>
        </w:trPr>
        <w:tc>
          <w:tcPr>
            <w:tcW w:w="2096" w:type="dxa"/>
          </w:tcPr>
          <w:p w:rsidR="00F852EF" w:rsidRPr="00CF77DB" w:rsidRDefault="00F852EF" w:rsidP="00F852EF">
            <w:pPr>
              <w:spacing w:before="120" w:after="120"/>
              <w:rPr>
                <w:lang w:val="en-US"/>
              </w:rPr>
            </w:pPr>
            <w:r w:rsidRPr="00CF77DB">
              <w:rPr>
                <w:lang w:val="en-US"/>
              </w:rPr>
              <w:t>Local Government</w:t>
            </w:r>
          </w:p>
        </w:tc>
        <w:tc>
          <w:tcPr>
            <w:tcW w:w="11812" w:type="dxa"/>
          </w:tcPr>
          <w:p w:rsidR="00F852EF" w:rsidRPr="00CF77DB" w:rsidRDefault="00F852EF" w:rsidP="00F852EF">
            <w:pPr>
              <w:spacing w:before="120" w:after="120"/>
              <w:rPr>
                <w:lang w:val="en-US"/>
              </w:rPr>
            </w:pPr>
            <w:r w:rsidRPr="00CF77DB">
              <w:rPr>
                <w:b/>
                <w:u w:val="single"/>
                <w:lang w:val="en-US"/>
              </w:rPr>
              <w:t>Leichhardt Council</w:t>
            </w:r>
            <w:r w:rsidRPr="00CF77DB">
              <w:rPr>
                <w:lang w:val="en-US"/>
              </w:rPr>
              <w:t xml:space="preserve"> - Standards to ensure OH &amp; S and environmental obligations are met should be the same in remote locations, as for other locations. The TV &amp; computer products will contain the same hazardous materials and must be fully funded by the industry for their management.</w:t>
            </w:r>
          </w:p>
          <w:p w:rsidR="00F852EF" w:rsidRPr="00F133FD" w:rsidRDefault="00F852EF" w:rsidP="00F852EF">
            <w:pPr>
              <w:spacing w:before="120" w:after="120"/>
            </w:pPr>
            <w:r w:rsidRPr="00CF77DB">
              <w:rPr>
                <w:b/>
                <w:u w:val="single"/>
              </w:rPr>
              <w:t>WALGA</w:t>
            </w:r>
            <w:r>
              <w:t xml:space="preserve"> - As the standard does not appear to specifically mention regional and remote areas. The considerations discussed in the Consultation Report Part 1 appear to focus on the storage difficulties for the regional areas. With regard to the difficulties the non-metro area will have these will probably be related to longer transport distances and consequently higher likelihood of product breakage. Depending on the extent of the scheme application, the non-metro areas collection facilities will also have lower staffing levels and consequent greater difficulty in taking part in an administratively complex scheme.</w:t>
            </w:r>
          </w:p>
        </w:tc>
      </w:tr>
      <w:tr w:rsidR="00F852EF" w:rsidRPr="003455F9" w:rsidTr="00F852EF">
        <w:trPr>
          <w:trHeight w:val="530"/>
        </w:trPr>
        <w:tc>
          <w:tcPr>
            <w:tcW w:w="2096" w:type="dxa"/>
          </w:tcPr>
          <w:p w:rsidR="00F852EF" w:rsidRPr="00CF77DB" w:rsidRDefault="00F852EF" w:rsidP="00F852EF">
            <w:pPr>
              <w:spacing w:before="120" w:after="120"/>
              <w:rPr>
                <w:lang w:val="en-US"/>
              </w:rPr>
            </w:pPr>
            <w:r w:rsidRPr="00CF77DB">
              <w:rPr>
                <w:lang w:val="en-US"/>
              </w:rPr>
              <w:t>NGO</w:t>
            </w:r>
          </w:p>
        </w:tc>
        <w:tc>
          <w:tcPr>
            <w:tcW w:w="11812" w:type="dxa"/>
          </w:tcPr>
          <w:p w:rsidR="00F852EF" w:rsidRDefault="00F852EF" w:rsidP="00F852EF">
            <w:pPr>
              <w:spacing w:before="120" w:after="120"/>
            </w:pPr>
            <w:r w:rsidRPr="00CF77DB">
              <w:rPr>
                <w:b/>
                <w:u w:val="single"/>
              </w:rPr>
              <w:t>CRN</w:t>
            </w:r>
            <w:r>
              <w:t xml:space="preserve"> - </w:t>
            </w:r>
          </w:p>
          <w:p w:rsidR="00F852EF" w:rsidRDefault="00F852EF" w:rsidP="00162446">
            <w:pPr>
              <w:numPr>
                <w:ilvl w:val="0"/>
                <w:numId w:val="84"/>
              </w:numPr>
              <w:spacing w:before="120" w:after="120"/>
              <w:jc w:val="left"/>
            </w:pPr>
            <w:r>
              <w:t xml:space="preserve">The DIIS needs to acknowledge that all communities create waste, in this case e-waste, and that they have a responsibility to dispose of it in a responsible manner. Waste is a multimillion dollar business so for the local community to take </w:t>
            </w:r>
            <w:r>
              <w:lastRenderedPageBreak/>
              <w:t xml:space="preserve">responsibility for its e-waste a case should be stated on how it can benefit from such an initiative. Such initiatives create local jobs and add to the economic development of an area. There are many such viable projects around </w:t>
            </w:r>
            <w:smartTag w:uri="urn:schemas-microsoft-com:office:smarttags" w:element="place">
              <w:smartTag w:uri="urn:schemas-microsoft-com:office:smarttags" w:element="country-region">
                <w:r>
                  <w:t>Australia</w:t>
                </w:r>
              </w:smartTag>
            </w:smartTag>
            <w:r>
              <w:t xml:space="preserve"> where a small town of about 8,000 to 10,000 population have created their own community solution to reuse.</w:t>
            </w:r>
          </w:p>
          <w:p w:rsidR="00F852EF" w:rsidRDefault="00F852EF" w:rsidP="00162446">
            <w:pPr>
              <w:numPr>
                <w:ilvl w:val="0"/>
                <w:numId w:val="84"/>
              </w:numPr>
              <w:spacing w:before="120" w:after="120"/>
              <w:jc w:val="left"/>
            </w:pPr>
            <w:r>
              <w:t xml:space="preserve">The DIIS should demonstrate such examples rather than take it for granted that large volumes of e-waste will be transported out of </w:t>
            </w:r>
            <w:smartTag w:uri="urn:schemas-microsoft-com:office:smarttags" w:element="place">
              <w:smartTag w:uri="urn:schemas-microsoft-com:office:smarttags" w:element="country-region">
                <w:r>
                  <w:t>Australia</w:t>
                </w:r>
              </w:smartTag>
            </w:smartTag>
            <w:r>
              <w:t>’s regional areas to be dismantled in capital cities. It is a cost on the environment to transport these materials in bulk rather than dismantling them at the local source.</w:t>
            </w:r>
          </w:p>
          <w:p w:rsidR="00F852EF" w:rsidRPr="00CF77DB" w:rsidRDefault="00F852EF" w:rsidP="00162446">
            <w:pPr>
              <w:numPr>
                <w:ilvl w:val="0"/>
                <w:numId w:val="84"/>
              </w:numPr>
              <w:spacing w:before="120" w:after="120"/>
              <w:jc w:val="left"/>
              <w:rPr>
                <w:lang w:val="en-US"/>
              </w:rPr>
            </w:pPr>
            <w:r>
              <w:t>The DIIS needs to be encouraging of reuse rather than just recycle as each community needs to extract the greatest benefit out of disused product as they would be missing out on possible economic development.</w:t>
            </w:r>
          </w:p>
        </w:tc>
      </w:tr>
      <w:tr w:rsidR="00F852EF" w:rsidRPr="003455F9" w:rsidTr="00F852EF">
        <w:trPr>
          <w:trHeight w:val="530"/>
        </w:trPr>
        <w:tc>
          <w:tcPr>
            <w:tcW w:w="2096" w:type="dxa"/>
          </w:tcPr>
          <w:p w:rsidR="00F852EF" w:rsidRPr="00CF77DB" w:rsidRDefault="00F852EF" w:rsidP="00F852EF">
            <w:pPr>
              <w:spacing w:before="120" w:after="120"/>
              <w:rPr>
                <w:lang w:val="en-US"/>
              </w:rPr>
            </w:pPr>
            <w:r w:rsidRPr="00CF77DB">
              <w:rPr>
                <w:lang w:val="en-US"/>
              </w:rPr>
              <w:lastRenderedPageBreak/>
              <w:t>Recycler</w:t>
            </w:r>
          </w:p>
        </w:tc>
        <w:tc>
          <w:tcPr>
            <w:tcW w:w="11812" w:type="dxa"/>
          </w:tcPr>
          <w:p w:rsidR="00F852EF" w:rsidRPr="00CF77DB" w:rsidRDefault="00F852EF" w:rsidP="00F852EF">
            <w:pPr>
              <w:spacing w:before="120" w:after="120"/>
              <w:rPr>
                <w:lang w:val="en-US"/>
              </w:rPr>
            </w:pPr>
            <w:r w:rsidRPr="00CF77DB">
              <w:rPr>
                <w:b/>
                <w:u w:val="single"/>
              </w:rPr>
              <w:t>VES</w:t>
            </w:r>
            <w:r w:rsidRPr="003455F9">
              <w:t xml:space="preserve"> - </w:t>
            </w:r>
            <w:r w:rsidRPr="00CF77DB">
              <w:rPr>
                <w:lang w:val="en-US"/>
              </w:rPr>
              <w:t>acknowledges the interim industry standard as largely appropriate for its purpose. With caveats noted below, it puts appropriate emphasis on driving performance, as well as ensuring required environmental, and occupational health and safety aspects are met.</w:t>
            </w:r>
          </w:p>
          <w:p w:rsidR="00F852EF" w:rsidRPr="00CF77DB" w:rsidRDefault="00F852EF" w:rsidP="00F852EF">
            <w:pPr>
              <w:spacing w:before="120" w:after="120"/>
              <w:rPr>
                <w:lang w:val="en-US"/>
              </w:rPr>
            </w:pPr>
            <w:r w:rsidRPr="00CF77DB">
              <w:rPr>
                <w:b/>
                <w:u w:val="single"/>
                <w:lang w:val="en-US"/>
              </w:rPr>
              <w:t>Recovery TAS</w:t>
            </w:r>
            <w:r w:rsidRPr="00CF77DB">
              <w:rPr>
                <w:lang w:val="en-US"/>
              </w:rPr>
              <w:t xml:space="preserve"> - no, eWaste to meet the terms of the </w:t>
            </w:r>
            <w:smartTag w:uri="urn:schemas-microsoft-com:office:smarttags" w:element="place">
              <w:smartTag w:uri="urn:schemas-microsoft-com:office:smarttags" w:element="City">
                <w:r w:rsidRPr="00CF77DB">
                  <w:rPr>
                    <w:lang w:val="en-US"/>
                  </w:rPr>
                  <w:t>Basel</w:t>
                </w:r>
              </w:smartTag>
            </w:smartTag>
            <w:r w:rsidRPr="00CF77DB">
              <w:rPr>
                <w:lang w:val="en-US"/>
              </w:rPr>
              <w:t xml:space="preserve"> convention must be managed in country and preferably regionally.</w:t>
            </w:r>
          </w:p>
          <w:p w:rsidR="00F852EF" w:rsidRDefault="00F852EF" w:rsidP="00F852EF">
            <w:pPr>
              <w:spacing w:before="120" w:after="120"/>
            </w:pPr>
            <w:r w:rsidRPr="00CF77DB">
              <w:rPr>
                <w:b/>
                <w:u w:val="single"/>
              </w:rPr>
              <w:t>SITA</w:t>
            </w:r>
            <w:r>
              <w:t xml:space="preserve"> - </w:t>
            </w:r>
            <w:r w:rsidRPr="00007788">
              <w:t>Until the digital switchover is completed and the initial spike in e-waste is realised for regional and remote areas, it is difficult to forecast and understand if this standard is appropriate.</w:t>
            </w:r>
            <w:r>
              <w:t xml:space="preserve"> </w:t>
            </w:r>
          </w:p>
          <w:p w:rsidR="00F852EF" w:rsidRPr="00007788" w:rsidRDefault="00F852EF" w:rsidP="00F852EF">
            <w:pPr>
              <w:spacing w:before="120" w:after="120"/>
            </w:pPr>
            <w:r w:rsidRPr="00CF77DB">
              <w:rPr>
                <w:b/>
                <w:u w:val="single"/>
              </w:rPr>
              <w:t>Mai-Wel E-Cycling Services</w:t>
            </w:r>
            <w:r>
              <w:t xml:space="preserve"> - A city, regional and remote context is appropriate. Communities should be encourage and supported to establish a locally delivered program. Here in the Hunter, our organisation n partnership with Hunter Resource Recovery (owned by Maitland, Cessnock and Lake Macquarie Councils), currently service six Local Government Areas with room for expansion into 3 more in the Hunter Region. We are also exploring opportunities in the New England, </w:t>
            </w:r>
            <w:smartTag w:uri="urn:schemas-microsoft-com:office:smarttags" w:element="place">
              <w:smartTag w:uri="urn:schemas-microsoft-com:office:smarttags" w:element="PlaceName">
                <w:r>
                  <w:t>Central</w:t>
                </w:r>
              </w:smartTag>
              <w:r>
                <w:t xml:space="preserve"> </w:t>
              </w:r>
              <w:smartTag w:uri="urn:schemas-microsoft-com:office:smarttags" w:element="PlaceType">
                <w:r>
                  <w:t>Coast</w:t>
                </w:r>
              </w:smartTag>
            </w:smartTag>
            <w:r>
              <w:t xml:space="preserve"> and Mid North Coast due to our central location.</w:t>
            </w:r>
          </w:p>
        </w:tc>
      </w:tr>
      <w:tr w:rsidR="00F852EF" w:rsidRPr="003455F9" w:rsidTr="00F852EF">
        <w:trPr>
          <w:trHeight w:val="194"/>
        </w:trPr>
        <w:tc>
          <w:tcPr>
            <w:tcW w:w="13908" w:type="dxa"/>
            <w:gridSpan w:val="2"/>
            <w:shd w:val="clear" w:color="auto" w:fill="F3F3F3"/>
          </w:tcPr>
          <w:p w:rsidR="00F852EF" w:rsidRPr="00CF77DB" w:rsidRDefault="00F852EF" w:rsidP="00F852EF">
            <w:pPr>
              <w:spacing w:before="120" w:after="120"/>
              <w:rPr>
                <w:lang w:val="en-US"/>
              </w:rPr>
            </w:pPr>
            <w:r w:rsidRPr="00CF77DB">
              <w:rPr>
                <w:i/>
                <w:lang w:val="en-US"/>
              </w:rPr>
              <w:t xml:space="preserve">Question 5: Are Australia’s international obligations met, including requirements under the Basel Convention on the Control of Transboundary Movements of </w:t>
            </w:r>
            <w:smartTag w:uri="urn:schemas-microsoft-com:office:smarttags" w:element="PersonName">
              <w:r w:rsidRPr="00CF77DB">
                <w:rPr>
                  <w:i/>
                  <w:lang w:val="en-US"/>
                </w:rPr>
                <w:t>Hazardous Waste</w:t>
              </w:r>
            </w:smartTag>
            <w:r w:rsidRPr="00CF77DB">
              <w:rPr>
                <w:i/>
                <w:lang w:val="en-US"/>
              </w:rPr>
              <w:t>s and their Disposal and the Stockholm Convention on Persistent Organic Pollutants?</w:t>
            </w:r>
          </w:p>
        </w:tc>
      </w:tr>
      <w:tr w:rsidR="00F852EF" w:rsidRPr="003455F9" w:rsidTr="00F852EF">
        <w:trPr>
          <w:trHeight w:val="194"/>
        </w:trPr>
        <w:tc>
          <w:tcPr>
            <w:tcW w:w="2096" w:type="dxa"/>
          </w:tcPr>
          <w:p w:rsidR="00F852EF" w:rsidRPr="00CF77DB" w:rsidRDefault="00F852EF" w:rsidP="00F852EF">
            <w:pPr>
              <w:spacing w:before="120" w:after="120"/>
              <w:rPr>
                <w:lang w:val="en-US"/>
              </w:rPr>
            </w:pPr>
            <w:r w:rsidRPr="00CF77DB">
              <w:rPr>
                <w:lang w:val="en-US"/>
              </w:rPr>
              <w:t>Industry Association</w:t>
            </w:r>
          </w:p>
        </w:tc>
        <w:tc>
          <w:tcPr>
            <w:tcW w:w="11812" w:type="dxa"/>
          </w:tcPr>
          <w:p w:rsidR="00F852EF" w:rsidRPr="009B12B1" w:rsidRDefault="00F852EF" w:rsidP="00F852EF">
            <w:pPr>
              <w:spacing w:before="120" w:after="120"/>
            </w:pPr>
            <w:r w:rsidRPr="00CF77DB">
              <w:rPr>
                <w:b/>
                <w:u w:val="single"/>
                <w:lang w:val="en-US"/>
              </w:rPr>
              <w:t>AMTA</w:t>
            </w:r>
            <w:r w:rsidRPr="00CF77DB">
              <w:rPr>
                <w:lang w:val="en-US"/>
              </w:rPr>
              <w:t xml:space="preserve"> - </w:t>
            </w:r>
            <w:r w:rsidRPr="009B12B1">
              <w:t>They have been included in the standard as something that has to be complied wi</w:t>
            </w:r>
            <w:r>
              <w:t xml:space="preserve">th by the various stakeholders. </w:t>
            </w:r>
            <w:r w:rsidRPr="009B12B1">
              <w:t>As to whether the collectors, transporters and recyclers meet these requirements will depend on the audits/site visits</w:t>
            </w:r>
            <w:r>
              <w:t>.</w:t>
            </w:r>
          </w:p>
        </w:tc>
      </w:tr>
      <w:tr w:rsidR="00F852EF" w:rsidRPr="003455F9" w:rsidTr="00F852EF">
        <w:trPr>
          <w:trHeight w:val="194"/>
        </w:trPr>
        <w:tc>
          <w:tcPr>
            <w:tcW w:w="2096" w:type="dxa"/>
          </w:tcPr>
          <w:p w:rsidR="00F852EF" w:rsidRPr="00CF77DB" w:rsidRDefault="00F852EF" w:rsidP="00F852EF">
            <w:pPr>
              <w:spacing w:before="120" w:after="120"/>
              <w:rPr>
                <w:lang w:val="en-US"/>
              </w:rPr>
            </w:pPr>
            <w:r w:rsidRPr="00CF77DB">
              <w:rPr>
                <w:lang w:val="en-US"/>
              </w:rPr>
              <w:t>Local Government</w:t>
            </w:r>
          </w:p>
        </w:tc>
        <w:tc>
          <w:tcPr>
            <w:tcW w:w="11812" w:type="dxa"/>
          </w:tcPr>
          <w:p w:rsidR="00F852EF" w:rsidRPr="00F133FD" w:rsidRDefault="00F852EF" w:rsidP="00F852EF">
            <w:pPr>
              <w:spacing w:before="120" w:after="120"/>
            </w:pPr>
            <w:r w:rsidRPr="00CF77DB">
              <w:rPr>
                <w:b/>
                <w:u w:val="single"/>
              </w:rPr>
              <w:t>Leichhardt Council</w:t>
            </w:r>
            <w:r>
              <w:t xml:space="preserve"> - </w:t>
            </w:r>
            <w:r w:rsidRPr="00F133FD">
              <w:t>No. There is no acceptable way of separating Brominated Flame Retardants (BFR) and therefore no way of carrying out recycling in an ‘environmentally sound manner’. This is highlighted in Clause 7.4 that states that practices for disposal can include incineration in some circumstances.</w:t>
            </w:r>
          </w:p>
        </w:tc>
      </w:tr>
      <w:tr w:rsidR="00F852EF" w:rsidRPr="003455F9" w:rsidTr="00F852EF">
        <w:trPr>
          <w:trHeight w:val="194"/>
        </w:trPr>
        <w:tc>
          <w:tcPr>
            <w:tcW w:w="2096" w:type="dxa"/>
          </w:tcPr>
          <w:p w:rsidR="00F852EF" w:rsidRPr="00CF77DB" w:rsidRDefault="00F852EF" w:rsidP="00F852EF">
            <w:pPr>
              <w:spacing w:before="120" w:after="120"/>
              <w:rPr>
                <w:lang w:val="en-US"/>
              </w:rPr>
            </w:pPr>
            <w:r w:rsidRPr="00CF77DB">
              <w:rPr>
                <w:lang w:val="en-US"/>
              </w:rPr>
              <w:t>NGO</w:t>
            </w:r>
          </w:p>
        </w:tc>
        <w:tc>
          <w:tcPr>
            <w:tcW w:w="11812" w:type="dxa"/>
          </w:tcPr>
          <w:p w:rsidR="00F852EF" w:rsidRDefault="00F852EF" w:rsidP="00F852EF">
            <w:pPr>
              <w:spacing w:before="120" w:after="120"/>
            </w:pPr>
            <w:r w:rsidRPr="00CF77DB">
              <w:rPr>
                <w:b/>
                <w:u w:val="single"/>
              </w:rPr>
              <w:t>CRN</w:t>
            </w:r>
            <w:r>
              <w:t xml:space="preserve"> - </w:t>
            </w:r>
            <w:r w:rsidRPr="00C4393B">
              <w:t xml:space="preserve"> The </w:t>
            </w:r>
            <w:smartTag w:uri="urn:schemas-microsoft-com:office:smarttags" w:element="place">
              <w:smartTag w:uri="urn:schemas-microsoft-com:office:smarttags" w:element="City">
                <w:r w:rsidRPr="00C4393B">
                  <w:t>Basel</w:t>
                </w:r>
              </w:smartTag>
            </w:smartTag>
            <w:r w:rsidRPr="00C4393B">
              <w:t xml:space="preserve"> convention is mentioned once in the document in a section discussing material separation. This should have a higher profile in the document clearly identifying the objective of the Basel Convention on Transboundary movements of e-waste.</w:t>
            </w:r>
          </w:p>
          <w:p w:rsidR="00615F4B" w:rsidRDefault="00615F4B" w:rsidP="00F852EF">
            <w:pPr>
              <w:spacing w:before="120" w:after="120"/>
            </w:pPr>
          </w:p>
          <w:p w:rsidR="00F852EF" w:rsidRPr="00CF77DB" w:rsidRDefault="00F852EF" w:rsidP="00F852EF">
            <w:pPr>
              <w:spacing w:before="120" w:after="120"/>
              <w:rPr>
                <w:lang w:val="en-US"/>
              </w:rPr>
            </w:pPr>
            <w:r w:rsidRPr="00CF77DB">
              <w:rPr>
                <w:b/>
                <w:u w:val="single"/>
                <w:lang w:val="en-US"/>
              </w:rPr>
              <w:lastRenderedPageBreak/>
              <w:t>TEC/NTN</w:t>
            </w:r>
            <w:r w:rsidRPr="00CF77DB">
              <w:rPr>
                <w:lang w:val="en-US"/>
              </w:rPr>
              <w:t xml:space="preserve"> - </w:t>
            </w:r>
          </w:p>
          <w:p w:rsidR="00F852EF" w:rsidRDefault="00F852EF" w:rsidP="00162446">
            <w:pPr>
              <w:numPr>
                <w:ilvl w:val="0"/>
                <w:numId w:val="88"/>
              </w:numPr>
              <w:spacing w:before="120" w:after="120"/>
              <w:jc w:val="left"/>
            </w:pPr>
            <w:r>
              <w:t xml:space="preserve">As noted above, the view expressed by some that the Interim Standard cannot take account of current international agreements because </w:t>
            </w:r>
            <w:smartTag w:uri="urn:schemas-microsoft-com:office:smarttags" w:element="place">
              <w:smartTag w:uri="urn:schemas-microsoft-com:office:smarttags" w:element="country-region">
                <w:r>
                  <w:t>Australia</w:t>
                </w:r>
              </w:smartTag>
            </w:smartTag>
            <w:r>
              <w:t xml:space="preserve"> has not yet ratified the 9 new POPs is a moot argument. </w:t>
            </w:r>
            <w:smartTag w:uri="urn:schemas-microsoft-com:office:smarttags" w:element="place">
              <w:smartTag w:uri="urn:schemas-microsoft-com:office:smarttags" w:element="country-region">
                <w:r>
                  <w:t>Australia</w:t>
                </w:r>
              </w:smartTag>
            </w:smartTag>
            <w:r>
              <w:t xml:space="preserve"> will ratify the 9 new POPs and will take account of the work of the POPs Review Committee. For the Australian industry standard to be accepted by the community it must be seen as progressive, best practice and in line with the rest of the developed world. Anything less risks community scepticism and loss of confidence in recycling in </w:t>
            </w:r>
            <w:smartTag w:uri="urn:schemas-microsoft-com:office:smarttags" w:element="place">
              <w:smartTag w:uri="urn:schemas-microsoft-com:office:smarttags" w:element="country-region">
                <w:r>
                  <w:t>Australia</w:t>
                </w:r>
              </w:smartTag>
            </w:smartTag>
            <w:r>
              <w:t xml:space="preserve">. </w:t>
            </w:r>
          </w:p>
          <w:p w:rsidR="00F852EF" w:rsidRDefault="00F852EF" w:rsidP="00162446">
            <w:pPr>
              <w:numPr>
                <w:ilvl w:val="0"/>
                <w:numId w:val="88"/>
              </w:numPr>
              <w:spacing w:before="120" w:after="120"/>
              <w:jc w:val="left"/>
            </w:pPr>
            <w:r>
              <w:t xml:space="preserve">Article 6 of the Stockholm Convention, of which </w:t>
            </w:r>
            <w:smartTag w:uri="urn:schemas-microsoft-com:office:smarttags" w:element="place">
              <w:smartTag w:uri="urn:schemas-microsoft-com:office:smarttags" w:element="country-region">
                <w:r>
                  <w:t>Australia</w:t>
                </w:r>
              </w:smartTag>
            </w:smartTag>
            <w:r>
              <w:t xml:space="preserve"> is a ratifying party, requires ratifying countries to:</w:t>
            </w:r>
          </w:p>
          <w:p w:rsidR="00F852EF" w:rsidRDefault="00F852EF" w:rsidP="00F852EF">
            <w:pPr>
              <w:spacing w:before="120" w:after="120"/>
              <w:ind w:left="720"/>
            </w:pPr>
            <w:r>
              <w:t>a)  Develop and implement appropriate strategies for identifying stockpiles, products and articles in use that contain or are contaminated with POPs;</w:t>
            </w:r>
          </w:p>
          <w:p w:rsidR="00F852EF" w:rsidRDefault="00F852EF" w:rsidP="00F852EF">
            <w:pPr>
              <w:spacing w:before="120" w:after="120"/>
              <w:ind w:left="720"/>
            </w:pPr>
            <w:r>
              <w:t>b)  Manage stockpiles and wastes in an environmentally sound manner;</w:t>
            </w:r>
          </w:p>
          <w:p w:rsidR="00F852EF" w:rsidRDefault="00F852EF" w:rsidP="00F852EF">
            <w:pPr>
              <w:spacing w:before="120" w:after="120"/>
              <w:ind w:left="720"/>
            </w:pPr>
            <w:r>
              <w:t>c)  Dispose of waste so that the POPs content is destroyed or irreversibly transformed;</w:t>
            </w:r>
          </w:p>
          <w:p w:rsidR="00F852EF" w:rsidRDefault="00F852EF" w:rsidP="00F852EF">
            <w:pPr>
              <w:spacing w:before="120" w:after="120"/>
              <w:ind w:left="720"/>
            </w:pPr>
            <w:r>
              <w:t>d)  Not permit the recycling, recovery, reclamation, direct reuse or alternative use of the POPs;</w:t>
            </w:r>
          </w:p>
          <w:p w:rsidR="00F852EF" w:rsidRDefault="00F852EF" w:rsidP="00F852EF">
            <w:pPr>
              <w:spacing w:before="120" w:after="120"/>
              <w:ind w:left="720"/>
            </w:pPr>
            <w:r>
              <w:t>e)  Endeavour to develop strategies for identifying contaminated sites and perform eventual remediation in an environmentally sound manner.</w:t>
            </w:r>
          </w:p>
          <w:p w:rsidR="00F852EF" w:rsidRDefault="00F852EF" w:rsidP="00162446">
            <w:pPr>
              <w:numPr>
                <w:ilvl w:val="0"/>
                <w:numId w:val="89"/>
              </w:numPr>
              <w:spacing w:before="120" w:after="120"/>
              <w:jc w:val="left"/>
            </w:pPr>
            <w:r>
              <w:t xml:space="preserve">Further, Strategy 13 of the National Waste Policy states that: </w:t>
            </w:r>
          </w:p>
          <w:p w:rsidR="00F852EF" w:rsidRDefault="00F852EF" w:rsidP="00F852EF">
            <w:pPr>
              <w:spacing w:before="120" w:after="120"/>
              <w:ind w:left="720"/>
            </w:pPr>
            <w:r w:rsidRPr="00CF77DB">
              <w:rPr>
                <w:i/>
              </w:rPr>
              <w:t xml:space="preserve">The Australian Government…will adopt a system that aligns with international approaches, to reduce hazardous substances in products and articles sold in </w:t>
            </w:r>
            <w:smartTag w:uri="urn:schemas-microsoft-com:office:smarttags" w:element="place">
              <w:smartTag w:uri="urn:schemas-microsoft-com:office:smarttags" w:element="country-region">
                <w:r w:rsidRPr="00CF77DB">
                  <w:rPr>
                    <w:i/>
                  </w:rPr>
                  <w:t>Australia</w:t>
                </w:r>
              </w:smartTag>
            </w:smartTag>
            <w:r w:rsidRPr="00CF77DB">
              <w:rPr>
                <w:i/>
              </w:rPr>
              <w:t xml:space="preserve"> that present a potential risk during and at end of life to human health, safety or the environment.</w:t>
            </w:r>
            <w:r>
              <w:t xml:space="preserve"> (p.14)</w:t>
            </w:r>
          </w:p>
          <w:p w:rsidR="00F852EF" w:rsidRDefault="00F852EF" w:rsidP="00162446">
            <w:pPr>
              <w:numPr>
                <w:ilvl w:val="0"/>
                <w:numId w:val="89"/>
              </w:numPr>
              <w:spacing w:before="120" w:after="120"/>
              <w:jc w:val="left"/>
            </w:pPr>
            <w:r>
              <w:t xml:space="preserve">Two BFRs (the commercial mixtures of brominated diphenyl ethers, Penta and OctaBDE are referred to as POP-BDEs), along with 8 other new persistent organic pollutants (POPs), were recently banned under the Stockholm Convention. </w:t>
            </w:r>
            <w:smartTag w:uri="urn:schemas-microsoft-com:office:smarttags" w:element="place">
              <w:smartTag w:uri="urn:schemas-microsoft-com:office:smarttags" w:element="country-region">
                <w:r>
                  <w:t>Australia</w:t>
                </w:r>
              </w:smartTag>
            </w:smartTag>
            <w:r>
              <w:t xml:space="preserve"> supported the listing of these new POPs and is likely to ratify the changes in the near future. While a temporary exemption allows the recycling of BFRs, this is likely to come to an abrupt end within two years as the POPs Review Committee has recently recommended that recycling of articles containing listed POP-BDEs should only be performed if the articles are first treated and the POP-BDE are removed. Otherwise recycling of articles containing POP-BDE should be stopped as soon as possible. It is therefore unacceptable for the recycling of BFRs to be knowingly sanctioned by the DIIS under these circumstances. </w:t>
            </w:r>
          </w:p>
          <w:p w:rsidR="00F852EF" w:rsidRPr="00C4393B" w:rsidRDefault="00F852EF" w:rsidP="00162446">
            <w:pPr>
              <w:numPr>
                <w:ilvl w:val="0"/>
                <w:numId w:val="89"/>
              </w:numPr>
              <w:spacing w:before="120" w:after="120"/>
              <w:jc w:val="left"/>
            </w:pPr>
            <w:r>
              <w:t xml:space="preserve">International best practice for BFR contaminated plastics from e-waste now includes identification and separation.  Standard commercial GC/MS analysis of PBDE in plastic and other materials is widely available in developed countries. This is largely because of the demand that has arisen over the past few years due to the requirements of Restriction of Hazardous Substances (RoHS) compliance and other national laws. Currently, the practical method for screening and separating PBDE-containing materials is the separation of all BFR-containing materials by online screening of the bromine </w:t>
            </w:r>
            <w:r>
              <w:lastRenderedPageBreak/>
              <w:t>content.</w:t>
            </w:r>
          </w:p>
        </w:tc>
      </w:tr>
      <w:tr w:rsidR="00F852EF" w:rsidRPr="003455F9" w:rsidTr="00F852EF">
        <w:trPr>
          <w:trHeight w:val="194"/>
        </w:trPr>
        <w:tc>
          <w:tcPr>
            <w:tcW w:w="2096" w:type="dxa"/>
          </w:tcPr>
          <w:p w:rsidR="00F852EF" w:rsidRPr="00CF77DB" w:rsidRDefault="00F852EF" w:rsidP="00F852EF">
            <w:pPr>
              <w:spacing w:before="120" w:after="120"/>
              <w:rPr>
                <w:lang w:val="en-US"/>
              </w:rPr>
            </w:pPr>
            <w:r w:rsidRPr="00CF77DB">
              <w:rPr>
                <w:lang w:val="en-US"/>
              </w:rPr>
              <w:lastRenderedPageBreak/>
              <w:t>Recycler</w:t>
            </w:r>
          </w:p>
        </w:tc>
        <w:tc>
          <w:tcPr>
            <w:tcW w:w="11812" w:type="dxa"/>
          </w:tcPr>
          <w:p w:rsidR="00F852EF" w:rsidRPr="00CF77DB" w:rsidRDefault="00F852EF" w:rsidP="00F852EF">
            <w:pPr>
              <w:spacing w:before="120" w:after="120"/>
              <w:rPr>
                <w:lang w:val="en-US"/>
              </w:rPr>
            </w:pPr>
            <w:r w:rsidRPr="00CF77DB">
              <w:rPr>
                <w:b/>
                <w:u w:val="single"/>
                <w:lang w:val="en-US"/>
              </w:rPr>
              <w:t>Recovery TAS</w:t>
            </w:r>
            <w:r w:rsidRPr="00CF77DB">
              <w:rPr>
                <w:lang w:val="en-US"/>
              </w:rPr>
              <w:t xml:space="preserve"> - no. Exportation continues of material that can be effectively managed in country and regionally in </w:t>
            </w:r>
            <w:smartTag w:uri="urn:schemas-microsoft-com:office:smarttags" w:element="place">
              <w:smartTag w:uri="urn:schemas-microsoft-com:office:smarttags" w:element="country-region">
                <w:r w:rsidRPr="00CF77DB">
                  <w:rPr>
                    <w:lang w:val="en-US"/>
                  </w:rPr>
                  <w:t>Australia</w:t>
                </w:r>
              </w:smartTag>
            </w:smartTag>
            <w:r w:rsidRPr="00CF77DB">
              <w:rPr>
                <w:lang w:val="en-US"/>
              </w:rPr>
              <w:t>.</w:t>
            </w:r>
          </w:p>
          <w:p w:rsidR="00F852EF" w:rsidRDefault="00F852EF" w:rsidP="00F852EF">
            <w:pPr>
              <w:spacing w:before="120" w:after="120"/>
            </w:pPr>
            <w:r w:rsidRPr="00CF77DB">
              <w:rPr>
                <w:b/>
                <w:u w:val="single"/>
              </w:rPr>
              <w:t>Eco Products Agency</w:t>
            </w:r>
            <w:r>
              <w:t xml:space="preserve"> (plastics recycler) - </w:t>
            </w:r>
          </w:p>
          <w:p w:rsidR="00F852EF" w:rsidRDefault="00F852EF" w:rsidP="00162446">
            <w:pPr>
              <w:numPr>
                <w:ilvl w:val="0"/>
                <w:numId w:val="87"/>
              </w:numPr>
              <w:spacing w:before="120" w:after="120"/>
              <w:jc w:val="left"/>
            </w:pPr>
            <w:r>
              <w:t xml:space="preserve">Under the draft interim standard, possible future requirements under the Stockholm Convention on Persistent Organic Pollutants are not met. </w:t>
            </w:r>
          </w:p>
          <w:p w:rsidR="00F852EF" w:rsidRDefault="00F852EF" w:rsidP="00162446">
            <w:pPr>
              <w:numPr>
                <w:ilvl w:val="0"/>
                <w:numId w:val="87"/>
              </w:numPr>
              <w:spacing w:before="120" w:after="120"/>
              <w:jc w:val="left"/>
            </w:pPr>
            <w:r>
              <w:t>This relates specifically to the recent listing of certain polybrominated diphenyl ethers (PBDEs) in Annex A, and perfluorooctane sulfonate (PFOS) in Annex B of the Stockholm Convention. PBDEs have been extensively used in TV and computer casings, while PFOS is used in some electronic components.</w:t>
            </w:r>
          </w:p>
          <w:p w:rsidR="00F852EF" w:rsidRDefault="00F852EF" w:rsidP="00162446">
            <w:pPr>
              <w:numPr>
                <w:ilvl w:val="0"/>
                <w:numId w:val="87"/>
              </w:numPr>
              <w:spacing w:before="120" w:after="120"/>
              <w:jc w:val="left"/>
            </w:pPr>
            <w:r>
              <w:t>As stated in Table 1, Note 3 (pg 17), the Federal Government is involved in addressing the issue of the policy response needed, and the future result of deliberations is not known.</w:t>
            </w:r>
          </w:p>
          <w:p w:rsidR="00F852EF" w:rsidRPr="00CF77DB" w:rsidRDefault="00F852EF" w:rsidP="00162446">
            <w:pPr>
              <w:numPr>
                <w:ilvl w:val="0"/>
                <w:numId w:val="87"/>
              </w:numPr>
              <w:spacing w:before="120" w:after="120"/>
              <w:jc w:val="left"/>
              <w:rPr>
                <w:lang w:val="en-US"/>
              </w:rPr>
            </w:pPr>
            <w:r>
              <w:t>Therefore, while the interim standard might reasonably defer updating advice on the treatment of components containing PBDEs until the Federal Government has completed its assessments, the interim draft should already highlight the likely impact of changes on the treatment of waste plastics from casings and other components, including export.</w:t>
            </w:r>
          </w:p>
          <w:p w:rsidR="00F852EF" w:rsidRPr="00CF77DB" w:rsidRDefault="00F852EF" w:rsidP="00F852EF">
            <w:pPr>
              <w:spacing w:before="120" w:after="120"/>
              <w:rPr>
                <w:rFonts w:ascii="Trebuchet MS" w:hAnsi="Trebuchet MS" w:cs="Trebuchet MS"/>
                <w:sz w:val="22"/>
              </w:rPr>
            </w:pPr>
            <w:r w:rsidRPr="00CF77DB">
              <w:rPr>
                <w:b/>
                <w:u w:val="single"/>
              </w:rPr>
              <w:t>SITA</w:t>
            </w:r>
            <w:r>
              <w:t xml:space="preserve"> - </w:t>
            </w:r>
            <w:r w:rsidRPr="00007788">
              <w:t>Yes, however, it is believed that illegal exporting of e-waste is still occurring and the government should be encouraged to publish the information on the individuals and/or companies charged with illegally exporting.</w:t>
            </w:r>
            <w:r>
              <w:t xml:space="preserve"> </w:t>
            </w:r>
            <w:r w:rsidRPr="00007788">
              <w:t>Unless this happens, people and/or companies will continue to do it.</w:t>
            </w:r>
            <w:r>
              <w:rPr>
                <w:rFonts w:ascii="Trebuchet MS" w:hAnsi="Trebuchet MS" w:cs="Trebuchet MS"/>
                <w:sz w:val="22"/>
              </w:rPr>
              <w:t xml:space="preserve"> </w:t>
            </w:r>
          </w:p>
          <w:p w:rsidR="00F852EF" w:rsidRPr="00E83CE1" w:rsidRDefault="00F852EF" w:rsidP="00F852EF">
            <w:r w:rsidRPr="00CF77DB">
              <w:rPr>
                <w:b/>
                <w:u w:val="single"/>
              </w:rPr>
              <w:t>Mai-Wel E-Cycling Services</w:t>
            </w:r>
            <w:r>
              <w:t xml:space="preserve"> - </w:t>
            </w:r>
            <w:r w:rsidRPr="00E83CE1">
              <w:t>All recyclers are required to meet these and the draft scheme reflects this principle.</w:t>
            </w:r>
            <w:r>
              <w:t xml:space="preserve"> </w:t>
            </w:r>
            <w:r w:rsidRPr="00E83CE1">
              <w:t>ISO 14001 encompasses the requirements under the Basel Convention</w:t>
            </w:r>
          </w:p>
        </w:tc>
      </w:tr>
      <w:tr w:rsidR="00F852EF" w:rsidRPr="003455F9" w:rsidTr="00F852EF">
        <w:trPr>
          <w:trHeight w:val="350"/>
        </w:trPr>
        <w:tc>
          <w:tcPr>
            <w:tcW w:w="13908" w:type="dxa"/>
            <w:gridSpan w:val="2"/>
            <w:shd w:val="clear" w:color="auto" w:fill="F3F3F3"/>
          </w:tcPr>
          <w:p w:rsidR="00F852EF" w:rsidRPr="00CF77DB" w:rsidRDefault="00F852EF" w:rsidP="00F852EF">
            <w:pPr>
              <w:spacing w:before="120" w:after="120"/>
              <w:rPr>
                <w:i/>
                <w:lang w:val="en-US"/>
              </w:rPr>
            </w:pPr>
            <w:r w:rsidRPr="00CF77DB">
              <w:rPr>
                <w:i/>
                <w:lang w:val="en-US"/>
              </w:rPr>
              <w:t xml:space="preserve">Question 6: Are costs associated with implementing the interim industry standard, including estimated cost burdens identified? Including; </w:t>
            </w:r>
          </w:p>
          <w:p w:rsidR="00F852EF" w:rsidRPr="00CF77DB" w:rsidRDefault="00F852EF" w:rsidP="00162446">
            <w:pPr>
              <w:numPr>
                <w:ilvl w:val="0"/>
                <w:numId w:val="66"/>
              </w:numPr>
              <w:spacing w:after="0"/>
              <w:jc w:val="left"/>
              <w:rPr>
                <w:i/>
                <w:lang w:val="en-US"/>
              </w:rPr>
            </w:pPr>
            <w:r w:rsidRPr="00CF77DB">
              <w:rPr>
                <w:i/>
                <w:lang w:val="en-US"/>
              </w:rPr>
              <w:t xml:space="preserve">the cost to the television and computer industry or a third party to certify recyclers or other parties involved in the collection, handling, storage, transport and treatment of the items; and </w:t>
            </w:r>
          </w:p>
          <w:p w:rsidR="00F852EF" w:rsidRPr="00CF77DB" w:rsidRDefault="00F852EF" w:rsidP="00162446">
            <w:pPr>
              <w:numPr>
                <w:ilvl w:val="0"/>
                <w:numId w:val="66"/>
              </w:numPr>
              <w:spacing w:before="120" w:after="120"/>
              <w:jc w:val="left"/>
              <w:rPr>
                <w:lang w:val="en-US"/>
              </w:rPr>
            </w:pPr>
            <w:r w:rsidRPr="00CF77DB">
              <w:rPr>
                <w:i/>
                <w:lang w:val="en-US"/>
              </w:rPr>
              <w:t>costs to recyclers or other parties to comply with the industry interim guidelines.</w:t>
            </w:r>
          </w:p>
        </w:tc>
      </w:tr>
      <w:tr w:rsidR="00F852EF" w:rsidRPr="003455F9" w:rsidTr="00F852EF">
        <w:trPr>
          <w:trHeight w:val="350"/>
        </w:trPr>
        <w:tc>
          <w:tcPr>
            <w:tcW w:w="2096" w:type="dxa"/>
          </w:tcPr>
          <w:p w:rsidR="00F852EF" w:rsidRPr="00CF77DB" w:rsidRDefault="00F852EF" w:rsidP="00F852EF">
            <w:pPr>
              <w:spacing w:before="120" w:after="120"/>
              <w:rPr>
                <w:lang w:val="en-US"/>
              </w:rPr>
            </w:pPr>
            <w:r w:rsidRPr="00CF77DB">
              <w:rPr>
                <w:lang w:val="en-US"/>
              </w:rPr>
              <w:t>Industry Association</w:t>
            </w:r>
          </w:p>
        </w:tc>
        <w:tc>
          <w:tcPr>
            <w:tcW w:w="11812" w:type="dxa"/>
          </w:tcPr>
          <w:p w:rsidR="00F852EF" w:rsidRPr="009B12B1" w:rsidRDefault="00F852EF" w:rsidP="00F852EF">
            <w:pPr>
              <w:spacing w:before="120" w:after="120"/>
            </w:pPr>
            <w:r w:rsidRPr="00CF77DB">
              <w:rPr>
                <w:b/>
                <w:u w:val="single"/>
              </w:rPr>
              <w:t>AMTA</w:t>
            </w:r>
            <w:r>
              <w:t xml:space="preserve"> - Not clearly, but it is implied, in part it comes back to good commercial practise by individual businesses. I don’t believe what is being asked is a particular burden to the collectors, transporters and recyclers or the PRO’s as they will need to audit their vendors anyway as its just good practice.</w:t>
            </w:r>
          </w:p>
        </w:tc>
      </w:tr>
      <w:tr w:rsidR="00F852EF" w:rsidRPr="003455F9" w:rsidTr="00F852EF">
        <w:trPr>
          <w:trHeight w:val="350"/>
        </w:trPr>
        <w:tc>
          <w:tcPr>
            <w:tcW w:w="2096" w:type="dxa"/>
          </w:tcPr>
          <w:p w:rsidR="00F852EF" w:rsidRPr="00CF77DB" w:rsidRDefault="00F852EF" w:rsidP="00F852EF">
            <w:pPr>
              <w:spacing w:before="120" w:after="120"/>
              <w:rPr>
                <w:lang w:val="en-US"/>
              </w:rPr>
            </w:pPr>
            <w:r w:rsidRPr="00CF77DB">
              <w:rPr>
                <w:lang w:val="en-US"/>
              </w:rPr>
              <w:t>Local Government</w:t>
            </w:r>
          </w:p>
        </w:tc>
        <w:tc>
          <w:tcPr>
            <w:tcW w:w="11812" w:type="dxa"/>
          </w:tcPr>
          <w:p w:rsidR="00F852EF" w:rsidRPr="00F133FD" w:rsidRDefault="00F852EF" w:rsidP="00F852EF">
            <w:pPr>
              <w:spacing w:before="120" w:after="120"/>
            </w:pPr>
            <w:r w:rsidRPr="00CF77DB">
              <w:rPr>
                <w:b/>
                <w:u w:val="single"/>
              </w:rPr>
              <w:t>Leichhardt Council</w:t>
            </w:r>
            <w:r>
              <w:t xml:space="preserve"> - </w:t>
            </w:r>
            <w:r w:rsidRPr="00F133FD">
              <w:t>No. It is unclear in the Standard and the Scheme of which part of the whole process is being mana</w:t>
            </w:r>
            <w:r>
              <w:t xml:space="preserve">ged and funded by the industry? </w:t>
            </w:r>
            <w:r w:rsidRPr="00F133FD">
              <w:t>Who actually is funding the various activities required from collection, transporting and so on down the processing line?</w:t>
            </w:r>
            <w:r>
              <w:t xml:space="preserve"> </w:t>
            </w:r>
            <w:r w:rsidRPr="00F133FD">
              <w:t>There are a plethora of costs involved from the start of the process.</w:t>
            </w:r>
            <w:r>
              <w:t xml:space="preserve"> </w:t>
            </w:r>
            <w:r w:rsidRPr="00F133FD">
              <w:t xml:space="preserve">At the Collection Point these include eg risk </w:t>
            </w:r>
            <w:r w:rsidRPr="00F133FD">
              <w:lastRenderedPageBreak/>
              <w:t>assessments; emergency response; data reporting; training and auditing, in addition to activities of traffic management, signage, advertising and administration.</w:t>
            </w:r>
            <w:r>
              <w:t xml:space="preserve"> </w:t>
            </w:r>
            <w:r w:rsidRPr="00F133FD">
              <w:t>What is the proposal to cover these costs and other costs downstream, particularly for smaller / social enterprises?</w:t>
            </w:r>
          </w:p>
          <w:p w:rsidR="00F852EF" w:rsidRPr="00007788" w:rsidRDefault="00F852EF" w:rsidP="00F852EF">
            <w:pPr>
              <w:spacing w:before="120" w:after="120"/>
            </w:pPr>
            <w:r w:rsidRPr="00CF77DB">
              <w:rPr>
                <w:b/>
                <w:u w:val="single"/>
              </w:rPr>
              <w:t>WALGA</w:t>
            </w:r>
            <w:r>
              <w:t xml:space="preserve"> - </w:t>
            </w:r>
            <w:r w:rsidRPr="00007788">
              <w:t>The issues Local Government raised regarding cost of collection and ability to charge for e-waste collection have clearly been considered and some clarification provided, however the issue is not resolved and will need to be incorporated into the overall scheme design.</w:t>
            </w:r>
            <w:r>
              <w:t xml:space="preserve"> </w:t>
            </w:r>
          </w:p>
        </w:tc>
      </w:tr>
      <w:tr w:rsidR="00F852EF" w:rsidRPr="003455F9" w:rsidTr="00F852EF">
        <w:trPr>
          <w:trHeight w:val="350"/>
        </w:trPr>
        <w:tc>
          <w:tcPr>
            <w:tcW w:w="2096" w:type="dxa"/>
          </w:tcPr>
          <w:p w:rsidR="00F852EF" w:rsidRPr="00CF77DB" w:rsidRDefault="00F852EF" w:rsidP="00F852EF">
            <w:pPr>
              <w:spacing w:before="120" w:after="120"/>
              <w:rPr>
                <w:lang w:val="en-US"/>
              </w:rPr>
            </w:pPr>
            <w:r w:rsidRPr="00CF77DB">
              <w:rPr>
                <w:lang w:val="en-US"/>
              </w:rPr>
              <w:lastRenderedPageBreak/>
              <w:t>NGO</w:t>
            </w:r>
          </w:p>
        </w:tc>
        <w:tc>
          <w:tcPr>
            <w:tcW w:w="11812" w:type="dxa"/>
          </w:tcPr>
          <w:p w:rsidR="00F852EF" w:rsidRDefault="00F852EF" w:rsidP="00F852EF">
            <w:pPr>
              <w:spacing w:before="120" w:after="120"/>
            </w:pPr>
            <w:r w:rsidRPr="00CF77DB">
              <w:rPr>
                <w:b/>
                <w:u w:val="single"/>
              </w:rPr>
              <w:t>CRN</w:t>
            </w:r>
            <w:r>
              <w:t xml:space="preserve"> - </w:t>
            </w:r>
          </w:p>
          <w:p w:rsidR="00F852EF" w:rsidRDefault="00F852EF" w:rsidP="00162446">
            <w:pPr>
              <w:numPr>
                <w:ilvl w:val="0"/>
                <w:numId w:val="85"/>
              </w:numPr>
              <w:spacing w:before="120" w:after="120"/>
              <w:jc w:val="left"/>
            </w:pPr>
            <w:r>
              <w:t>The costs of implementing the DIIS for community recyclers and charitable organisations will be great, these organisations do not have large financial budgets. This will cause many community recyclers and charitable organisations to be forced out of the market if the rigor of the standard is not tailored to meet the operational requirements of these organisations. This does not attempt to lower OH&amp;S standards; the task performed must be within that accepted by the OH&amp;S standards.</w:t>
            </w:r>
          </w:p>
          <w:p w:rsidR="00F852EF" w:rsidRDefault="00F852EF" w:rsidP="00162446">
            <w:pPr>
              <w:numPr>
                <w:ilvl w:val="0"/>
                <w:numId w:val="85"/>
              </w:numPr>
              <w:spacing w:before="120" w:after="120"/>
              <w:jc w:val="left"/>
            </w:pPr>
            <w:r>
              <w:t>Even if there are some community recyclers and charitable organisations that are able to get support to financially meet the costs associated with implementing the DIIS there is no guarantee that they will be awarded contracts under the PSO scheme therefore making it a very risky investment.</w:t>
            </w:r>
          </w:p>
          <w:p w:rsidR="00F852EF" w:rsidRDefault="00F852EF" w:rsidP="00162446">
            <w:pPr>
              <w:numPr>
                <w:ilvl w:val="0"/>
                <w:numId w:val="85"/>
              </w:numPr>
              <w:spacing w:before="120" w:after="120"/>
              <w:jc w:val="left"/>
            </w:pPr>
            <w:r>
              <w:t>The cost of alternative sites in the event of Disaster Recovery would be a major expense for community recyclers and charitable organisations. A better solution is to provide better logistics planning in the event of a disaster. i.e. don’t accept any further material. Meeting the cost to minimise carbon emissions are unclear. Which technologies are carbon efficient and at what cost?</w:t>
            </w:r>
          </w:p>
          <w:p w:rsidR="00F852EF" w:rsidRPr="00CF77DB" w:rsidRDefault="00F852EF" w:rsidP="00F852EF">
            <w:pPr>
              <w:spacing w:before="120" w:after="120"/>
              <w:rPr>
                <w:lang w:val="en-US"/>
              </w:rPr>
            </w:pPr>
            <w:r w:rsidRPr="00CF77DB">
              <w:rPr>
                <w:b/>
                <w:u w:val="single"/>
                <w:lang w:val="en-US"/>
              </w:rPr>
              <w:t>TEC/NTN</w:t>
            </w:r>
            <w:r w:rsidRPr="00CF77DB">
              <w:rPr>
                <w:lang w:val="en-US"/>
              </w:rPr>
              <w:t xml:space="preserve"> - the cost to the television and computer industry or a third party to certify recyclers or other parties involved in the collection, handling, storage, transport and treatment of the items; and costs to recyclers or other parties to comply with the industry interim guidelines.</w:t>
            </w:r>
          </w:p>
        </w:tc>
      </w:tr>
      <w:tr w:rsidR="00F852EF" w:rsidRPr="003455F9" w:rsidTr="00F852EF">
        <w:trPr>
          <w:trHeight w:val="350"/>
        </w:trPr>
        <w:tc>
          <w:tcPr>
            <w:tcW w:w="2096" w:type="dxa"/>
          </w:tcPr>
          <w:p w:rsidR="00F852EF" w:rsidRPr="00CF77DB" w:rsidRDefault="00F852EF" w:rsidP="00F852EF">
            <w:pPr>
              <w:spacing w:before="120" w:after="120"/>
              <w:rPr>
                <w:lang w:val="en-US"/>
              </w:rPr>
            </w:pPr>
            <w:r w:rsidRPr="00CF77DB">
              <w:rPr>
                <w:lang w:val="en-US"/>
              </w:rPr>
              <w:t>Recycler</w:t>
            </w:r>
          </w:p>
        </w:tc>
        <w:tc>
          <w:tcPr>
            <w:tcW w:w="11812" w:type="dxa"/>
          </w:tcPr>
          <w:p w:rsidR="00F852EF" w:rsidRPr="00CF77DB" w:rsidRDefault="00F852EF" w:rsidP="00F852EF">
            <w:pPr>
              <w:spacing w:before="120" w:after="120"/>
              <w:rPr>
                <w:lang w:val="en-US"/>
              </w:rPr>
            </w:pPr>
            <w:r w:rsidRPr="00CF77DB">
              <w:rPr>
                <w:b/>
                <w:u w:val="single"/>
              </w:rPr>
              <w:t>VES</w:t>
            </w:r>
            <w:r w:rsidRPr="003455F9">
              <w:t xml:space="preserve"> - </w:t>
            </w:r>
            <w:r>
              <w:t>n</w:t>
            </w:r>
            <w:r w:rsidRPr="00CF77DB">
              <w:rPr>
                <w:lang w:val="en-US"/>
              </w:rPr>
              <w:t>o, costs burdens associated with implementing the interim industry standard are not identified. VES understands that an independent consultancy is currently reviewing this aspect. It would in this regard be worthwhile to assess and balance the benefits of compliance to the standard (presumably environmental best practice) against compliance costs.</w:t>
            </w:r>
          </w:p>
          <w:p w:rsidR="00F852EF" w:rsidRPr="00CF77DB" w:rsidRDefault="00F852EF" w:rsidP="00F852EF">
            <w:pPr>
              <w:spacing w:before="120" w:after="120"/>
              <w:rPr>
                <w:lang w:val="en-US"/>
              </w:rPr>
            </w:pPr>
            <w:r w:rsidRPr="00CF77DB">
              <w:rPr>
                <w:b/>
                <w:u w:val="single"/>
                <w:lang w:val="en-US"/>
              </w:rPr>
              <w:t>Recovery TAS</w:t>
            </w:r>
            <w:r w:rsidRPr="00CF77DB">
              <w:rPr>
                <w:lang w:val="en-US"/>
              </w:rPr>
              <w:t xml:space="preserve"> - yes, smaller emerging organisations, often highly innovative must be consulted extensively as the means to influence policy are not as great as larger companies. This will reduce competition in </w:t>
            </w:r>
            <w:smartTag w:uri="urn:schemas-microsoft-com:office:smarttags" w:element="place">
              <w:smartTag w:uri="urn:schemas-microsoft-com:office:smarttags" w:element="country-region">
                <w:r w:rsidRPr="00CF77DB">
                  <w:rPr>
                    <w:lang w:val="en-US"/>
                  </w:rPr>
                  <w:t>Australia</w:t>
                </w:r>
              </w:smartTag>
            </w:smartTag>
            <w:r w:rsidRPr="00CF77DB">
              <w:rPr>
                <w:lang w:val="en-US"/>
              </w:rPr>
              <w:t>.</w:t>
            </w:r>
          </w:p>
          <w:p w:rsidR="00F852EF" w:rsidRPr="00007788" w:rsidRDefault="00F852EF" w:rsidP="00F852EF">
            <w:pPr>
              <w:spacing w:before="120" w:after="120"/>
            </w:pPr>
            <w:r w:rsidRPr="00CF77DB">
              <w:rPr>
                <w:b/>
                <w:u w:val="single"/>
              </w:rPr>
              <w:t>SITA</w:t>
            </w:r>
            <w:r>
              <w:t xml:space="preserve"> - </w:t>
            </w:r>
            <w:r w:rsidRPr="00007788">
              <w:t xml:space="preserve">In some cases, yes, but in some cases, we don’t believe so. </w:t>
            </w:r>
          </w:p>
          <w:p w:rsidR="00F852EF" w:rsidRPr="00007788" w:rsidRDefault="00F852EF" w:rsidP="00162446">
            <w:pPr>
              <w:numPr>
                <w:ilvl w:val="0"/>
                <w:numId w:val="72"/>
              </w:numPr>
              <w:spacing w:before="120" w:after="120"/>
              <w:jc w:val="left"/>
            </w:pPr>
            <w:r w:rsidRPr="00007788">
              <w:t xml:space="preserve">Computer &amp; TV Industry – No, volumes have been estimated, but are not fully known. </w:t>
            </w:r>
          </w:p>
          <w:p w:rsidR="00F852EF" w:rsidRPr="00007788" w:rsidRDefault="00F852EF" w:rsidP="00162446">
            <w:pPr>
              <w:numPr>
                <w:ilvl w:val="0"/>
                <w:numId w:val="72"/>
              </w:numPr>
              <w:spacing w:before="120" w:after="120"/>
              <w:jc w:val="left"/>
            </w:pPr>
            <w:r w:rsidRPr="00007788">
              <w:t xml:space="preserve">Certification of recyclers – Yes, this can be estimated. </w:t>
            </w:r>
          </w:p>
          <w:p w:rsidR="00F852EF" w:rsidRPr="00007788" w:rsidRDefault="00F852EF" w:rsidP="00162446">
            <w:pPr>
              <w:numPr>
                <w:ilvl w:val="0"/>
                <w:numId w:val="72"/>
              </w:numPr>
              <w:spacing w:before="120" w:after="120"/>
              <w:jc w:val="left"/>
            </w:pPr>
            <w:r w:rsidRPr="00007788">
              <w:t xml:space="preserve">Collection, handling, storage, transport and treatment of the items – No. Again, volumes are only estimated and the extent </w:t>
            </w:r>
            <w:r w:rsidRPr="00007788">
              <w:lastRenderedPageBreak/>
              <w:t>to how much is dropped off in the initial spike of the scheme is not fully known.</w:t>
            </w:r>
            <w:r>
              <w:t xml:space="preserve"> </w:t>
            </w:r>
            <w:r w:rsidRPr="00007788">
              <w:t>Approved sites under the Scheme will more than likely need to undergo some modifications to cater for the safety of the general public in the drop-off areas.</w:t>
            </w:r>
            <w:r>
              <w:t xml:space="preserve"> </w:t>
            </w:r>
            <w:r w:rsidRPr="00007788">
              <w:t xml:space="preserve">Consolidation and storage of e-waste may require additional costs to establish. </w:t>
            </w:r>
          </w:p>
          <w:p w:rsidR="00F852EF" w:rsidRDefault="00F852EF" w:rsidP="00162446">
            <w:pPr>
              <w:numPr>
                <w:ilvl w:val="0"/>
                <w:numId w:val="72"/>
              </w:numPr>
              <w:spacing w:before="120" w:after="120"/>
              <w:jc w:val="left"/>
            </w:pPr>
            <w:r w:rsidRPr="00007788">
              <w:t xml:space="preserve">Recyclers complying - This should be relatively low cost to conforming with the industry interim standard, however, additional reporting and auditing requirements may incur some associated costs. </w:t>
            </w:r>
          </w:p>
          <w:p w:rsidR="00F852EF" w:rsidRPr="00007788" w:rsidRDefault="00F852EF" w:rsidP="00F852EF">
            <w:pPr>
              <w:spacing w:before="120" w:after="120"/>
            </w:pPr>
            <w:r w:rsidRPr="00CF77DB">
              <w:rPr>
                <w:b/>
                <w:u w:val="single"/>
              </w:rPr>
              <w:t>Mai-Wel E-Cycling Services</w:t>
            </w:r>
            <w:r>
              <w:t xml:space="preserve"> -</w:t>
            </w:r>
            <w:r w:rsidRPr="00CF77DB">
              <w:rPr>
                <w:rFonts w:ascii="Trebuchet MS" w:hAnsi="Trebuchet MS" w:cs="Trebuchet MS"/>
                <w:sz w:val="26"/>
                <w:szCs w:val="26"/>
              </w:rPr>
              <w:t xml:space="preserve"> </w:t>
            </w:r>
            <w:r w:rsidRPr="00E83CE1">
              <w:t>No clear direction on business/industry generating waste has been given in the standard.</w:t>
            </w:r>
            <w:r>
              <w:t xml:space="preserve"> </w:t>
            </w:r>
            <w:r w:rsidRPr="00E83CE1">
              <w:t>A clear understanding of who and what organisations involved would be paid for has not been identified.</w:t>
            </w:r>
            <w:r>
              <w:t xml:space="preserve"> </w:t>
            </w:r>
            <w:r w:rsidRPr="00E83CE1">
              <w:t>Ownership of commodities and the associated responsibilities are not clear.</w:t>
            </w:r>
            <w:r>
              <w:t xml:space="preserve"> </w:t>
            </w:r>
            <w:r w:rsidRPr="00E83CE1">
              <w:t>Costs may be significantly higher than necessary for compliance/reporting requiring an input breakdown by type (TV, VCR, Computer, etc) and or manufacturer.</w:t>
            </w:r>
          </w:p>
        </w:tc>
      </w:tr>
      <w:tr w:rsidR="00F852EF" w:rsidRPr="003455F9" w:rsidTr="00F852EF">
        <w:trPr>
          <w:trHeight w:val="350"/>
        </w:trPr>
        <w:tc>
          <w:tcPr>
            <w:tcW w:w="13908" w:type="dxa"/>
            <w:gridSpan w:val="2"/>
            <w:shd w:val="clear" w:color="auto" w:fill="F3F3F3"/>
          </w:tcPr>
          <w:p w:rsidR="00F852EF" w:rsidRPr="00CF77DB" w:rsidRDefault="00F852EF" w:rsidP="00F852EF">
            <w:pPr>
              <w:spacing w:before="120" w:after="120"/>
              <w:rPr>
                <w:b/>
                <w:lang w:val="en-US"/>
              </w:rPr>
            </w:pPr>
            <w:r w:rsidRPr="00CF77DB">
              <w:rPr>
                <w:b/>
                <w:lang w:val="en-US"/>
              </w:rPr>
              <w:lastRenderedPageBreak/>
              <w:t>Additional Issues/Concerns</w:t>
            </w:r>
          </w:p>
        </w:tc>
      </w:tr>
      <w:tr w:rsidR="00F852EF" w:rsidRPr="003455F9" w:rsidTr="00F852EF">
        <w:trPr>
          <w:trHeight w:val="350"/>
        </w:trPr>
        <w:tc>
          <w:tcPr>
            <w:tcW w:w="2096" w:type="dxa"/>
          </w:tcPr>
          <w:p w:rsidR="00F852EF" w:rsidRPr="00CF77DB" w:rsidRDefault="00F852EF" w:rsidP="00F852EF">
            <w:pPr>
              <w:spacing w:before="120" w:after="120"/>
              <w:rPr>
                <w:lang w:val="en-US"/>
              </w:rPr>
            </w:pPr>
            <w:r w:rsidRPr="00CF77DB">
              <w:rPr>
                <w:lang w:val="en-US"/>
              </w:rPr>
              <w:t>Local Government</w:t>
            </w:r>
          </w:p>
        </w:tc>
        <w:tc>
          <w:tcPr>
            <w:tcW w:w="11812" w:type="dxa"/>
          </w:tcPr>
          <w:p w:rsidR="00F852EF" w:rsidRDefault="00F852EF" w:rsidP="00F852EF">
            <w:pPr>
              <w:spacing w:before="120" w:after="120"/>
            </w:pPr>
            <w:r w:rsidRPr="00CF77DB">
              <w:rPr>
                <w:b/>
                <w:u w:val="single"/>
              </w:rPr>
              <w:t>Leichhardt Council</w:t>
            </w:r>
            <w:r>
              <w:t xml:space="preserve"> – </w:t>
            </w:r>
          </w:p>
          <w:p w:rsidR="00F852EF" w:rsidRPr="00CF77DB" w:rsidRDefault="00F852EF" w:rsidP="00162446">
            <w:pPr>
              <w:numPr>
                <w:ilvl w:val="0"/>
                <w:numId w:val="68"/>
              </w:numPr>
              <w:spacing w:before="120" w:after="120"/>
              <w:jc w:val="left"/>
              <w:rPr>
                <w:lang w:val="en-US"/>
              </w:rPr>
            </w:pPr>
            <w:r w:rsidRPr="00CF77DB">
              <w:rPr>
                <w:lang w:val="en-US"/>
              </w:rPr>
              <w:t>Pgs 9-12 -</w:t>
            </w:r>
            <w:r>
              <w:rPr>
                <w:lang w:val="en-US"/>
              </w:rPr>
              <w:t xml:space="preserve"> </w:t>
            </w:r>
            <w:r w:rsidRPr="00CF77DB">
              <w:rPr>
                <w:lang w:val="en-US"/>
              </w:rPr>
              <w:t>Collection Points - Where are the collection points to date and what organisations are providing these?If these are being provided by local governments, are all of the individual collection points aware of the Interim Standards comprehensive set of requirements and responsibilities and who will be funding these? Further to the above a consistent set of materials needs to be developed by the industry for any non-industry participants to ensure consistency across the Scheme in all locations and compliance with the Standards, including training, risk management and template reporting documents for management of a ‘collection’ facility.</w:t>
            </w:r>
            <w:r>
              <w:rPr>
                <w:lang w:val="en-US"/>
              </w:rPr>
              <w:t xml:space="preserve"> </w:t>
            </w:r>
            <w:r w:rsidRPr="00CF77DB">
              <w:rPr>
                <w:lang w:val="en-US"/>
              </w:rPr>
              <w:t>Are there additional requirements by state and territory jurisdictions in relation to the Standard in addition to the Federal Government Scheme and if so what are these?</w:t>
            </w:r>
          </w:p>
          <w:p w:rsidR="00F852EF" w:rsidRPr="00CF77DB" w:rsidRDefault="00F852EF" w:rsidP="00162446">
            <w:pPr>
              <w:numPr>
                <w:ilvl w:val="0"/>
                <w:numId w:val="68"/>
              </w:numPr>
              <w:spacing w:before="120" w:after="120"/>
              <w:jc w:val="left"/>
              <w:rPr>
                <w:lang w:val="en-US"/>
              </w:rPr>
            </w:pPr>
            <w:r w:rsidRPr="00CF77DB">
              <w:rPr>
                <w:lang w:val="en-US"/>
              </w:rPr>
              <w:t>Pg 12 -</w:t>
            </w:r>
            <w:r>
              <w:rPr>
                <w:lang w:val="en-US"/>
              </w:rPr>
              <w:t xml:space="preserve"> </w:t>
            </w:r>
            <w:r w:rsidRPr="00CF77DB">
              <w:rPr>
                <w:lang w:val="en-US"/>
              </w:rPr>
              <w:t>Fees – the community has the right to know that the collection, transporting, reprocessing/recycling has a large cost to those along the product stewardship chain, that this is not FREE and that the consumer is paying. Otherwise there is no understanding of the full costs involved in management of waste,</w:t>
            </w:r>
            <w:r>
              <w:rPr>
                <w:lang w:val="en-US"/>
              </w:rPr>
              <w:t xml:space="preserve"> </w:t>
            </w:r>
            <w:r w:rsidRPr="00CF77DB">
              <w:rPr>
                <w:lang w:val="en-US"/>
              </w:rPr>
              <w:t>particularly hazardous waste and will result in overall waste increases,</w:t>
            </w:r>
            <w:r>
              <w:rPr>
                <w:lang w:val="en-US"/>
              </w:rPr>
              <w:t xml:space="preserve"> </w:t>
            </w:r>
            <w:r w:rsidRPr="00CF77DB">
              <w:rPr>
                <w:lang w:val="en-US"/>
              </w:rPr>
              <w:t>as demonstrated in general overall waste increases,</w:t>
            </w:r>
            <w:r>
              <w:rPr>
                <w:lang w:val="en-US"/>
              </w:rPr>
              <w:t xml:space="preserve"> </w:t>
            </w:r>
            <w:r w:rsidRPr="00CF77DB">
              <w:rPr>
                <w:lang w:val="en-US"/>
              </w:rPr>
              <w:t>despite recycling. Related to this is the exclusion of reuse or refurbishment within the Interim Standard and Rollout with no information on how upgrading, reuse, refurbishment will be managed and by who and how they fit into the Scheme. Once recycling collection points are set up there will be little incentive to do anything else bar recycle.</w:t>
            </w:r>
          </w:p>
          <w:p w:rsidR="00F852EF" w:rsidRPr="00CF77DB" w:rsidRDefault="00F852EF" w:rsidP="00162446">
            <w:pPr>
              <w:numPr>
                <w:ilvl w:val="0"/>
                <w:numId w:val="68"/>
              </w:numPr>
              <w:spacing w:before="120" w:after="120"/>
              <w:jc w:val="left"/>
              <w:rPr>
                <w:lang w:val="en-US"/>
              </w:rPr>
            </w:pPr>
            <w:r w:rsidRPr="00CF77DB">
              <w:rPr>
                <w:lang w:val="en-US"/>
              </w:rPr>
              <w:t>Pg 12 -</w:t>
            </w:r>
            <w:r>
              <w:rPr>
                <w:lang w:val="en-US"/>
              </w:rPr>
              <w:t xml:space="preserve"> </w:t>
            </w:r>
            <w:r w:rsidRPr="00CF77DB">
              <w:rPr>
                <w:lang w:val="en-US"/>
              </w:rPr>
              <w:t>Social enterprise - what mechanisms are there to ensure social enterprises can meet the Interim Standards – are they going to be competitive? As noted in the response letter to the Australian Information Industry Association from Ramsay Moodie there are issues relating to the preclusion of smaller or start up / existing social enterprises being able to meet the standards and be competitive. The standard needs to include options for this type of enterprise and how they can participate and be funded.</w:t>
            </w:r>
          </w:p>
          <w:p w:rsidR="00F852EF" w:rsidRPr="00CF77DB" w:rsidRDefault="00F852EF" w:rsidP="00162446">
            <w:pPr>
              <w:numPr>
                <w:ilvl w:val="0"/>
                <w:numId w:val="68"/>
              </w:numPr>
              <w:spacing w:before="120" w:after="120"/>
              <w:jc w:val="left"/>
              <w:rPr>
                <w:lang w:val="en-US"/>
              </w:rPr>
            </w:pPr>
            <w:r w:rsidRPr="00CF77DB">
              <w:rPr>
                <w:lang w:val="en-US"/>
              </w:rPr>
              <w:t>Pg 11 -</w:t>
            </w:r>
            <w:r>
              <w:rPr>
                <w:lang w:val="en-US"/>
              </w:rPr>
              <w:t xml:space="preserve"> </w:t>
            </w:r>
            <w:r w:rsidRPr="00CF77DB">
              <w:rPr>
                <w:lang w:val="en-US"/>
              </w:rPr>
              <w:t xml:space="preserve">Duplication of reporting - how does the Interim Standard reporting requirements fit with existing reporting requirements at Federal and State government level so that there is not duplication and inefficiencies with organisations </w:t>
            </w:r>
            <w:r w:rsidRPr="00CF77DB">
              <w:rPr>
                <w:lang w:val="en-US"/>
              </w:rPr>
              <w:lastRenderedPageBreak/>
              <w:t>having to record and monitor additional data? Working on a ‘template (s)’ for this purpose with government (s) would be useful to ensure consistency and avoid overlaps.</w:t>
            </w:r>
          </w:p>
          <w:p w:rsidR="00F852EF" w:rsidRPr="00CF77DB" w:rsidRDefault="00F852EF" w:rsidP="00F852EF">
            <w:pPr>
              <w:spacing w:before="120" w:after="120"/>
              <w:rPr>
                <w:lang w:val="en-US"/>
              </w:rPr>
            </w:pPr>
            <w:r w:rsidRPr="00CF77DB">
              <w:rPr>
                <w:b/>
                <w:u w:val="single"/>
                <w:lang w:val="en-US"/>
              </w:rPr>
              <w:t>NSW LGSA</w:t>
            </w:r>
            <w:r w:rsidRPr="00CF77DB">
              <w:rPr>
                <w:lang w:val="en-US"/>
              </w:rPr>
              <w:t xml:space="preserve"> – </w:t>
            </w:r>
          </w:p>
          <w:p w:rsidR="00F852EF" w:rsidRPr="00CF77DB" w:rsidRDefault="00F852EF" w:rsidP="00162446">
            <w:pPr>
              <w:numPr>
                <w:ilvl w:val="0"/>
                <w:numId w:val="80"/>
              </w:numPr>
              <w:spacing w:before="120" w:after="120"/>
              <w:jc w:val="left"/>
              <w:rPr>
                <w:lang w:val="en-US"/>
              </w:rPr>
            </w:pPr>
            <w:r w:rsidRPr="00CF77DB">
              <w:rPr>
                <w:lang w:val="en-US"/>
              </w:rPr>
              <w:t xml:space="preserve">The Associations appreciate the opportunity to provide comments and input to the Draft Interim Industry Standard for the Collection, Transport and Recycling of End of Life (EOL) Televisions and Computers </w:t>
            </w:r>
          </w:p>
          <w:p w:rsidR="00F852EF" w:rsidRPr="00CF77DB" w:rsidRDefault="00F852EF" w:rsidP="00162446">
            <w:pPr>
              <w:numPr>
                <w:ilvl w:val="0"/>
                <w:numId w:val="80"/>
              </w:numPr>
              <w:spacing w:before="120" w:after="120"/>
              <w:jc w:val="left"/>
              <w:rPr>
                <w:lang w:val="en-US"/>
              </w:rPr>
            </w:pPr>
            <w:r w:rsidRPr="00CF77DB">
              <w:rPr>
                <w:lang w:val="en-US"/>
              </w:rPr>
              <w:t>The Associations’ comments relate mainly to the requirements which will apply to collection facilities, as this will be the main area of involvement for councils wishing to engage in the scheme. It should be noted however that these standards will equally apply to community groups and retailers who participate in the scheme, and there is likely to be a great deal of variety in the degree of “upskilling” and upgrading which is necessary.</w:t>
            </w:r>
          </w:p>
          <w:p w:rsidR="00F852EF" w:rsidRPr="00CF77DB" w:rsidRDefault="00F852EF" w:rsidP="00162446">
            <w:pPr>
              <w:numPr>
                <w:ilvl w:val="0"/>
                <w:numId w:val="80"/>
              </w:numPr>
              <w:spacing w:before="120" w:after="120"/>
              <w:jc w:val="left"/>
              <w:rPr>
                <w:lang w:val="en-US"/>
              </w:rPr>
            </w:pPr>
            <w:r w:rsidRPr="00CF77DB">
              <w:rPr>
                <w:lang w:val="en-US"/>
              </w:rPr>
              <w:t>For collection facilities (page 12), the standards themselves, while appropriate, are somewhat “open ended”. What for example, does “clean and tidy, secure and free from hazards” mean? What does “a warning stating that it is the responsibility of the equipment owner to remove of any confidential or private data before the equipment is left at the collection location” look like? These requirements are open to interpretation.</w:t>
            </w:r>
          </w:p>
          <w:p w:rsidR="00F852EF" w:rsidRPr="00CF77DB" w:rsidRDefault="00F852EF" w:rsidP="00162446">
            <w:pPr>
              <w:numPr>
                <w:ilvl w:val="0"/>
                <w:numId w:val="80"/>
              </w:numPr>
              <w:spacing w:before="120" w:after="120"/>
              <w:jc w:val="left"/>
              <w:rPr>
                <w:lang w:val="en-US"/>
              </w:rPr>
            </w:pPr>
            <w:r w:rsidRPr="00CF77DB">
              <w:rPr>
                <w:lang w:val="en-US"/>
              </w:rPr>
              <w:t>In order to ensure some level of consistency and to ensure that the Program can have sufficient geographical coverage, particularly in rural and regional communities, the following additional principles are being proposed:</w:t>
            </w:r>
          </w:p>
          <w:p w:rsidR="00F852EF" w:rsidRPr="00CF77DB" w:rsidRDefault="00F852EF" w:rsidP="00162446">
            <w:pPr>
              <w:numPr>
                <w:ilvl w:val="0"/>
                <w:numId w:val="80"/>
              </w:numPr>
              <w:spacing w:before="120" w:after="120"/>
              <w:jc w:val="left"/>
              <w:rPr>
                <w:lang w:val="en-US"/>
              </w:rPr>
            </w:pPr>
            <w:r w:rsidRPr="00CF77DB">
              <w:rPr>
                <w:lang w:val="en-US"/>
              </w:rPr>
              <w:t>Page 8: Additional Guiding Principles:</w:t>
            </w:r>
          </w:p>
          <w:p w:rsidR="00F852EF" w:rsidRPr="00CF77DB" w:rsidRDefault="00F852EF" w:rsidP="00162446">
            <w:pPr>
              <w:numPr>
                <w:ilvl w:val="1"/>
                <w:numId w:val="80"/>
              </w:numPr>
              <w:spacing w:before="120" w:after="120"/>
              <w:jc w:val="left"/>
              <w:rPr>
                <w:lang w:val="en-US"/>
              </w:rPr>
            </w:pPr>
            <w:r w:rsidRPr="00CF77DB">
              <w:rPr>
                <w:lang w:val="en-US"/>
              </w:rPr>
              <w:t>Where existing, non-industry facilities which are proposed to be used for collection of e-waste require upgrading or modification to meet the standards, funding can be made available from the National Television and Computer Product Stewardship Program (the Program) to facilitate those upgrades / modifications. Where personnel training for non-industry participants is required in order to meet the standards (to meet OH&amp;S requirements, Risk Management requirements or correct handling procedures), funding can also be made available from the Program for this purpose. Such funding will be subject to negotiation and agreement between the Program and the non-industry participant, and will be provided on an “at cost” basis.</w:t>
            </w:r>
          </w:p>
          <w:p w:rsidR="00F852EF" w:rsidRPr="00CF77DB" w:rsidRDefault="00F852EF" w:rsidP="00162446">
            <w:pPr>
              <w:numPr>
                <w:ilvl w:val="1"/>
                <w:numId w:val="80"/>
              </w:numPr>
              <w:spacing w:before="120" w:after="120"/>
              <w:jc w:val="left"/>
              <w:rPr>
                <w:lang w:val="en-US"/>
              </w:rPr>
            </w:pPr>
            <w:r w:rsidRPr="00CF77DB">
              <w:rPr>
                <w:lang w:val="en-US"/>
              </w:rPr>
              <w:t>The Program will develop generic guidance materials for use by non-industry participants to assist in the preparation of:</w:t>
            </w:r>
          </w:p>
          <w:p w:rsidR="00F852EF" w:rsidRPr="00CF77DB" w:rsidRDefault="00F852EF" w:rsidP="00F852EF">
            <w:pPr>
              <w:spacing w:before="120" w:after="120"/>
              <w:ind w:left="1440"/>
              <w:rPr>
                <w:lang w:val="en-US"/>
              </w:rPr>
            </w:pPr>
            <w:r w:rsidRPr="00CF77DB">
              <w:rPr>
                <w:lang w:val="en-US"/>
              </w:rPr>
              <w:t xml:space="preserve">Personnel training programs including facility management </w:t>
            </w:r>
          </w:p>
          <w:p w:rsidR="00F852EF" w:rsidRPr="00CF77DB" w:rsidRDefault="00F852EF" w:rsidP="00F852EF">
            <w:pPr>
              <w:spacing w:before="120" w:after="120"/>
              <w:ind w:left="1440"/>
              <w:rPr>
                <w:lang w:val="en-US"/>
              </w:rPr>
            </w:pPr>
            <w:r w:rsidRPr="00CF77DB">
              <w:rPr>
                <w:lang w:val="en-US"/>
              </w:rPr>
              <w:t xml:space="preserve">Collection facility design and construction guidelines including signage </w:t>
            </w:r>
          </w:p>
          <w:p w:rsidR="00F852EF" w:rsidRPr="00CF77DB" w:rsidRDefault="00F852EF" w:rsidP="00F852EF">
            <w:pPr>
              <w:spacing w:before="120" w:after="120"/>
              <w:ind w:left="1440"/>
              <w:rPr>
                <w:lang w:val="en-US"/>
              </w:rPr>
            </w:pPr>
            <w:r w:rsidRPr="00CF77DB">
              <w:rPr>
                <w:lang w:val="en-US"/>
              </w:rPr>
              <w:t xml:space="preserve">OH&amp;S procedures </w:t>
            </w:r>
          </w:p>
          <w:p w:rsidR="00F852EF" w:rsidRPr="00CF77DB" w:rsidRDefault="00F852EF" w:rsidP="00F852EF">
            <w:pPr>
              <w:spacing w:before="120" w:after="120"/>
              <w:ind w:left="1440"/>
              <w:rPr>
                <w:lang w:val="en-US"/>
              </w:rPr>
            </w:pPr>
            <w:r w:rsidRPr="00CF77DB">
              <w:rPr>
                <w:lang w:val="en-US"/>
              </w:rPr>
              <w:t xml:space="preserve">Environmental Compliance </w:t>
            </w:r>
          </w:p>
          <w:p w:rsidR="00F852EF" w:rsidRPr="00CF77DB" w:rsidRDefault="00F852EF" w:rsidP="00F852EF">
            <w:pPr>
              <w:spacing w:before="120" w:after="120"/>
              <w:ind w:left="1440"/>
              <w:rPr>
                <w:lang w:val="en-US"/>
              </w:rPr>
            </w:pPr>
            <w:r w:rsidRPr="00CF77DB">
              <w:rPr>
                <w:lang w:val="en-US"/>
              </w:rPr>
              <w:t xml:space="preserve">Risk Management Systems </w:t>
            </w:r>
          </w:p>
          <w:p w:rsidR="00F852EF" w:rsidRPr="00CF77DB" w:rsidRDefault="00F852EF" w:rsidP="00F852EF">
            <w:pPr>
              <w:spacing w:before="120" w:after="120"/>
              <w:ind w:left="1440"/>
              <w:rPr>
                <w:lang w:val="en-US"/>
              </w:rPr>
            </w:pPr>
            <w:r w:rsidRPr="00CF77DB">
              <w:rPr>
                <w:lang w:val="en-US"/>
              </w:rPr>
              <w:lastRenderedPageBreak/>
              <w:t xml:space="preserve">Reporting / documentation </w:t>
            </w:r>
          </w:p>
          <w:p w:rsidR="00F852EF" w:rsidRPr="00CF77DB" w:rsidRDefault="00F852EF" w:rsidP="00F852EF">
            <w:pPr>
              <w:spacing w:before="120" w:after="120"/>
              <w:ind w:left="1440"/>
              <w:rPr>
                <w:lang w:val="en-US"/>
              </w:rPr>
            </w:pPr>
            <w:r w:rsidRPr="00CF77DB">
              <w:rPr>
                <w:lang w:val="en-US"/>
              </w:rPr>
              <w:t xml:space="preserve">Emergency response </w:t>
            </w:r>
          </w:p>
          <w:p w:rsidR="00F852EF" w:rsidRPr="00CF77DB" w:rsidRDefault="00F852EF" w:rsidP="00F852EF">
            <w:pPr>
              <w:spacing w:before="120" w:after="120"/>
              <w:ind w:left="1440"/>
              <w:rPr>
                <w:lang w:val="en-US"/>
              </w:rPr>
            </w:pPr>
            <w:r w:rsidRPr="00CF77DB">
              <w:rPr>
                <w:lang w:val="en-US"/>
              </w:rPr>
              <w:t xml:space="preserve">Other matters as are considered appropriate or necessary </w:t>
            </w:r>
          </w:p>
          <w:p w:rsidR="00F852EF" w:rsidRPr="00CF77DB" w:rsidRDefault="00F852EF" w:rsidP="00162446">
            <w:pPr>
              <w:numPr>
                <w:ilvl w:val="0"/>
                <w:numId w:val="81"/>
              </w:numPr>
              <w:spacing w:before="120" w:after="120"/>
              <w:jc w:val="left"/>
              <w:rPr>
                <w:lang w:val="en-US"/>
              </w:rPr>
            </w:pPr>
            <w:r w:rsidRPr="00CF77DB">
              <w:rPr>
                <w:lang w:val="en-US"/>
              </w:rPr>
              <w:t xml:space="preserve">As a general comment, the Draft Interim Standards seem to reflect an attitude that once the scheme is on offer, potential collection facilities will simply come forward seeking to be established. While this may in fact happen, the Program Managers will find themselves dealing with a wide variety of levels of expertise, suitability of sites etc. </w:t>
            </w:r>
          </w:p>
          <w:p w:rsidR="00F852EF" w:rsidRPr="00CF77DB" w:rsidRDefault="00F852EF" w:rsidP="00162446">
            <w:pPr>
              <w:numPr>
                <w:ilvl w:val="0"/>
                <w:numId w:val="81"/>
              </w:numPr>
              <w:spacing w:before="120" w:after="120"/>
              <w:jc w:val="left"/>
              <w:rPr>
                <w:lang w:val="en-US"/>
              </w:rPr>
            </w:pPr>
            <w:r w:rsidRPr="00CF77DB">
              <w:rPr>
                <w:lang w:val="en-US"/>
              </w:rPr>
              <w:t xml:space="preserve">Recent experience with the Australian Government’s Roof Insulation Rebate scheme has, however, demonstrated that a much more proactive approach is needed to ensure that participants (be they councils, community groups, retailers etc), are able to comply with standards. Simply “setting the standards” and leaving it to participants to comply is not enough. </w:t>
            </w:r>
          </w:p>
          <w:p w:rsidR="00F852EF" w:rsidRPr="00CF77DB" w:rsidRDefault="00F852EF" w:rsidP="00162446">
            <w:pPr>
              <w:numPr>
                <w:ilvl w:val="0"/>
                <w:numId w:val="81"/>
              </w:numPr>
              <w:spacing w:before="120" w:after="120"/>
              <w:jc w:val="left"/>
              <w:rPr>
                <w:lang w:val="en-US"/>
              </w:rPr>
            </w:pPr>
            <w:r w:rsidRPr="00CF77DB">
              <w:rPr>
                <w:lang w:val="en-US"/>
              </w:rPr>
              <w:t xml:space="preserve">Aspects such as training programs, consistent signage templates, infrastructure upgrades, community advertising (through website or similar) are all better provided and funded by the scheme. It is a worthwhile up-front investment to ensure that the scheme operates efficiently and consistently across </w:t>
            </w:r>
            <w:smartTag w:uri="urn:schemas-microsoft-com:office:smarttags" w:element="place">
              <w:smartTag w:uri="urn:schemas-microsoft-com:office:smarttags" w:element="country-region">
                <w:r w:rsidRPr="00CF77DB">
                  <w:rPr>
                    <w:lang w:val="en-US"/>
                  </w:rPr>
                  <w:t>Australia</w:t>
                </w:r>
              </w:smartTag>
            </w:smartTag>
            <w:r w:rsidRPr="00CF77DB">
              <w:rPr>
                <w:lang w:val="en-US"/>
              </w:rPr>
              <w:t>.</w:t>
            </w:r>
          </w:p>
          <w:p w:rsidR="00F852EF" w:rsidRPr="00CF77DB" w:rsidRDefault="00F852EF" w:rsidP="00162446">
            <w:pPr>
              <w:numPr>
                <w:ilvl w:val="0"/>
                <w:numId w:val="81"/>
              </w:numPr>
              <w:spacing w:before="120" w:after="120"/>
              <w:jc w:val="left"/>
              <w:rPr>
                <w:lang w:val="en-US"/>
              </w:rPr>
            </w:pPr>
            <w:r w:rsidRPr="00CF77DB">
              <w:rPr>
                <w:lang w:val="en-US"/>
              </w:rPr>
              <w:t>The DrumMuster program which operates nationally to recover farm chemical containers has already navigated this path, and found that it was overwhelmingly beneficial to invest “up front” in ensuring that training, facilities and signage are all of a consistent standard. Managing and funding these centrally has saved a great deal of time and money because individual monitoring of compliance is not necessary.</w:t>
            </w:r>
          </w:p>
          <w:p w:rsidR="00F852EF" w:rsidRPr="00CF77DB" w:rsidRDefault="00F852EF" w:rsidP="00162446">
            <w:pPr>
              <w:numPr>
                <w:ilvl w:val="0"/>
                <w:numId w:val="81"/>
              </w:numPr>
              <w:spacing w:before="120" w:after="120"/>
              <w:jc w:val="left"/>
              <w:rPr>
                <w:lang w:val="en-US"/>
              </w:rPr>
            </w:pPr>
            <w:r w:rsidRPr="00CF77DB">
              <w:rPr>
                <w:lang w:val="en-US"/>
              </w:rPr>
              <w:t xml:space="preserve">The television and computer industry are absorbing the cost of running the recycling scheme into the current cost of new products, without any discrete or identified levy on the consumer (as operates in DrumMuster, the waste oil levy and the tyre industry). It is clear (and entirely understandable) that in light of this, they would seek to minimize the financial impact of delivering the scheme on consumers. Nevertheless, in the Associations’ view, they are leaving far too much to other stakeholders to sort out (especially at the pre-collection phase), without sufficient guidance or hands-on management. </w:t>
            </w:r>
          </w:p>
          <w:p w:rsidR="00F852EF" w:rsidRPr="00CF77DB" w:rsidRDefault="00F852EF" w:rsidP="00162446">
            <w:pPr>
              <w:numPr>
                <w:ilvl w:val="0"/>
                <w:numId w:val="81"/>
              </w:numPr>
              <w:spacing w:before="120" w:after="120"/>
              <w:jc w:val="left"/>
              <w:rPr>
                <w:lang w:val="en-US"/>
              </w:rPr>
            </w:pPr>
            <w:r w:rsidRPr="00CF77DB">
              <w:rPr>
                <w:lang w:val="en-US"/>
              </w:rPr>
              <w:t xml:space="preserve">In the Associations’ view, the industry should be taking a much more proactive role and greater financial responsibility for ensuring the quality and effectiveness of the ‘pre-collection’ phase of the program. Councils are well placed to assist and participate in the program, but there is a clear need for consistency, ongoing quality control and maintenance of standards of the program. There are “up front” and ongoing costs associated with this. These are clearly the responsibility of the industry. </w:t>
            </w:r>
          </w:p>
          <w:p w:rsidR="00F852EF" w:rsidRPr="00CF77DB" w:rsidRDefault="00F852EF" w:rsidP="00162446">
            <w:pPr>
              <w:numPr>
                <w:ilvl w:val="0"/>
                <w:numId w:val="81"/>
              </w:numPr>
              <w:spacing w:before="120" w:after="120"/>
              <w:jc w:val="left"/>
              <w:rPr>
                <w:lang w:val="en-US"/>
              </w:rPr>
            </w:pPr>
            <w:r w:rsidRPr="00CF77DB">
              <w:rPr>
                <w:lang w:val="en-US"/>
              </w:rPr>
              <w:t>The Associations re-state their view that a document with standardized “terms of engagement” for councils wishing to participate in the program, is advisable. It will result in a more effective, efficient, safer and ultimately more cost-effective program.</w:t>
            </w:r>
          </w:p>
          <w:p w:rsidR="00F852EF" w:rsidRPr="00CF77DB" w:rsidRDefault="00F852EF" w:rsidP="00F852EF">
            <w:pPr>
              <w:spacing w:before="120" w:after="120"/>
              <w:rPr>
                <w:lang w:val="en-US"/>
              </w:rPr>
            </w:pPr>
            <w:r w:rsidRPr="00CF77DB">
              <w:rPr>
                <w:b/>
                <w:u w:val="single"/>
              </w:rPr>
              <w:t>WALGA</w:t>
            </w:r>
            <w:r>
              <w:t xml:space="preserve"> - </w:t>
            </w:r>
          </w:p>
          <w:p w:rsidR="00F852EF" w:rsidRPr="00CF77DB" w:rsidRDefault="00F852EF" w:rsidP="00162446">
            <w:pPr>
              <w:numPr>
                <w:ilvl w:val="0"/>
                <w:numId w:val="85"/>
              </w:numPr>
              <w:spacing w:before="120" w:after="120"/>
              <w:jc w:val="left"/>
              <w:rPr>
                <w:lang w:val="en-US"/>
              </w:rPr>
            </w:pPr>
            <w:smartTag w:uri="urn:schemas-microsoft-com:office:smarttags" w:element="PersonName">
              <w:r w:rsidRPr="00CF77DB">
                <w:rPr>
                  <w:lang w:val="en-US"/>
                </w:rPr>
                <w:t>Gen</w:t>
              </w:r>
            </w:smartTag>
            <w:r w:rsidRPr="00CF77DB">
              <w:rPr>
                <w:lang w:val="en-US"/>
              </w:rPr>
              <w:t xml:space="preserve">eral Requirements – </w:t>
            </w:r>
          </w:p>
          <w:p w:rsidR="00F852EF" w:rsidRPr="00CF77DB" w:rsidRDefault="00F852EF" w:rsidP="00162446">
            <w:pPr>
              <w:numPr>
                <w:ilvl w:val="1"/>
                <w:numId w:val="85"/>
              </w:numPr>
              <w:spacing w:before="120" w:after="120"/>
              <w:jc w:val="left"/>
              <w:rPr>
                <w:lang w:val="en-US"/>
              </w:rPr>
            </w:pPr>
            <w:r w:rsidRPr="00CF77DB">
              <w:rPr>
                <w:lang w:val="en-US"/>
              </w:rPr>
              <w:lastRenderedPageBreak/>
              <w:t xml:space="preserve">Risk Management - As was previously identified the requirements for the collection locations, transporters and recyclers will vary in terms of risk management and it is potentially confusing to have all of the risk management issues together. </w:t>
            </w:r>
          </w:p>
          <w:p w:rsidR="00F852EF" w:rsidRPr="00CF77DB" w:rsidRDefault="00F852EF" w:rsidP="00F852EF">
            <w:pPr>
              <w:spacing w:before="120" w:after="120"/>
              <w:ind w:left="1440"/>
              <w:rPr>
                <w:lang w:val="en-US"/>
              </w:rPr>
            </w:pPr>
            <w:r w:rsidRPr="00CF77DB">
              <w:rPr>
                <w:lang w:val="en-US"/>
              </w:rPr>
              <w:t xml:space="preserve">Suggested amendment: </w:t>
            </w:r>
          </w:p>
          <w:p w:rsidR="00F852EF" w:rsidRPr="00CF77DB" w:rsidRDefault="00F852EF" w:rsidP="00F852EF">
            <w:pPr>
              <w:spacing w:before="120" w:after="120"/>
              <w:ind w:left="1440"/>
              <w:rPr>
                <w:i/>
                <w:lang w:val="en-US"/>
              </w:rPr>
            </w:pPr>
            <w:r w:rsidRPr="00CF77DB">
              <w:rPr>
                <w:i/>
                <w:lang w:val="en-US"/>
              </w:rPr>
              <w:t xml:space="preserve">If the different risk management requirements of collection locations, transporters and recyclers are not going to be separated out it is suggested that it be clarified that </w:t>
            </w:r>
          </w:p>
          <w:p w:rsidR="00F852EF" w:rsidRPr="00CF77DB" w:rsidRDefault="00F852EF" w:rsidP="00F852EF">
            <w:pPr>
              <w:spacing w:before="120" w:after="120"/>
              <w:ind w:left="1440"/>
              <w:rPr>
                <w:i/>
                <w:lang w:val="en-US"/>
              </w:rPr>
            </w:pPr>
            <w:r w:rsidRPr="00CF77DB">
              <w:rPr>
                <w:i/>
                <w:lang w:val="en-US"/>
              </w:rPr>
              <w:t>a)</w:t>
            </w:r>
            <w:r w:rsidRPr="00CF77DB">
              <w:rPr>
                <w:i/>
                <w:lang w:val="en-US"/>
              </w:rPr>
              <w:tab/>
              <w:t>not all requirements will apply to collection locations, transporters and recyclers; and</w:t>
            </w:r>
          </w:p>
          <w:p w:rsidR="00F852EF" w:rsidRPr="00CF77DB" w:rsidRDefault="00F852EF" w:rsidP="00F852EF">
            <w:pPr>
              <w:spacing w:before="120" w:after="120"/>
              <w:ind w:left="1440"/>
              <w:rPr>
                <w:i/>
                <w:lang w:val="en-US"/>
              </w:rPr>
            </w:pPr>
            <w:r w:rsidRPr="00CF77DB">
              <w:rPr>
                <w:i/>
                <w:lang w:val="en-US"/>
              </w:rPr>
              <w:t>b)</w:t>
            </w:r>
            <w:r w:rsidRPr="00CF77DB">
              <w:rPr>
                <w:i/>
                <w:lang w:val="en-US"/>
              </w:rPr>
              <w:tab/>
              <w:t>Note that some collection locations, such as Local Government collection locations, are likely to have risk management practices in place already. These will be related to their existing operations, as landfills, transfer stations etc.</w:t>
            </w:r>
            <w:r>
              <w:rPr>
                <w:i/>
                <w:lang w:val="en-US"/>
              </w:rPr>
              <w:t xml:space="preserve"> </w:t>
            </w:r>
            <w:r w:rsidRPr="00CF77DB">
              <w:rPr>
                <w:i/>
                <w:lang w:val="en-US"/>
              </w:rPr>
              <w:t xml:space="preserve">Therefore they will not need new risk management plans. </w:t>
            </w:r>
          </w:p>
          <w:p w:rsidR="00F852EF" w:rsidRPr="00CF77DB" w:rsidRDefault="00F852EF" w:rsidP="00162446">
            <w:pPr>
              <w:numPr>
                <w:ilvl w:val="1"/>
                <w:numId w:val="85"/>
              </w:numPr>
              <w:spacing w:before="120" w:after="120"/>
              <w:jc w:val="left"/>
              <w:rPr>
                <w:lang w:val="en-US"/>
              </w:rPr>
            </w:pPr>
            <w:r w:rsidRPr="00CF77DB">
              <w:rPr>
                <w:lang w:val="en-US"/>
              </w:rPr>
              <w:t xml:space="preserve">Reporting - Similar to Risk Management the inclusion of collection locations and recyclers in this section is still slightly confusing due to the inclusion of both collection locations and recyclers. </w:t>
            </w:r>
          </w:p>
          <w:p w:rsidR="00F852EF" w:rsidRPr="00CF77DB" w:rsidRDefault="00F852EF" w:rsidP="00162446">
            <w:pPr>
              <w:numPr>
                <w:ilvl w:val="1"/>
                <w:numId w:val="85"/>
              </w:numPr>
              <w:spacing w:before="120" w:after="120"/>
              <w:jc w:val="left"/>
              <w:rPr>
                <w:lang w:val="en-US"/>
              </w:rPr>
            </w:pPr>
            <w:r w:rsidRPr="00CF77DB">
              <w:rPr>
                <w:lang w:val="en-US"/>
              </w:rPr>
              <w:t xml:space="preserve">Suggested amendment: </w:t>
            </w:r>
            <w:r w:rsidRPr="00CF77DB">
              <w:rPr>
                <w:i/>
                <w:lang w:val="en-US"/>
              </w:rPr>
              <w:t>Separate out what are the reporting requirement for collection locations (e.g. tonnes collected) from those of recyclers.</w:t>
            </w:r>
          </w:p>
          <w:p w:rsidR="00F852EF" w:rsidRPr="00CF77DB" w:rsidRDefault="00F852EF" w:rsidP="00162446">
            <w:pPr>
              <w:numPr>
                <w:ilvl w:val="0"/>
                <w:numId w:val="85"/>
              </w:numPr>
              <w:spacing w:before="120" w:after="120"/>
              <w:jc w:val="left"/>
              <w:rPr>
                <w:lang w:val="en-US"/>
              </w:rPr>
            </w:pPr>
            <w:r w:rsidRPr="00CF77DB">
              <w:rPr>
                <w:lang w:val="en-US"/>
              </w:rPr>
              <w:t>Definitions –</w:t>
            </w:r>
          </w:p>
          <w:p w:rsidR="00F852EF" w:rsidRPr="00CF77DB" w:rsidRDefault="00F852EF" w:rsidP="00162446">
            <w:pPr>
              <w:numPr>
                <w:ilvl w:val="1"/>
                <w:numId w:val="85"/>
              </w:numPr>
              <w:spacing w:before="120" w:after="120"/>
              <w:jc w:val="left"/>
              <w:rPr>
                <w:lang w:val="en-US"/>
              </w:rPr>
            </w:pPr>
            <w:r w:rsidRPr="00CF77DB">
              <w:rPr>
                <w:lang w:val="en-US"/>
              </w:rPr>
              <w:t xml:space="preserve">Collection Location/Facility - The definition is supported, however as comment has been made in the draft Interim Industry Standard about the ‘designated’ collection points (pg 12) and that contracts will be established with Collection Locations (pg 11), it may be useful to add to the definition that these are actually accredited/authorised sites with specific requirements associated with their operation. </w:t>
            </w:r>
          </w:p>
          <w:p w:rsidR="00F852EF" w:rsidRPr="00CF77DB" w:rsidRDefault="00F852EF" w:rsidP="00162446">
            <w:pPr>
              <w:numPr>
                <w:ilvl w:val="1"/>
                <w:numId w:val="85"/>
              </w:numPr>
              <w:spacing w:before="120" w:after="120"/>
              <w:jc w:val="left"/>
              <w:rPr>
                <w:lang w:val="en-US"/>
              </w:rPr>
            </w:pPr>
            <w:r w:rsidRPr="00CF77DB">
              <w:rPr>
                <w:lang w:val="en-US"/>
              </w:rPr>
              <w:t xml:space="preserve">Waste Hierarchy (pg 26)– see previous comments on this definition </w:t>
            </w:r>
          </w:p>
          <w:p w:rsidR="00F852EF" w:rsidRPr="00CF77DB" w:rsidRDefault="00F852EF" w:rsidP="00F852EF">
            <w:pPr>
              <w:spacing w:before="120" w:after="120"/>
              <w:ind w:left="1440"/>
              <w:rPr>
                <w:i/>
                <w:lang w:val="en-US"/>
              </w:rPr>
            </w:pPr>
            <w:r w:rsidRPr="00CF77DB">
              <w:rPr>
                <w:i/>
                <w:lang w:val="en-US"/>
              </w:rPr>
              <w:t>As all the States have different legislation / different definitions of the Waste Hierarchy would it be possible to either use a consolidated definition or an international one?</w:t>
            </w:r>
            <w:r>
              <w:rPr>
                <w:i/>
                <w:lang w:val="en-US"/>
              </w:rPr>
              <w:t xml:space="preserve"> </w:t>
            </w:r>
          </w:p>
          <w:p w:rsidR="00F852EF" w:rsidRPr="00CF77DB" w:rsidRDefault="00F852EF" w:rsidP="00F852EF">
            <w:pPr>
              <w:spacing w:before="120" w:after="120"/>
              <w:ind w:left="1440"/>
              <w:rPr>
                <w:lang w:val="en-US"/>
              </w:rPr>
            </w:pPr>
            <w:r w:rsidRPr="00CF77DB">
              <w:rPr>
                <w:lang w:val="en-US"/>
              </w:rPr>
              <w:t>For example the WA Waste Avoidance and Resource Recovery Act defines avoidance as “avoidance of unnecessary resource consumption”.</w:t>
            </w:r>
          </w:p>
          <w:p w:rsidR="00F852EF" w:rsidRPr="00CF77DB" w:rsidRDefault="00F852EF" w:rsidP="00162446">
            <w:pPr>
              <w:numPr>
                <w:ilvl w:val="0"/>
                <w:numId w:val="85"/>
              </w:numPr>
              <w:spacing w:before="120" w:after="120"/>
              <w:jc w:val="left"/>
              <w:rPr>
                <w:lang w:val="en-US"/>
              </w:rPr>
            </w:pPr>
            <w:r w:rsidRPr="00CF77DB">
              <w:rPr>
                <w:lang w:val="en-US"/>
              </w:rPr>
              <w:t>Check list for collection locations -</w:t>
            </w:r>
            <w:r>
              <w:rPr>
                <w:lang w:val="en-US"/>
              </w:rPr>
              <w:t xml:space="preserve"> </w:t>
            </w:r>
            <w:r w:rsidRPr="00CF77DB">
              <w:rPr>
                <w:lang w:val="en-US"/>
              </w:rPr>
              <w:t>Supportive of this approach to minimise the administrative burden on collection locations.</w:t>
            </w:r>
            <w:r>
              <w:rPr>
                <w:lang w:val="en-US"/>
              </w:rPr>
              <w:t xml:space="preserve"> </w:t>
            </w:r>
            <w:r w:rsidRPr="00CF77DB">
              <w:rPr>
                <w:lang w:val="en-US"/>
              </w:rPr>
              <w:t>Specific comments on the check list as follows:</w:t>
            </w:r>
          </w:p>
          <w:p w:rsidR="00F852EF" w:rsidRPr="00CF77DB" w:rsidRDefault="00F852EF" w:rsidP="00162446">
            <w:pPr>
              <w:numPr>
                <w:ilvl w:val="1"/>
                <w:numId w:val="85"/>
              </w:numPr>
              <w:spacing w:before="120" w:after="120"/>
              <w:jc w:val="left"/>
              <w:rPr>
                <w:lang w:val="en-US"/>
              </w:rPr>
            </w:pPr>
            <w:r w:rsidRPr="00CF77DB">
              <w:rPr>
                <w:lang w:val="en-US"/>
              </w:rPr>
              <w:t>Storage - ‘Are there spillage collection facilities for all uncovered storage areas’ – as it is seems the intent that the products are not stored in uncovered areas, a change in wording to indicate that this is not a preferred option would be advisable.</w:t>
            </w:r>
            <w:r>
              <w:rPr>
                <w:lang w:val="en-US"/>
              </w:rPr>
              <w:t xml:space="preserve"> </w:t>
            </w:r>
          </w:p>
          <w:p w:rsidR="00F852EF" w:rsidRPr="00CF77DB" w:rsidRDefault="00F852EF" w:rsidP="00162446">
            <w:pPr>
              <w:numPr>
                <w:ilvl w:val="1"/>
                <w:numId w:val="85"/>
              </w:numPr>
              <w:spacing w:before="120" w:after="120"/>
              <w:jc w:val="left"/>
              <w:rPr>
                <w:lang w:val="en-US"/>
              </w:rPr>
            </w:pPr>
            <w:r w:rsidRPr="00CF77DB">
              <w:rPr>
                <w:lang w:val="en-US"/>
              </w:rPr>
              <w:t xml:space="preserve">‘Are there facilities to ensure that the EOL televisions and computers are not mixed with other types of waste’ – as previously indicated Local Government is currently collecting a range of end-of-life electronic goods. It is highly </w:t>
            </w:r>
            <w:r w:rsidRPr="00CF77DB">
              <w:rPr>
                <w:lang w:val="en-US"/>
              </w:rPr>
              <w:lastRenderedPageBreak/>
              <w:t>likely that these goods will be mixed with TV’s and Computers on their way to the recycler.</w:t>
            </w:r>
            <w:r>
              <w:rPr>
                <w:lang w:val="en-US"/>
              </w:rPr>
              <w:t xml:space="preserve"> </w:t>
            </w:r>
            <w:r w:rsidRPr="00CF77DB">
              <w:rPr>
                <w:lang w:val="en-US"/>
              </w:rPr>
              <w:t xml:space="preserve">At that point the recycler will segregate the materials and costs will be apportions according to the arrangements with the PRO and Local Government. This is currently in operation as the WA State Government is providing some funding to Local Government for only the TV’s and Computers collected. </w:t>
            </w:r>
          </w:p>
        </w:tc>
      </w:tr>
      <w:tr w:rsidR="00F852EF" w:rsidRPr="003455F9" w:rsidTr="00F852EF">
        <w:trPr>
          <w:trHeight w:val="350"/>
        </w:trPr>
        <w:tc>
          <w:tcPr>
            <w:tcW w:w="2096" w:type="dxa"/>
          </w:tcPr>
          <w:p w:rsidR="00F852EF" w:rsidRPr="00CF77DB" w:rsidRDefault="00F852EF" w:rsidP="00F852EF">
            <w:pPr>
              <w:spacing w:before="120" w:after="120"/>
              <w:rPr>
                <w:lang w:val="en-US"/>
              </w:rPr>
            </w:pPr>
            <w:r w:rsidRPr="00CF77DB">
              <w:rPr>
                <w:lang w:val="en-US"/>
              </w:rPr>
              <w:lastRenderedPageBreak/>
              <w:t>NGO</w:t>
            </w:r>
          </w:p>
        </w:tc>
        <w:tc>
          <w:tcPr>
            <w:tcW w:w="11812" w:type="dxa"/>
          </w:tcPr>
          <w:p w:rsidR="00F852EF" w:rsidRDefault="00F852EF" w:rsidP="00F852EF">
            <w:pPr>
              <w:spacing w:before="120" w:after="120"/>
            </w:pPr>
            <w:r w:rsidRPr="00CF77DB">
              <w:rPr>
                <w:b/>
                <w:u w:val="single"/>
              </w:rPr>
              <w:t>CRN</w:t>
            </w:r>
            <w:r>
              <w:t xml:space="preserve"> - </w:t>
            </w:r>
          </w:p>
          <w:p w:rsidR="00F852EF" w:rsidRPr="00CF77DB" w:rsidRDefault="00F852EF" w:rsidP="00162446">
            <w:pPr>
              <w:numPr>
                <w:ilvl w:val="0"/>
                <w:numId w:val="85"/>
              </w:numPr>
              <w:spacing w:before="120" w:after="120"/>
              <w:jc w:val="left"/>
              <w:rPr>
                <w:lang w:val="en-US"/>
              </w:rPr>
            </w:pPr>
            <w:r w:rsidRPr="00CF77DB">
              <w:rPr>
                <w:lang w:val="en-US"/>
              </w:rPr>
              <w:t>7.5 Traceability -</w:t>
            </w:r>
            <w:r>
              <w:rPr>
                <w:lang w:val="en-US"/>
              </w:rPr>
              <w:t xml:space="preserve"> </w:t>
            </w:r>
            <w:r w:rsidRPr="00CF77DB">
              <w:rPr>
                <w:lang w:val="en-US"/>
              </w:rPr>
              <w:t>Transparency systems need to be standardised with some level of uniformity. The reports are part of the administrative process and overhead costs of maintaining the level of data required in tracking should be efficient and cost effective. Software systems that provide user access for transparency reporting between recyclers in the recycling chain, need to meet some basic common requirements. The DIIS should specify minimum recovery and recycling rates.</w:t>
            </w:r>
          </w:p>
          <w:p w:rsidR="00F852EF" w:rsidRPr="00CF77DB" w:rsidRDefault="00F852EF" w:rsidP="00162446">
            <w:pPr>
              <w:numPr>
                <w:ilvl w:val="0"/>
                <w:numId w:val="85"/>
              </w:numPr>
              <w:spacing w:before="120" w:after="120"/>
              <w:jc w:val="left"/>
              <w:rPr>
                <w:lang w:val="en-US"/>
              </w:rPr>
            </w:pPr>
            <w:r w:rsidRPr="00CF77DB">
              <w:rPr>
                <w:lang w:val="en-US"/>
              </w:rPr>
              <w:t xml:space="preserve">6.2 Export Transport Requirements - Shouldn’t the DIIS be restricting the export of e-waste given that it has the potential to be dumped in third world countries by unscrupulous operators? There are some components / materials that need to be processed offshore as </w:t>
            </w:r>
            <w:smartTag w:uri="urn:schemas-microsoft-com:office:smarttags" w:element="place">
              <w:smartTag w:uri="urn:schemas-microsoft-com:office:smarttags" w:element="country-region">
                <w:r w:rsidRPr="00CF77DB">
                  <w:rPr>
                    <w:lang w:val="en-US"/>
                  </w:rPr>
                  <w:t>Australia</w:t>
                </w:r>
              </w:smartTag>
            </w:smartTag>
            <w:r w:rsidRPr="00CF77DB">
              <w:rPr>
                <w:lang w:val="en-US"/>
              </w:rPr>
              <w:t xml:space="preserve"> doesn’t have the technology.</w:t>
            </w:r>
            <w:r>
              <w:rPr>
                <w:lang w:val="en-US"/>
              </w:rPr>
              <w:t xml:space="preserve"> </w:t>
            </w:r>
            <w:r w:rsidRPr="00CF77DB">
              <w:rPr>
                <w:lang w:val="en-US"/>
              </w:rPr>
              <w:t>The DIIS should provide more detailed information around what components / materials are acceptable for export and seek to ensure that as much as possible is processed on Australian shores rather than give an open license to export whole items that could be processed here. The DIIS needs to ensure that exporting is restricted / controlled to avoid the National Program coming into disrepute which would undermine the communities’ confidence in the National Program</w:t>
            </w:r>
          </w:p>
        </w:tc>
      </w:tr>
      <w:tr w:rsidR="00F852EF" w:rsidRPr="003455F9" w:rsidTr="00F852EF">
        <w:trPr>
          <w:trHeight w:val="350"/>
        </w:trPr>
        <w:tc>
          <w:tcPr>
            <w:tcW w:w="2096" w:type="dxa"/>
          </w:tcPr>
          <w:p w:rsidR="00F852EF" w:rsidRPr="00CF77DB" w:rsidRDefault="00F852EF" w:rsidP="00F852EF">
            <w:pPr>
              <w:spacing w:before="120" w:after="120"/>
              <w:rPr>
                <w:lang w:val="en-US"/>
              </w:rPr>
            </w:pPr>
            <w:r w:rsidRPr="00CF77DB">
              <w:rPr>
                <w:lang w:val="en-US"/>
              </w:rPr>
              <w:t>Recycler</w:t>
            </w:r>
          </w:p>
        </w:tc>
        <w:tc>
          <w:tcPr>
            <w:tcW w:w="11812" w:type="dxa"/>
          </w:tcPr>
          <w:p w:rsidR="00F852EF" w:rsidRPr="00CF77DB" w:rsidRDefault="00F852EF" w:rsidP="00F852EF">
            <w:pPr>
              <w:spacing w:before="120" w:after="120"/>
              <w:rPr>
                <w:lang w:val="en-US"/>
              </w:rPr>
            </w:pPr>
            <w:r w:rsidRPr="00CF77DB">
              <w:rPr>
                <w:b/>
                <w:u w:val="single"/>
                <w:lang w:val="en-US"/>
              </w:rPr>
              <w:t>Recovery TAS</w:t>
            </w:r>
            <w:r w:rsidRPr="00CF77DB">
              <w:rPr>
                <w:lang w:val="en-US"/>
              </w:rPr>
              <w:t xml:space="preserve"> - there are emergent technologies that once delivered to market will ensure </w:t>
            </w:r>
            <w:smartTag w:uri="urn:schemas-microsoft-com:office:smarttags" w:element="place">
              <w:smartTag w:uri="urn:schemas-microsoft-com:office:smarttags" w:element="country-region">
                <w:r w:rsidRPr="00CF77DB">
                  <w:rPr>
                    <w:lang w:val="en-US"/>
                  </w:rPr>
                  <w:t>Australia</w:t>
                </w:r>
              </w:smartTag>
            </w:smartTag>
            <w:r w:rsidRPr="00CF77DB">
              <w:rPr>
                <w:lang w:val="en-US"/>
              </w:rPr>
              <w:t>’s ability to deliver in country. It is important to ensure the standard recognises that change will occur in the production management and post consumer life of product.</w:t>
            </w:r>
          </w:p>
          <w:p w:rsidR="00F852EF" w:rsidRDefault="00F852EF" w:rsidP="00F852EF">
            <w:pPr>
              <w:spacing w:before="120" w:after="120"/>
            </w:pPr>
            <w:r w:rsidRPr="00CF77DB">
              <w:rPr>
                <w:b/>
                <w:u w:val="single"/>
              </w:rPr>
              <w:t>Eco Products Agency</w:t>
            </w:r>
            <w:r>
              <w:t xml:space="preserve"> - </w:t>
            </w:r>
          </w:p>
          <w:p w:rsidR="00F852EF" w:rsidRPr="00CF77DB" w:rsidRDefault="00F852EF" w:rsidP="00162446">
            <w:pPr>
              <w:numPr>
                <w:ilvl w:val="0"/>
                <w:numId w:val="73"/>
              </w:numPr>
              <w:spacing w:before="120" w:after="120"/>
              <w:jc w:val="left"/>
              <w:rPr>
                <w:lang w:val="en-US"/>
              </w:rPr>
            </w:pPr>
            <w:r w:rsidRPr="00CF77DB">
              <w:rPr>
                <w:lang w:val="en-US"/>
              </w:rPr>
              <w:t xml:space="preserve">Section 3, “Guiding Principles” states: ‘4. Decisions regarding treatment of EOL Televisions and Computers shall be informed by the waste management hierarchy and the principles of ecologically sustainable development including: </w:t>
            </w:r>
          </w:p>
          <w:p w:rsidR="00F852EF" w:rsidRPr="00CF77DB" w:rsidRDefault="00F852EF" w:rsidP="00162446">
            <w:pPr>
              <w:numPr>
                <w:ilvl w:val="1"/>
                <w:numId w:val="73"/>
              </w:numPr>
              <w:spacing w:before="120" w:after="120"/>
              <w:jc w:val="left"/>
              <w:rPr>
                <w:lang w:val="en-US"/>
              </w:rPr>
            </w:pPr>
            <w:r w:rsidRPr="00CF77DB">
              <w:rPr>
                <w:lang w:val="en-US"/>
              </w:rPr>
              <w:t xml:space="preserve">Ensuring that the highest resource value is maintained; </w:t>
            </w:r>
          </w:p>
          <w:p w:rsidR="00F852EF" w:rsidRPr="00CF77DB" w:rsidRDefault="00F852EF" w:rsidP="00162446">
            <w:pPr>
              <w:numPr>
                <w:ilvl w:val="1"/>
                <w:numId w:val="73"/>
              </w:numPr>
              <w:spacing w:before="120" w:after="120"/>
              <w:jc w:val="left"/>
              <w:rPr>
                <w:lang w:val="en-US"/>
              </w:rPr>
            </w:pPr>
            <w:r w:rsidRPr="00CF77DB">
              <w:rPr>
                <w:lang w:val="en-US"/>
              </w:rPr>
              <w:t xml:space="preserve">Carbon emissions are minimized; and </w:t>
            </w:r>
          </w:p>
          <w:p w:rsidR="00F852EF" w:rsidRPr="00CF77DB" w:rsidRDefault="00F852EF" w:rsidP="00162446">
            <w:pPr>
              <w:numPr>
                <w:ilvl w:val="1"/>
                <w:numId w:val="73"/>
              </w:numPr>
              <w:spacing w:before="120" w:after="120"/>
              <w:jc w:val="left"/>
              <w:rPr>
                <w:lang w:val="en-US"/>
              </w:rPr>
            </w:pPr>
            <w:r w:rsidRPr="00CF77DB">
              <w:rPr>
                <w:lang w:val="en-US"/>
              </w:rPr>
              <w:t xml:space="preserve">Landfill is a last-choice destination only – all other options must be exhausted before disposition to landfill.’ </w:t>
            </w:r>
          </w:p>
          <w:p w:rsidR="00F852EF" w:rsidRPr="00CF77DB" w:rsidRDefault="00F852EF" w:rsidP="00F852EF">
            <w:pPr>
              <w:spacing w:before="120" w:after="120"/>
              <w:ind w:left="720"/>
              <w:rPr>
                <w:lang w:val="en-US"/>
              </w:rPr>
            </w:pPr>
            <w:r w:rsidRPr="00CF77DB">
              <w:rPr>
                <w:lang w:val="en-US"/>
              </w:rPr>
              <w:t>From a life cycle perspective the carbon emissions associated with EOL treatment of TVs and computers are small in comparison to the carbon emissions due to the production and use of the items.</w:t>
            </w:r>
          </w:p>
          <w:p w:rsidR="00F852EF" w:rsidRPr="00CF77DB" w:rsidRDefault="00F852EF" w:rsidP="00F852EF">
            <w:pPr>
              <w:spacing w:before="120" w:after="120"/>
              <w:ind w:left="720"/>
              <w:rPr>
                <w:lang w:val="en-US"/>
              </w:rPr>
            </w:pPr>
            <w:r w:rsidRPr="00CF77DB">
              <w:rPr>
                <w:lang w:val="en-US"/>
              </w:rPr>
              <w:t>The primary environmental problem of unsound EOL waste management of the items under discussion is dispersal of heavy metals and persistent organic pollutants into the environment.</w:t>
            </w:r>
          </w:p>
          <w:p w:rsidR="00F852EF" w:rsidRPr="00CF77DB" w:rsidRDefault="00F852EF" w:rsidP="00F852EF">
            <w:pPr>
              <w:spacing w:before="120" w:after="120"/>
              <w:ind w:left="720"/>
              <w:rPr>
                <w:lang w:val="en-US"/>
              </w:rPr>
            </w:pPr>
            <w:r w:rsidRPr="00CF77DB">
              <w:rPr>
                <w:lang w:val="en-US"/>
              </w:rPr>
              <w:t xml:space="preserve">We suggest that the guiding principle 4, dot point 2 should be along the lines of “emissions of pollutants to soil, air and </w:t>
            </w:r>
            <w:r w:rsidRPr="00CF77DB">
              <w:rPr>
                <w:lang w:val="en-US"/>
              </w:rPr>
              <w:lastRenderedPageBreak/>
              <w:t>water are minimized”</w:t>
            </w:r>
          </w:p>
          <w:p w:rsidR="00F852EF" w:rsidRPr="00CF77DB" w:rsidRDefault="00F852EF" w:rsidP="00162446">
            <w:pPr>
              <w:numPr>
                <w:ilvl w:val="0"/>
                <w:numId w:val="73"/>
              </w:numPr>
              <w:spacing w:before="120" w:after="120"/>
              <w:jc w:val="left"/>
              <w:rPr>
                <w:lang w:val="en-US"/>
              </w:rPr>
            </w:pPr>
            <w:r w:rsidRPr="00CF77DB">
              <w:rPr>
                <w:lang w:val="en-US"/>
              </w:rPr>
              <w:t>There is some inconsistency between Guiding Principle 4 and recyclers obligations in Clause 7.4. Guiding Principle 4 states ‘landfill is a last-choice destination only-all other options must be exhausted before disposition to landfill’. Clause 7.4 requires assessment of options according to Guiding Principle 4, but then indicates that landfill is acceptable if it can be shown to be the most environmentally sound solution. It goes on to indicate that landfill of materials is acceptable if there is no economically viable recycling technology available. We recommend that Clause 7.4 makes clear that landfilling of materials is acceptable only if it is shown to be environmentally sound (against stated criteria or guidance) and there is no economically viable recycling technology or other disposal option available.</w:t>
            </w:r>
          </w:p>
          <w:p w:rsidR="00F852EF" w:rsidRPr="00CF77DB" w:rsidRDefault="00F852EF" w:rsidP="00162446">
            <w:pPr>
              <w:numPr>
                <w:ilvl w:val="0"/>
                <w:numId w:val="73"/>
              </w:numPr>
              <w:spacing w:before="120" w:after="120"/>
              <w:jc w:val="left"/>
              <w:rPr>
                <w:lang w:val="en-US"/>
              </w:rPr>
            </w:pPr>
            <w:r w:rsidRPr="00CF77DB">
              <w:rPr>
                <w:lang w:val="en-US"/>
              </w:rPr>
              <w:t>Clause 7.4 will need to be re-visited by an expert committee in the future to clarify:</w:t>
            </w:r>
          </w:p>
          <w:p w:rsidR="00F852EF" w:rsidRPr="00CF77DB" w:rsidRDefault="00F852EF" w:rsidP="00162446">
            <w:pPr>
              <w:numPr>
                <w:ilvl w:val="1"/>
                <w:numId w:val="73"/>
              </w:numPr>
              <w:spacing w:before="120" w:after="120"/>
              <w:jc w:val="left"/>
              <w:rPr>
                <w:lang w:val="en-US"/>
              </w:rPr>
            </w:pPr>
            <w:r w:rsidRPr="00CF77DB">
              <w:rPr>
                <w:lang w:val="en-US"/>
              </w:rPr>
              <w:t>how ‘environmental soundness’ will be assessed</w:t>
            </w:r>
          </w:p>
          <w:p w:rsidR="00F852EF" w:rsidRPr="00CF77DB" w:rsidRDefault="00F852EF" w:rsidP="00162446">
            <w:pPr>
              <w:numPr>
                <w:ilvl w:val="1"/>
                <w:numId w:val="73"/>
              </w:numPr>
              <w:spacing w:before="120" w:after="120"/>
              <w:jc w:val="left"/>
              <w:rPr>
                <w:lang w:val="en-US"/>
              </w:rPr>
            </w:pPr>
            <w:r w:rsidRPr="00CF77DB">
              <w:rPr>
                <w:lang w:val="en-US"/>
              </w:rPr>
              <w:t>how a ‘lack of economically viable recycling processes’ will be confirmed</w:t>
            </w:r>
          </w:p>
          <w:p w:rsidR="00F852EF" w:rsidRPr="00CF77DB" w:rsidRDefault="00F852EF" w:rsidP="00162446">
            <w:pPr>
              <w:numPr>
                <w:ilvl w:val="0"/>
                <w:numId w:val="73"/>
              </w:numPr>
              <w:spacing w:before="120" w:after="120"/>
              <w:jc w:val="left"/>
              <w:rPr>
                <w:lang w:val="en-US"/>
              </w:rPr>
            </w:pPr>
            <w:r w:rsidRPr="00CF77DB">
              <w:rPr>
                <w:lang w:val="en-US"/>
              </w:rPr>
              <w:t>Table 1 lists several acceptable and unacceptable options for recycling and disposal of plastics from TVs and computers. However, it is silent on the two currently most likely disposal methods: landfill and export to non-OECD countries. We recommend that Table 1 includes landfill and export options to clarify whether these are acceptable or unacceptable. This may need to be qualified as an interim measure subject to technical reviews.</w:t>
            </w:r>
          </w:p>
          <w:p w:rsidR="00F852EF" w:rsidRPr="00CF77DB" w:rsidRDefault="00F852EF" w:rsidP="00F852EF">
            <w:pPr>
              <w:spacing w:before="120" w:after="120"/>
              <w:ind w:left="720"/>
              <w:rPr>
                <w:lang w:val="en-US"/>
              </w:rPr>
            </w:pPr>
            <w:r w:rsidRPr="00CF77DB">
              <w:rPr>
                <w:lang w:val="en-US"/>
              </w:rPr>
              <w:t>There is the difficulty that “Plastics” consists of a range of materials, some containing brominated flame retardants (BFRs) or other POPs and others that do not.</w:t>
            </w:r>
          </w:p>
          <w:p w:rsidR="00F852EF" w:rsidRPr="00CF77DB" w:rsidRDefault="00F852EF" w:rsidP="00F852EF">
            <w:pPr>
              <w:spacing w:before="120" w:after="120"/>
              <w:ind w:left="720"/>
              <w:rPr>
                <w:lang w:val="en-US"/>
              </w:rPr>
            </w:pPr>
            <w:r w:rsidRPr="00CF77DB">
              <w:rPr>
                <w:lang w:val="en-US"/>
              </w:rPr>
              <w:t xml:space="preserve">Plastics containing BFRs are already classified as hazardous under </w:t>
            </w:r>
            <w:smartTag w:uri="urn:schemas-microsoft-com:office:smarttags" w:element="PersonName">
              <w:r w:rsidRPr="00CF77DB">
                <w:rPr>
                  <w:lang w:val="en-US"/>
                </w:rPr>
                <w:t>Hazardous Waste</w:t>
              </w:r>
            </w:smartTag>
            <w:r w:rsidRPr="00CF77DB">
              <w:rPr>
                <w:lang w:val="en-US"/>
              </w:rPr>
              <w:t xml:space="preserve"> (Regulation of Exports and Imports) Act and exporting to non-OECD countries for the purpose of recycling and/or disposal without the appropriate permit should be “Not Acceptable”.</w:t>
            </w:r>
          </w:p>
          <w:p w:rsidR="00F852EF" w:rsidRPr="00CF77DB" w:rsidRDefault="00F852EF" w:rsidP="00F852EF">
            <w:pPr>
              <w:spacing w:before="120" w:after="120"/>
              <w:ind w:left="720"/>
              <w:rPr>
                <w:lang w:val="en-US"/>
              </w:rPr>
            </w:pPr>
            <w:r w:rsidRPr="00CF77DB">
              <w:rPr>
                <w:lang w:val="en-US"/>
              </w:rPr>
              <w:t xml:space="preserve">Given the likely implementation of additional requirements due to the additional POPs added to the Stockholm Convention, we recommend that Table 1 should split Plastics that contain regulated POPs, and those that do not, allowing for Acceptable Processes and Not Acceptable Processes to be set with more clarity. </w:t>
            </w:r>
          </w:p>
          <w:p w:rsidR="00F852EF" w:rsidRPr="00CF77DB" w:rsidRDefault="00F852EF" w:rsidP="00F852EF">
            <w:pPr>
              <w:spacing w:before="120" w:after="120"/>
              <w:ind w:left="720"/>
              <w:rPr>
                <w:lang w:val="en-US"/>
              </w:rPr>
            </w:pPr>
            <w:r w:rsidRPr="00CF77DB">
              <w:rPr>
                <w:lang w:val="en-US"/>
              </w:rPr>
              <w:t>As a pre-cautionary principle, when testing is not feasible for identification of additives, that best practice should be that plastics from TVs and computers be treated as if containing regulated POPs and handled accordingly.</w:t>
            </w:r>
          </w:p>
          <w:p w:rsidR="00F852EF" w:rsidRDefault="00F852EF" w:rsidP="00F852EF">
            <w:pPr>
              <w:spacing w:before="120" w:after="120"/>
            </w:pPr>
            <w:r w:rsidRPr="00CF77DB">
              <w:rPr>
                <w:b/>
                <w:u w:val="single"/>
              </w:rPr>
              <w:t>SITA</w:t>
            </w:r>
            <w:r>
              <w:t xml:space="preserve"> – </w:t>
            </w:r>
          </w:p>
          <w:p w:rsidR="00F852EF" w:rsidRPr="00CF77DB" w:rsidRDefault="00F852EF" w:rsidP="00162446">
            <w:pPr>
              <w:numPr>
                <w:ilvl w:val="0"/>
                <w:numId w:val="73"/>
              </w:numPr>
              <w:spacing w:before="120" w:after="120"/>
              <w:jc w:val="left"/>
              <w:rPr>
                <w:lang w:val="en-US"/>
              </w:rPr>
            </w:pPr>
            <w:r w:rsidRPr="00CF77DB">
              <w:rPr>
                <w:lang w:val="en-US"/>
              </w:rPr>
              <w:t>4.1 Risk Management - Collection Locations, transporters and Recyclers shall have conducted a risk assessment to identify health, safety and environmental (HSE) hazards and risks associated with the products and activities included in the operation and have effective processes in place to mitigate the risks in accordance with the Health and Safety Hierarchy of Control and the Waste Hierarchy. We suggest that under this scheme, these parties should be given a timeframe in which to conduct this risk assessment (ie within first 1 month or as part of application to become collection location, transporter and recycler) and also a frequency for ongoing risk assessments to be conducted and reported.</w:t>
            </w:r>
          </w:p>
          <w:p w:rsidR="00F852EF" w:rsidRPr="00CF77DB" w:rsidRDefault="00F852EF" w:rsidP="00162446">
            <w:pPr>
              <w:numPr>
                <w:ilvl w:val="0"/>
                <w:numId w:val="73"/>
              </w:numPr>
              <w:spacing w:before="120" w:after="120"/>
              <w:jc w:val="left"/>
              <w:rPr>
                <w:lang w:val="en-US"/>
              </w:rPr>
            </w:pPr>
            <w:r w:rsidRPr="00CF77DB">
              <w:rPr>
                <w:lang w:val="en-US"/>
              </w:rPr>
              <w:lastRenderedPageBreak/>
              <w:t>4.6 Reporting - b. The quantity and origin of EOL Televisions and Computers collected through the National Television and Computer Product Stewardship Program and also quantities collected through processes not connected to the National Program such as manufacturer-run recycling programs or direct contracts with end users or other parties. The amount shall be reported in units or weight as prescribed in the contract with the Product Stewardship Organisation. We require clarification on the definition of ‘origin’ for reporting – is it collection point, brand of item, consumer drop-off vs other collection?</w:t>
            </w:r>
          </w:p>
          <w:p w:rsidR="00F852EF" w:rsidRPr="00CF77DB" w:rsidRDefault="00F852EF" w:rsidP="00162446">
            <w:pPr>
              <w:numPr>
                <w:ilvl w:val="0"/>
                <w:numId w:val="73"/>
              </w:numPr>
              <w:spacing w:before="120" w:after="120"/>
              <w:jc w:val="left"/>
              <w:rPr>
                <w:lang w:val="en-US"/>
              </w:rPr>
            </w:pPr>
            <w:r w:rsidRPr="00CF77DB">
              <w:rPr>
                <w:lang w:val="en-US"/>
              </w:rPr>
              <w:t>4.6 Reporting</w:t>
            </w:r>
            <w:r>
              <w:rPr>
                <w:lang w:val="en-US"/>
              </w:rPr>
              <w:t xml:space="preserve"> </w:t>
            </w:r>
            <w:r w:rsidRPr="00CF77DB">
              <w:rPr>
                <w:lang w:val="en-US"/>
              </w:rPr>
              <w:t>- c. The amount of each category of resource recovered from recycling processes (if applicable) and any waste consigned to disposal.</w:t>
            </w:r>
            <w:r>
              <w:rPr>
                <w:lang w:val="en-US"/>
              </w:rPr>
              <w:t xml:space="preserve"> </w:t>
            </w:r>
            <w:r w:rsidRPr="00CF77DB">
              <w:rPr>
                <w:lang w:val="en-US"/>
              </w:rPr>
              <w:t>We require clarification on the measurement required for ‘any waste consigned to disposal’ – by weight?</w:t>
            </w:r>
          </w:p>
          <w:p w:rsidR="00F852EF" w:rsidRPr="00CF77DB" w:rsidRDefault="00F852EF" w:rsidP="00162446">
            <w:pPr>
              <w:numPr>
                <w:ilvl w:val="0"/>
                <w:numId w:val="73"/>
              </w:numPr>
              <w:spacing w:before="120" w:after="120"/>
              <w:jc w:val="left"/>
              <w:rPr>
                <w:lang w:val="en-US"/>
              </w:rPr>
            </w:pPr>
            <w:r w:rsidRPr="00CF77DB">
              <w:rPr>
                <w:lang w:val="en-US"/>
              </w:rPr>
              <w:t>4.8 Disposal to Landfill - Any waste that is disposed of to landfill must be disposed of at a waste facility that is appropriately licensed under State or Local government legislation or regulations. Will this ‘disposal to landfill’ be reported? If yes, how? By weight? With details of the waste being disposed?</w:t>
            </w:r>
          </w:p>
          <w:p w:rsidR="00F852EF" w:rsidRPr="00CF77DB" w:rsidRDefault="00F852EF" w:rsidP="00162446">
            <w:pPr>
              <w:numPr>
                <w:ilvl w:val="0"/>
                <w:numId w:val="73"/>
              </w:numPr>
              <w:spacing w:before="120" w:after="120"/>
              <w:jc w:val="left"/>
              <w:rPr>
                <w:lang w:val="en-US"/>
              </w:rPr>
            </w:pPr>
            <w:r w:rsidRPr="00CF77DB">
              <w:rPr>
                <w:lang w:val="en-US"/>
              </w:rPr>
              <w:t xml:space="preserve">5.2 Signage - Clear signage shall be provided including: </w:t>
            </w:r>
          </w:p>
          <w:p w:rsidR="00F852EF" w:rsidRPr="00CF77DB" w:rsidRDefault="00F852EF" w:rsidP="00F852EF">
            <w:pPr>
              <w:spacing w:before="120" w:after="120"/>
              <w:ind w:left="1440"/>
              <w:rPr>
                <w:lang w:val="en-US"/>
              </w:rPr>
            </w:pPr>
            <w:r w:rsidRPr="00CF77DB">
              <w:rPr>
                <w:lang w:val="en-US"/>
              </w:rPr>
              <w:t xml:space="preserve">a. instructions to the public </w:t>
            </w:r>
          </w:p>
          <w:p w:rsidR="00F852EF" w:rsidRPr="00CF77DB" w:rsidRDefault="00F852EF" w:rsidP="00F852EF">
            <w:pPr>
              <w:spacing w:before="120" w:after="120"/>
              <w:ind w:left="1440"/>
              <w:rPr>
                <w:lang w:val="en-US"/>
              </w:rPr>
            </w:pPr>
            <w:r w:rsidRPr="00CF77DB">
              <w:rPr>
                <w:lang w:val="en-US"/>
              </w:rPr>
              <w:t xml:space="preserve">b. access times </w:t>
            </w:r>
          </w:p>
          <w:p w:rsidR="00F852EF" w:rsidRPr="00CF77DB" w:rsidRDefault="00F852EF" w:rsidP="00F852EF">
            <w:pPr>
              <w:spacing w:before="120" w:after="120"/>
              <w:ind w:left="1440"/>
              <w:rPr>
                <w:lang w:val="en-US"/>
              </w:rPr>
            </w:pPr>
            <w:r w:rsidRPr="00CF77DB">
              <w:rPr>
                <w:lang w:val="en-US"/>
              </w:rPr>
              <w:t xml:space="preserve">c. details of equipment that is/isn‘t included in the collection; and </w:t>
            </w:r>
          </w:p>
          <w:p w:rsidR="00F852EF" w:rsidRPr="00CF77DB" w:rsidRDefault="00F852EF" w:rsidP="00F852EF">
            <w:pPr>
              <w:spacing w:before="120" w:after="120"/>
              <w:ind w:left="1440"/>
              <w:rPr>
                <w:lang w:val="en-US"/>
              </w:rPr>
            </w:pPr>
            <w:r w:rsidRPr="00CF77DB">
              <w:rPr>
                <w:lang w:val="en-US"/>
              </w:rPr>
              <w:t xml:space="preserve">d. a warning stating that it is the responsibility of the equipment owner to remove of any confidential or private data before the equipment is left at the collection location. </w:t>
            </w:r>
          </w:p>
          <w:p w:rsidR="00F852EF" w:rsidRPr="00CF77DB" w:rsidRDefault="00F852EF" w:rsidP="00F852EF">
            <w:pPr>
              <w:spacing w:before="120" w:after="120"/>
              <w:ind w:left="720"/>
              <w:rPr>
                <w:lang w:val="en-US"/>
              </w:rPr>
            </w:pPr>
            <w:r w:rsidRPr="00CF77DB">
              <w:rPr>
                <w:lang w:val="en-US"/>
              </w:rPr>
              <w:t>We suggest that it is specified in this document that ‘Clear signage shall be provided by the site occupant including’ otherwise the expectation might be that signage will be provided by the Scheme. We also suggest that ‘Signage guidelines’ are developed by the Scheme / government for recommended wording of A to D points listed above; correct use of Scheme ‘logo’ &amp; confirmation as approved Collection Location under Scheme.</w:t>
            </w:r>
          </w:p>
          <w:p w:rsidR="00F852EF" w:rsidRPr="00CF77DB" w:rsidRDefault="00F852EF" w:rsidP="00162446">
            <w:pPr>
              <w:numPr>
                <w:ilvl w:val="0"/>
                <w:numId w:val="73"/>
              </w:numPr>
              <w:spacing w:before="120" w:after="120"/>
              <w:jc w:val="left"/>
              <w:rPr>
                <w:lang w:val="en-US"/>
              </w:rPr>
            </w:pPr>
            <w:r w:rsidRPr="00CF77DB">
              <w:rPr>
                <w:lang w:val="en-US"/>
              </w:rPr>
              <w:t>5.3 Storage - Areas used for the receipt of EOL Televisions and Computers shall be a clearly marked and segregated from other activities. There was discussion in the Stakeholder groups that Televisions and Computers may need to be separated at Collection Locations.</w:t>
            </w:r>
            <w:r>
              <w:rPr>
                <w:lang w:val="en-US"/>
              </w:rPr>
              <w:t xml:space="preserve"> </w:t>
            </w:r>
            <w:r w:rsidRPr="00CF77DB">
              <w:rPr>
                <w:lang w:val="en-US"/>
              </w:rPr>
              <w:t>Clarification requested as to whether this is required.</w:t>
            </w:r>
            <w:r>
              <w:rPr>
                <w:lang w:val="en-US"/>
              </w:rPr>
              <w:t xml:space="preserve"> </w:t>
            </w:r>
            <w:r w:rsidRPr="00CF77DB">
              <w:rPr>
                <w:lang w:val="en-US"/>
              </w:rPr>
              <w:t xml:space="preserve">We understand that this point addresses that the products under the Scheme require segregation from other waste types being collected at same site. </w:t>
            </w:r>
          </w:p>
          <w:p w:rsidR="00F852EF" w:rsidRPr="00CF77DB" w:rsidRDefault="00F852EF" w:rsidP="00162446">
            <w:pPr>
              <w:numPr>
                <w:ilvl w:val="0"/>
                <w:numId w:val="73"/>
              </w:numPr>
              <w:spacing w:before="120" w:after="120"/>
              <w:jc w:val="left"/>
              <w:rPr>
                <w:lang w:val="en-US"/>
              </w:rPr>
            </w:pPr>
            <w:r w:rsidRPr="00CF77DB">
              <w:rPr>
                <w:lang w:val="en-US"/>
              </w:rPr>
              <w:t xml:space="preserve">6.2 Export Transport Requirements - In order to move the waste from its “location” to the </w:t>
            </w:r>
            <w:smartTag w:uri="urn:schemas-microsoft-com:office:smarttags" w:element="place">
              <w:smartTag w:uri="urn:schemas-microsoft-com:office:smarttags" w:element="PlaceName">
                <w:r w:rsidRPr="00CF77DB">
                  <w:rPr>
                    <w:lang w:val="en-US"/>
                  </w:rPr>
                  <w:t>destination</w:t>
                </w:r>
              </w:smartTag>
              <w:r w:rsidRPr="00CF77DB">
                <w:rPr>
                  <w:lang w:val="en-US"/>
                </w:rPr>
                <w:t xml:space="preserve"> </w:t>
              </w:r>
              <w:smartTag w:uri="urn:schemas-microsoft-com:office:smarttags" w:element="PlaceType">
                <w:r w:rsidRPr="00CF77DB">
                  <w:rPr>
                    <w:lang w:val="en-US"/>
                  </w:rPr>
                  <w:t>Port</w:t>
                </w:r>
              </w:smartTag>
            </w:smartTag>
            <w:r w:rsidRPr="00CF77DB">
              <w:rPr>
                <w:lang w:val="en-US"/>
              </w:rPr>
              <w:t>, the exporter must use a transporter that is licensed under the relevant Road and Rail Transport Acts. We suggest that this paragraph be changed to:</w:t>
            </w:r>
          </w:p>
          <w:p w:rsidR="00F852EF" w:rsidRPr="00CF77DB" w:rsidRDefault="00F852EF" w:rsidP="00F852EF">
            <w:pPr>
              <w:spacing w:before="120" w:after="120"/>
              <w:ind w:left="1440"/>
              <w:rPr>
                <w:i/>
                <w:lang w:val="en-US"/>
              </w:rPr>
            </w:pPr>
            <w:r w:rsidRPr="00CF77DB">
              <w:rPr>
                <w:i/>
                <w:lang w:val="en-US"/>
              </w:rPr>
              <w:t xml:space="preserve">In order to move the waste from its “location” to the </w:t>
            </w:r>
            <w:smartTag w:uri="urn:schemas-microsoft-com:office:smarttags" w:element="place">
              <w:smartTag w:uri="urn:schemas-microsoft-com:office:smarttags" w:element="PlaceName">
                <w:r w:rsidRPr="00CF77DB">
                  <w:rPr>
                    <w:i/>
                    <w:lang w:val="en-US"/>
                  </w:rPr>
                  <w:t>destination</w:t>
                </w:r>
              </w:smartTag>
              <w:r w:rsidRPr="00CF77DB">
                <w:rPr>
                  <w:i/>
                  <w:lang w:val="en-US"/>
                </w:rPr>
                <w:t xml:space="preserve"> </w:t>
              </w:r>
              <w:smartTag w:uri="urn:schemas-microsoft-com:office:smarttags" w:element="PlaceType">
                <w:r w:rsidRPr="00CF77DB">
                  <w:rPr>
                    <w:i/>
                    <w:lang w:val="en-US"/>
                  </w:rPr>
                  <w:t>Port</w:t>
                </w:r>
              </w:smartTag>
            </w:smartTag>
            <w:r w:rsidRPr="00CF77DB">
              <w:rPr>
                <w:i/>
                <w:lang w:val="en-US"/>
              </w:rPr>
              <w:t xml:space="preserve">, the exporter must adhere to Domestic Transport Requirements stated in 6.1. </w:t>
            </w:r>
          </w:p>
          <w:p w:rsidR="00F852EF" w:rsidRPr="00CF77DB" w:rsidRDefault="00F852EF" w:rsidP="00F852EF">
            <w:pPr>
              <w:spacing w:before="120" w:after="120"/>
              <w:ind w:left="720"/>
              <w:rPr>
                <w:lang w:val="en-US"/>
              </w:rPr>
            </w:pPr>
            <w:r w:rsidRPr="00CF77DB">
              <w:rPr>
                <w:lang w:val="en-US"/>
              </w:rPr>
              <w:lastRenderedPageBreak/>
              <w:t>Similarly, the words ‘Road and Rail Transport Acts’ should be added into the wording in 6.1 Domestic Transport Requirements.</w:t>
            </w:r>
          </w:p>
          <w:p w:rsidR="00F852EF" w:rsidRPr="00CF77DB" w:rsidRDefault="00F852EF" w:rsidP="00162446">
            <w:pPr>
              <w:numPr>
                <w:ilvl w:val="0"/>
                <w:numId w:val="73"/>
              </w:numPr>
              <w:spacing w:before="120" w:after="120"/>
              <w:jc w:val="left"/>
              <w:rPr>
                <w:lang w:val="en-US"/>
              </w:rPr>
            </w:pPr>
            <w:r w:rsidRPr="00CF77DB">
              <w:rPr>
                <w:lang w:val="en-US"/>
              </w:rPr>
              <w:t>7. Requirements for Recyclers - Have exceptions to the Draft Standard been considered in the event of a new technology / processing capability being introduced and established in Australia – before the Standard is implemented?</w:t>
            </w:r>
          </w:p>
          <w:p w:rsidR="00F852EF" w:rsidRPr="00CF77DB" w:rsidRDefault="00F852EF" w:rsidP="00162446">
            <w:pPr>
              <w:numPr>
                <w:ilvl w:val="0"/>
                <w:numId w:val="73"/>
              </w:numPr>
              <w:spacing w:before="120" w:after="120"/>
              <w:jc w:val="left"/>
              <w:rPr>
                <w:lang w:val="en-US"/>
              </w:rPr>
            </w:pPr>
            <w:r w:rsidRPr="00CF77DB">
              <w:rPr>
                <w:lang w:val="en-US"/>
              </w:rPr>
              <w:t xml:space="preserve">7. Requirements for Recyclers </w:t>
            </w:r>
          </w:p>
          <w:p w:rsidR="00F852EF" w:rsidRPr="00CF77DB" w:rsidRDefault="00F852EF" w:rsidP="00162446">
            <w:pPr>
              <w:numPr>
                <w:ilvl w:val="1"/>
                <w:numId w:val="73"/>
              </w:numPr>
              <w:spacing w:before="120" w:after="120"/>
              <w:jc w:val="left"/>
              <w:rPr>
                <w:lang w:val="en-US"/>
              </w:rPr>
            </w:pPr>
            <w:r w:rsidRPr="00CF77DB">
              <w:rPr>
                <w:lang w:val="en-US"/>
              </w:rPr>
              <w:t>Table 1</w:t>
            </w:r>
          </w:p>
          <w:p w:rsidR="00F852EF" w:rsidRPr="00CF77DB" w:rsidRDefault="00F852EF" w:rsidP="00162446">
            <w:pPr>
              <w:numPr>
                <w:ilvl w:val="1"/>
                <w:numId w:val="73"/>
              </w:numPr>
              <w:spacing w:before="120" w:after="120"/>
              <w:jc w:val="left"/>
              <w:rPr>
                <w:lang w:val="en-US"/>
              </w:rPr>
            </w:pPr>
            <w:r w:rsidRPr="00CF77DB">
              <w:rPr>
                <w:lang w:val="en-US"/>
              </w:rPr>
              <w:t>Packaging</w:t>
            </w:r>
          </w:p>
          <w:p w:rsidR="00F852EF" w:rsidRPr="00CF77DB" w:rsidRDefault="00F852EF" w:rsidP="00162446">
            <w:pPr>
              <w:numPr>
                <w:ilvl w:val="1"/>
                <w:numId w:val="73"/>
              </w:numPr>
              <w:spacing w:before="120" w:after="120"/>
              <w:jc w:val="left"/>
              <w:rPr>
                <w:lang w:val="en-US"/>
              </w:rPr>
            </w:pPr>
            <w:r w:rsidRPr="00CF77DB">
              <w:rPr>
                <w:lang w:val="en-US"/>
              </w:rPr>
              <w:t>Mechanical or chemical processing</w:t>
            </w:r>
          </w:p>
          <w:p w:rsidR="00F852EF" w:rsidRPr="00CF77DB" w:rsidRDefault="00F852EF" w:rsidP="00F852EF">
            <w:pPr>
              <w:spacing w:before="120" w:after="120"/>
              <w:ind w:left="720"/>
              <w:rPr>
                <w:lang w:val="en-US"/>
              </w:rPr>
            </w:pPr>
            <w:r w:rsidRPr="00CF77DB">
              <w:rPr>
                <w:lang w:val="en-US"/>
              </w:rPr>
              <w:t>Under Acceptable Process, we suggest it should be recycling rather than processing.</w:t>
            </w:r>
          </w:p>
          <w:p w:rsidR="00F852EF" w:rsidRPr="00CF77DB" w:rsidRDefault="00F852EF" w:rsidP="00F852EF">
            <w:pPr>
              <w:spacing w:before="120" w:after="120"/>
              <w:ind w:left="720"/>
              <w:rPr>
                <w:lang w:val="en-US"/>
              </w:rPr>
            </w:pPr>
            <w:r w:rsidRPr="00CF77DB">
              <w:rPr>
                <w:lang w:val="en-US"/>
              </w:rPr>
              <w:t>For plastics packaging, we suggest adding ‘Pelletising’</w:t>
            </w:r>
          </w:p>
          <w:p w:rsidR="00F852EF" w:rsidRPr="00CF77DB" w:rsidRDefault="00F852EF" w:rsidP="00162446">
            <w:pPr>
              <w:numPr>
                <w:ilvl w:val="0"/>
                <w:numId w:val="73"/>
              </w:numPr>
              <w:spacing w:before="120" w:after="120"/>
              <w:jc w:val="left"/>
              <w:rPr>
                <w:lang w:val="en-US"/>
              </w:rPr>
            </w:pPr>
            <w:r w:rsidRPr="00CF77DB">
              <w:rPr>
                <w:lang w:val="en-US"/>
              </w:rPr>
              <w:t xml:space="preserve">7.5 Traceability - We suggest that under Traceability, there is an addition of text: </w:t>
            </w:r>
          </w:p>
          <w:p w:rsidR="00F852EF" w:rsidRPr="00CF77DB" w:rsidRDefault="00F852EF" w:rsidP="00F852EF">
            <w:pPr>
              <w:spacing w:before="120" w:after="120"/>
              <w:ind w:left="1440"/>
              <w:rPr>
                <w:i/>
                <w:lang w:val="en-US"/>
              </w:rPr>
            </w:pPr>
            <w:r w:rsidRPr="00CF77DB">
              <w:rPr>
                <w:i/>
                <w:lang w:val="en-US"/>
              </w:rPr>
              <w:t>“Inclusive of date of destruction or each batch / item delivered from collection to recycler for processing”.</w:t>
            </w:r>
          </w:p>
          <w:p w:rsidR="00F852EF" w:rsidRPr="00CF77DB" w:rsidRDefault="00F852EF" w:rsidP="00F852EF">
            <w:pPr>
              <w:spacing w:before="120" w:after="120"/>
              <w:ind w:left="720"/>
              <w:rPr>
                <w:lang w:val="en-US"/>
              </w:rPr>
            </w:pPr>
            <w:r w:rsidRPr="00CF77DB">
              <w:rPr>
                <w:lang w:val="en-US"/>
              </w:rPr>
              <w:t>Dates of destruction could trigger the payment for recycling and avoid recyclers being paid while e-waste being stockpiled and not recycled.</w:t>
            </w:r>
          </w:p>
          <w:p w:rsidR="00F852EF" w:rsidRPr="00CF77DB" w:rsidRDefault="00F852EF" w:rsidP="00162446">
            <w:pPr>
              <w:numPr>
                <w:ilvl w:val="0"/>
                <w:numId w:val="73"/>
              </w:numPr>
              <w:spacing w:before="120" w:after="120"/>
              <w:jc w:val="left"/>
              <w:rPr>
                <w:lang w:val="en-US"/>
              </w:rPr>
            </w:pPr>
            <w:r w:rsidRPr="00CF77DB">
              <w:rPr>
                <w:lang w:val="en-US"/>
              </w:rPr>
              <w:t>Definitions - Definitions are listed towards the back of the document, and with the exception of ‘Definitions’ listed in the table of contents, there is no reference to the definitions available.</w:t>
            </w:r>
            <w:r>
              <w:rPr>
                <w:lang w:val="en-US"/>
              </w:rPr>
              <w:t xml:space="preserve"> </w:t>
            </w:r>
            <w:r w:rsidRPr="00CF77DB">
              <w:rPr>
                <w:lang w:val="en-US"/>
              </w:rPr>
              <w:t>We suggest that the first use of each defined word also includes: (Refer to Definitions) - For example, Substances of Concern (Refer to Definitions)</w:t>
            </w:r>
          </w:p>
          <w:p w:rsidR="00F852EF" w:rsidRPr="00CF77DB" w:rsidRDefault="00F852EF" w:rsidP="00162446">
            <w:pPr>
              <w:numPr>
                <w:ilvl w:val="0"/>
                <w:numId w:val="73"/>
              </w:numPr>
              <w:spacing w:before="120" w:after="120"/>
              <w:jc w:val="left"/>
              <w:rPr>
                <w:lang w:val="en-US"/>
              </w:rPr>
            </w:pPr>
            <w:r w:rsidRPr="00CF77DB">
              <w:rPr>
                <w:lang w:val="en-US"/>
              </w:rPr>
              <w:t xml:space="preserve">8.1 Accredited Certification Body - An organisation that conducts conformity assessments and third party certification of organizations against designated management system standards in the fields of quality, environment, occupational health and safety etc in accordance with the requirements of ISO/IEC 17021 as confirmed and accredited by a national accreditation body which is a member of the lnternational Accreditation Forum (IAF). Audits are impartial and conducted by competent professional auditors, meeting international guidelines for management systems auditing as specified in ISO 9011. We query if ISO 9011 should be ISO 9001? </w:t>
            </w:r>
          </w:p>
          <w:p w:rsidR="00F852EF" w:rsidRPr="00CF77DB" w:rsidRDefault="00F852EF" w:rsidP="00162446">
            <w:pPr>
              <w:numPr>
                <w:ilvl w:val="0"/>
                <w:numId w:val="73"/>
              </w:numPr>
              <w:spacing w:before="120" w:after="120"/>
              <w:jc w:val="left"/>
              <w:rPr>
                <w:lang w:val="en-US"/>
              </w:rPr>
            </w:pPr>
            <w:r w:rsidRPr="00CF77DB">
              <w:rPr>
                <w:lang w:val="en-US"/>
              </w:rPr>
              <w:t>8.4 Downstream Processor (6th bullet point) - Any other contracted party that handles, processes or disposes of materials on behalf of the first recycler.</w:t>
            </w:r>
            <w:r>
              <w:rPr>
                <w:lang w:val="en-US"/>
              </w:rPr>
              <w:t xml:space="preserve"> </w:t>
            </w:r>
            <w:r w:rsidRPr="00CF77DB">
              <w:rPr>
                <w:lang w:val="en-US"/>
              </w:rPr>
              <w:t>It was discussed in the Industry Consultation Workshop to change the word materials here to componentry. We agree as it reflects the definitions.</w:t>
            </w:r>
          </w:p>
          <w:p w:rsidR="00F852EF" w:rsidRPr="00CF77DB" w:rsidRDefault="00F852EF" w:rsidP="00162446">
            <w:pPr>
              <w:numPr>
                <w:ilvl w:val="0"/>
                <w:numId w:val="73"/>
              </w:numPr>
              <w:spacing w:before="120" w:after="120"/>
              <w:jc w:val="left"/>
              <w:rPr>
                <w:lang w:val="en-US"/>
              </w:rPr>
            </w:pPr>
            <w:r w:rsidRPr="00CF77DB">
              <w:rPr>
                <w:lang w:val="en-US"/>
              </w:rPr>
              <w:t xml:space="preserve">8.10 Computers - This should be moved back to be 8.4 not 8.10 and therefore, alphabetically listed. This definition was previously IT products, so has retained that alphabetical position. </w:t>
            </w:r>
          </w:p>
          <w:p w:rsidR="00F852EF" w:rsidRPr="00CF77DB" w:rsidRDefault="00F852EF" w:rsidP="00162446">
            <w:pPr>
              <w:numPr>
                <w:ilvl w:val="0"/>
                <w:numId w:val="73"/>
              </w:numPr>
              <w:spacing w:before="120" w:after="120"/>
              <w:jc w:val="left"/>
              <w:rPr>
                <w:lang w:val="en-US"/>
              </w:rPr>
            </w:pPr>
            <w:r w:rsidRPr="00CF77DB">
              <w:rPr>
                <w:lang w:val="en-US"/>
              </w:rPr>
              <w:t xml:space="preserve">8.13 Point of Final Disposition - Means a point in the downstream flow of materials where the separated materials </w:t>
            </w:r>
            <w:r w:rsidRPr="00CF77DB">
              <w:rPr>
                <w:lang w:val="en-US"/>
              </w:rPr>
              <w:lastRenderedPageBreak/>
              <w:t>generated from the processing of EOL Televisions and Computers become commodities used to produce new products or become a bye product waste for appropriate disposal.</w:t>
            </w:r>
            <w:r>
              <w:rPr>
                <w:lang w:val="en-US"/>
              </w:rPr>
              <w:t xml:space="preserve"> </w:t>
            </w:r>
            <w:r w:rsidRPr="00CF77DB">
              <w:rPr>
                <w:lang w:val="en-US"/>
              </w:rPr>
              <w:t xml:space="preserve">This includes: </w:t>
            </w:r>
          </w:p>
          <w:p w:rsidR="00F852EF" w:rsidRPr="00CF77DB" w:rsidRDefault="00F852EF" w:rsidP="00162446">
            <w:pPr>
              <w:numPr>
                <w:ilvl w:val="1"/>
                <w:numId w:val="73"/>
              </w:numPr>
              <w:spacing w:before="120" w:after="120"/>
              <w:jc w:val="left"/>
              <w:rPr>
                <w:lang w:val="en-US"/>
              </w:rPr>
            </w:pPr>
            <w:r w:rsidRPr="00CF77DB">
              <w:rPr>
                <w:lang w:val="en-US"/>
              </w:rPr>
              <w:t xml:space="preserve">Use as a raw material in the production process of new products; </w:t>
            </w:r>
          </w:p>
          <w:p w:rsidR="00F852EF" w:rsidRPr="00CF77DB" w:rsidRDefault="00F852EF" w:rsidP="00162446">
            <w:pPr>
              <w:numPr>
                <w:ilvl w:val="1"/>
                <w:numId w:val="73"/>
              </w:numPr>
              <w:spacing w:before="120" w:after="120"/>
              <w:jc w:val="left"/>
              <w:rPr>
                <w:lang w:val="en-US"/>
              </w:rPr>
            </w:pPr>
            <w:r w:rsidRPr="00CF77DB">
              <w:rPr>
                <w:lang w:val="en-US"/>
              </w:rPr>
              <w:t xml:space="preserve">Recovery of metal, energy and/or other resources; </w:t>
            </w:r>
          </w:p>
          <w:p w:rsidR="00F852EF" w:rsidRPr="00CF77DB" w:rsidRDefault="00F852EF" w:rsidP="00162446">
            <w:pPr>
              <w:numPr>
                <w:ilvl w:val="1"/>
                <w:numId w:val="73"/>
              </w:numPr>
              <w:spacing w:before="120" w:after="120"/>
              <w:jc w:val="left"/>
              <w:rPr>
                <w:lang w:val="en-US"/>
              </w:rPr>
            </w:pPr>
            <w:r w:rsidRPr="00CF77DB">
              <w:rPr>
                <w:lang w:val="en-US"/>
              </w:rPr>
              <w:t xml:space="preserve">Pelletization of plastics; </w:t>
            </w:r>
          </w:p>
          <w:p w:rsidR="00F852EF" w:rsidRPr="00CF77DB" w:rsidRDefault="00F852EF" w:rsidP="00162446">
            <w:pPr>
              <w:numPr>
                <w:ilvl w:val="1"/>
                <w:numId w:val="73"/>
              </w:numPr>
              <w:spacing w:before="120" w:after="120"/>
              <w:jc w:val="left"/>
              <w:rPr>
                <w:lang w:val="en-US"/>
              </w:rPr>
            </w:pPr>
            <w:r w:rsidRPr="00CF77DB">
              <w:rPr>
                <w:lang w:val="en-US"/>
              </w:rPr>
              <w:t xml:space="preserve">Landfill and incineration disposal. </w:t>
            </w:r>
          </w:p>
          <w:p w:rsidR="00F852EF" w:rsidRPr="00CF77DB" w:rsidRDefault="00F852EF" w:rsidP="00F852EF">
            <w:pPr>
              <w:spacing w:before="120" w:after="120"/>
              <w:ind w:left="720"/>
              <w:rPr>
                <w:lang w:val="en-US"/>
              </w:rPr>
            </w:pPr>
            <w:r w:rsidRPr="00CF77DB">
              <w:rPr>
                <w:lang w:val="en-US"/>
              </w:rPr>
              <w:t>‘Bye product’ should be by-product.</w:t>
            </w:r>
          </w:p>
          <w:p w:rsidR="00F852EF" w:rsidRPr="00CF77DB" w:rsidRDefault="00F852EF" w:rsidP="00F852EF">
            <w:pPr>
              <w:spacing w:before="120" w:after="120"/>
              <w:ind w:left="720"/>
              <w:rPr>
                <w:lang w:val="en-US"/>
              </w:rPr>
            </w:pPr>
            <w:r w:rsidRPr="00CF77DB">
              <w:rPr>
                <w:lang w:val="en-US"/>
              </w:rPr>
              <w:t xml:space="preserve">At the Industry Consultation Workshop, it was discussed that references to Incineration would be removed. </w:t>
            </w:r>
          </w:p>
          <w:p w:rsidR="00F852EF" w:rsidRPr="00CF77DB" w:rsidRDefault="00F852EF" w:rsidP="00162446">
            <w:pPr>
              <w:numPr>
                <w:ilvl w:val="0"/>
                <w:numId w:val="73"/>
              </w:numPr>
              <w:spacing w:before="120" w:after="120"/>
              <w:jc w:val="left"/>
              <w:rPr>
                <w:lang w:val="en-US"/>
              </w:rPr>
            </w:pPr>
            <w:r w:rsidRPr="00CF77DB">
              <w:rPr>
                <w:lang w:val="en-US"/>
              </w:rPr>
              <w:t>8.16 Recycler - A facility that undertakes recycling. We suggest that this be expanded to add:</w:t>
            </w:r>
            <w:r>
              <w:rPr>
                <w:lang w:val="en-US"/>
              </w:rPr>
              <w:t xml:space="preserve"> </w:t>
            </w:r>
            <w:r w:rsidRPr="00CF77DB">
              <w:rPr>
                <w:lang w:val="en-US"/>
              </w:rPr>
              <w:t xml:space="preserve"> including manual dismantling and processing.</w:t>
            </w:r>
            <w:r>
              <w:rPr>
                <w:lang w:val="en-US"/>
              </w:rPr>
              <w:t xml:space="preserve"> </w:t>
            </w:r>
            <w:r w:rsidRPr="00CF77DB">
              <w:rPr>
                <w:lang w:val="en-US"/>
              </w:rPr>
              <w:t>It was discussed at the Industry Consultation Workshop that once any dismantling commenced, this moved the Collector to the Recycler category.</w:t>
            </w:r>
            <w:r>
              <w:rPr>
                <w:lang w:val="en-US"/>
              </w:rPr>
              <w:t xml:space="preserve"> </w:t>
            </w:r>
            <w:r w:rsidRPr="00CF77DB">
              <w:rPr>
                <w:lang w:val="en-US"/>
              </w:rPr>
              <w:t>Collector will collect and consolidate.</w:t>
            </w:r>
            <w:r>
              <w:rPr>
                <w:lang w:val="en-US"/>
              </w:rPr>
              <w:t xml:space="preserve"> </w:t>
            </w:r>
            <w:r w:rsidRPr="00CF77DB">
              <w:rPr>
                <w:lang w:val="en-US"/>
              </w:rPr>
              <w:t>Recycler will manually dismantle and / or process.</w:t>
            </w:r>
          </w:p>
          <w:p w:rsidR="00F852EF" w:rsidRPr="00CF77DB" w:rsidRDefault="00F852EF" w:rsidP="00162446">
            <w:pPr>
              <w:numPr>
                <w:ilvl w:val="0"/>
                <w:numId w:val="73"/>
              </w:numPr>
              <w:spacing w:before="120" w:after="120"/>
              <w:jc w:val="left"/>
              <w:rPr>
                <w:lang w:val="en-US"/>
              </w:rPr>
            </w:pPr>
            <w:r w:rsidRPr="00CF77DB">
              <w:rPr>
                <w:lang w:val="en-US"/>
              </w:rPr>
              <w:t>8.18 Substances of Concern - Means substances or components making up EOL Televisions and Computers that in their normal state and under normal conditions of handling by a consumer pose little or no risk to human health or the environment but when handled, processed or transformed in large volumes at a recycling facility may be subject to specific regulatory requirements such as hazardous designation. These substances or components include mercury-containing devices, PCB capacitors, leaded glass, batteries, etc. We suggest that the last sentence of this definition be changed to reflect the substances of concern specifically outlined in Appendix 1:</w:t>
            </w:r>
          </w:p>
          <w:p w:rsidR="00F852EF" w:rsidRPr="00CF77DB" w:rsidRDefault="00F852EF" w:rsidP="00F852EF">
            <w:pPr>
              <w:spacing w:before="120" w:after="120"/>
              <w:ind w:left="1440"/>
              <w:rPr>
                <w:i/>
                <w:lang w:val="en-US"/>
              </w:rPr>
            </w:pPr>
            <w:r w:rsidRPr="00CF77DB">
              <w:rPr>
                <w:i/>
                <w:lang w:val="en-US"/>
              </w:rPr>
              <w:t xml:space="preserve">These substances or components include circuit boards; batteries; cathode ray tubes (CRTs), leaded plasma display glass, and other leaded glass; lamps, bulbs and switches; insulated wire; plastics. </w:t>
            </w:r>
          </w:p>
          <w:p w:rsidR="00F852EF" w:rsidRPr="00CF77DB" w:rsidRDefault="00F852EF" w:rsidP="00F852EF">
            <w:pPr>
              <w:spacing w:before="120" w:after="120"/>
              <w:ind w:left="720"/>
              <w:rPr>
                <w:lang w:val="en-US"/>
              </w:rPr>
            </w:pPr>
            <w:r w:rsidRPr="00CF77DB">
              <w:rPr>
                <w:lang w:val="en-US"/>
              </w:rPr>
              <w:t>We also suggest the addition of ink and toner cartridges to this list and details added to Appendix 1.</w:t>
            </w:r>
          </w:p>
          <w:p w:rsidR="00F852EF" w:rsidRPr="00CF77DB" w:rsidRDefault="00F852EF" w:rsidP="00162446">
            <w:pPr>
              <w:numPr>
                <w:ilvl w:val="0"/>
                <w:numId w:val="73"/>
              </w:numPr>
              <w:spacing w:before="120" w:after="120"/>
              <w:jc w:val="left"/>
              <w:rPr>
                <w:lang w:val="en-US"/>
              </w:rPr>
            </w:pPr>
            <w:r w:rsidRPr="00CF77DB">
              <w:rPr>
                <w:lang w:val="en-US"/>
              </w:rPr>
              <w:t>8. Definitions - We highlight the absence of the definition for Waste and as it is referred to throughout the standard (as a standalone word and not part of another definition) suggest that it is once again included in this list.</w:t>
            </w:r>
          </w:p>
          <w:p w:rsidR="00F852EF" w:rsidRPr="00CF77DB" w:rsidRDefault="00F852EF" w:rsidP="00162446">
            <w:pPr>
              <w:numPr>
                <w:ilvl w:val="0"/>
                <w:numId w:val="73"/>
              </w:numPr>
              <w:spacing w:before="120" w:after="120"/>
              <w:jc w:val="left"/>
              <w:rPr>
                <w:lang w:val="en-US"/>
              </w:rPr>
            </w:pPr>
            <w:r w:rsidRPr="00CF77DB">
              <w:rPr>
                <w:lang w:val="en-US"/>
              </w:rPr>
              <w:t xml:space="preserve">Appendix 2 </w:t>
            </w:r>
            <w:smartTag w:uri="urn:schemas-microsoft-com:office:smarttags" w:element="place">
              <w:smartTag w:uri="urn:schemas-microsoft-com:office:smarttags" w:element="country-region">
                <w:r w:rsidRPr="00CF77DB">
                  <w:rPr>
                    <w:lang w:val="en-US"/>
                  </w:rPr>
                  <w:t>Australia</w:t>
                </w:r>
              </w:smartTag>
            </w:smartTag>
            <w:r w:rsidRPr="00CF77DB">
              <w:rPr>
                <w:lang w:val="en-US"/>
              </w:rPr>
              <w:t>’s Obligations under the Stockholm Convention on Persistent Organic Pollutants Table 1 - Under each “Effect of Listing”, there is reference to a Footnote indicated as 1, however the actual Footnote cannot be located.</w:t>
            </w:r>
          </w:p>
          <w:p w:rsidR="00F852EF" w:rsidRPr="00CF77DB" w:rsidRDefault="00F852EF" w:rsidP="00162446">
            <w:pPr>
              <w:numPr>
                <w:ilvl w:val="0"/>
                <w:numId w:val="73"/>
              </w:numPr>
              <w:spacing w:before="120" w:after="120"/>
              <w:jc w:val="left"/>
              <w:rPr>
                <w:lang w:val="en-US"/>
              </w:rPr>
            </w:pPr>
            <w:r w:rsidRPr="00CF77DB">
              <w:rPr>
                <w:lang w:val="en-US"/>
              </w:rPr>
              <w:t>Appendix 5 Checklist for Collection Locations - Legal Compliance - We suggest that asking if licenses are available and up to date should be changed to providing copies of licenses in process of becoming an approved Collection Location.</w:t>
            </w:r>
            <w:r>
              <w:rPr>
                <w:lang w:val="en-US"/>
              </w:rPr>
              <w:t xml:space="preserve"> </w:t>
            </w:r>
          </w:p>
          <w:p w:rsidR="00F852EF" w:rsidRPr="00CF77DB" w:rsidRDefault="00F852EF" w:rsidP="00F852EF">
            <w:pPr>
              <w:spacing w:before="120" w:after="120"/>
              <w:ind w:left="720"/>
              <w:rPr>
                <w:lang w:val="en-US"/>
              </w:rPr>
            </w:pPr>
            <w:r w:rsidRPr="00CF77DB">
              <w:rPr>
                <w:lang w:val="en-US"/>
              </w:rPr>
              <w:t>Appendix 5 Checklist for Collection Locations - Records and Monitoring - As per Traceability, suggest that date is added to the reporting – for Collection Locations, this would be date sent to Recycler.</w:t>
            </w:r>
          </w:p>
          <w:p w:rsidR="00F852EF" w:rsidRPr="00CF77DB" w:rsidRDefault="00F852EF" w:rsidP="00F852EF">
            <w:pPr>
              <w:spacing w:before="120" w:after="120"/>
              <w:rPr>
                <w:lang w:val="en-US"/>
              </w:rPr>
            </w:pPr>
            <w:r w:rsidRPr="00CF77DB">
              <w:rPr>
                <w:b/>
                <w:u w:val="single"/>
                <w:lang w:val="en-US"/>
              </w:rPr>
              <w:lastRenderedPageBreak/>
              <w:t>SIMS</w:t>
            </w:r>
            <w:r w:rsidRPr="00CF77DB">
              <w:rPr>
                <w:lang w:val="en-US"/>
              </w:rPr>
              <w:t xml:space="preserve"> – </w:t>
            </w:r>
          </w:p>
          <w:p w:rsidR="00F852EF" w:rsidRDefault="00F852EF" w:rsidP="00162446">
            <w:pPr>
              <w:numPr>
                <w:ilvl w:val="0"/>
                <w:numId w:val="98"/>
              </w:numPr>
              <w:spacing w:after="0"/>
              <w:jc w:val="left"/>
            </w:pPr>
            <w:bookmarkStart w:id="112" w:name="OLE_LINK3"/>
            <w:bookmarkStart w:id="113" w:name="OLE_LINK4"/>
            <w:r w:rsidRPr="00CF77DB">
              <w:rPr>
                <w:lang w:val="en-US"/>
              </w:rPr>
              <w:t>p6, Note 1 -</w:t>
            </w:r>
            <w:r>
              <w:rPr>
                <w:lang w:val="en-US"/>
              </w:rPr>
              <w:t xml:space="preserve"> </w:t>
            </w:r>
            <w:r>
              <w:t>The check list approach may be adequate for the initial introduction period, but an auditing authority needs to be identified (ie EPA/LGA/PSO?). Will stakeholders be able to raise issues with collection points or transport providers formally for the auditing authority for action – ie competitors reporting incorrect process or non-compliance? Suggest to set a target for collection location to be audited in their year 2 to 5 operation (base line audits)?</w:t>
            </w:r>
          </w:p>
          <w:p w:rsidR="00F852EF" w:rsidRPr="00CF77DB" w:rsidRDefault="00F852EF" w:rsidP="00162446">
            <w:pPr>
              <w:numPr>
                <w:ilvl w:val="0"/>
                <w:numId w:val="98"/>
              </w:numPr>
              <w:spacing w:before="120" w:after="120"/>
              <w:jc w:val="left"/>
              <w:rPr>
                <w:lang w:val="en-US"/>
              </w:rPr>
            </w:pPr>
            <w:r>
              <w:t>p8, point 3 - Note to include, that also downstream partners need ISO 14001 accreditation or an equivalent self declaration to state details of materials use/disposition and the percentage recovery (aim at 95%?).</w:t>
            </w:r>
          </w:p>
          <w:p w:rsidR="00F852EF" w:rsidRDefault="00F852EF" w:rsidP="00162446">
            <w:pPr>
              <w:numPr>
                <w:ilvl w:val="0"/>
                <w:numId w:val="98"/>
              </w:numPr>
              <w:spacing w:after="0"/>
              <w:jc w:val="left"/>
            </w:pPr>
            <w:r>
              <w:t xml:space="preserve">p8, point 5 - This shall be an activity and cost for the governing body to audit, as more than tier two, three … to tier xxx processors may be involved, and also secondary traders of materials? Is this also a ‘self declaration process’ by tier providers and reportable to the dismantler/recycler of the originating materials from the secondary and third tier processor/handing agent? Suggest, a copy of the ISO 14001 accreditation provided by down stream processors be sufficient to settle this requirement? </w:t>
            </w:r>
          </w:p>
          <w:p w:rsidR="00F852EF" w:rsidRPr="00CF77DB" w:rsidRDefault="00F852EF" w:rsidP="00162446">
            <w:pPr>
              <w:numPr>
                <w:ilvl w:val="0"/>
                <w:numId w:val="98"/>
              </w:numPr>
              <w:spacing w:before="120" w:after="120"/>
              <w:jc w:val="left"/>
              <w:rPr>
                <w:lang w:val="en-US"/>
              </w:rPr>
            </w:pPr>
            <w:r w:rsidRPr="00A53F69">
              <w:t>p10 -</w:t>
            </w:r>
            <w:r>
              <w:t xml:space="preserve"> </w:t>
            </w:r>
            <w:r w:rsidRPr="00CF77DB">
              <w:rPr>
                <w:i/>
              </w:rPr>
              <w:t>The provider shall….legal breaches or incidents</w:t>
            </w:r>
            <w:r w:rsidRPr="00A53F69">
              <w:t xml:space="preserve"> -</w:t>
            </w:r>
            <w:r>
              <w:t xml:space="preserve"> </w:t>
            </w:r>
            <w:r w:rsidRPr="00A53F69">
              <w:t>Need to include explicitly stating the reporting of</w:t>
            </w:r>
            <w:r>
              <w:t xml:space="preserve"> </w:t>
            </w:r>
            <w:r w:rsidRPr="00A53F69">
              <w:t>medically treatable injuries (MTI) and lost time injuries (LTI) …. See p11, 4.6(a)</w:t>
            </w:r>
          </w:p>
          <w:p w:rsidR="00F852EF" w:rsidRDefault="00F852EF" w:rsidP="00162446">
            <w:pPr>
              <w:numPr>
                <w:ilvl w:val="0"/>
                <w:numId w:val="98"/>
              </w:numPr>
              <w:spacing w:after="0"/>
              <w:jc w:val="left"/>
            </w:pPr>
            <w:r>
              <w:t>p10, 4.4, b. - Collection points may not have any protection for this EoL equipment (is there a provision for the introduction period)? Transport providers to shield the equipment from exposure to the elements? It is difficult in a commercial environment to always operate under-cover or not store equipment in temporary areas that may be exposed to the elements with the flux in supply; Suggest clarifying that no processed equipment or resulting ‘materials of concern’ shall be exposed to the weather.</w:t>
            </w:r>
          </w:p>
          <w:p w:rsidR="00F852EF" w:rsidRPr="00CF77DB" w:rsidRDefault="00F852EF" w:rsidP="00162446">
            <w:pPr>
              <w:numPr>
                <w:ilvl w:val="0"/>
                <w:numId w:val="98"/>
              </w:numPr>
              <w:spacing w:before="120" w:after="120"/>
              <w:jc w:val="left"/>
              <w:rPr>
                <w:lang w:val="en-US"/>
              </w:rPr>
            </w:pPr>
            <w:r>
              <w:t xml:space="preserve">p10, last para - There shall be no ‘uncontrolled tipping’ </w:t>
            </w:r>
            <w:r w:rsidRPr="00CF77DB">
              <w:rPr>
                <w:b/>
              </w:rPr>
              <w:t>from height, say &gt;30cm</w:t>
            </w:r>
            <w:r>
              <w:t>, which may adversely affect the equipment</w:t>
            </w:r>
            <w:r w:rsidRPr="00A53F69">
              <w:t>.</w:t>
            </w:r>
          </w:p>
          <w:p w:rsidR="00F852EF" w:rsidRPr="00A53F69" w:rsidRDefault="00F852EF" w:rsidP="00162446">
            <w:pPr>
              <w:numPr>
                <w:ilvl w:val="0"/>
                <w:numId w:val="98"/>
              </w:numPr>
              <w:spacing w:after="0"/>
              <w:jc w:val="left"/>
            </w:pPr>
            <w:r>
              <w:t>p</w:t>
            </w:r>
            <w:r w:rsidRPr="00A53F69">
              <w:t>11, 4.6 (b) -</w:t>
            </w:r>
            <w:r>
              <w:t xml:space="preserve"> </w:t>
            </w:r>
            <w:r w:rsidRPr="00A53F69">
              <w:t>…</w:t>
            </w:r>
            <w:r w:rsidRPr="00CF77DB">
              <w:rPr>
                <w:i/>
              </w:rPr>
              <w:t>reported in units or weight</w:t>
            </w:r>
            <w:r w:rsidRPr="00A53F69">
              <w:t xml:space="preserve"> -</w:t>
            </w:r>
            <w:r>
              <w:t xml:space="preserve"> </w:t>
            </w:r>
            <w:r w:rsidRPr="00A53F69">
              <w:t xml:space="preserve">May need to read units </w:t>
            </w:r>
            <w:r w:rsidRPr="00CF77DB">
              <w:rPr>
                <w:b/>
              </w:rPr>
              <w:t>and/or</w:t>
            </w:r>
            <w:r w:rsidRPr="00A53F69">
              <w:t xml:space="preserve"> weight as prescribed</w:t>
            </w:r>
          </w:p>
          <w:p w:rsidR="00F852EF" w:rsidRPr="00A53F69" w:rsidRDefault="00F852EF" w:rsidP="00162446">
            <w:pPr>
              <w:numPr>
                <w:ilvl w:val="0"/>
                <w:numId w:val="98"/>
              </w:numPr>
              <w:spacing w:after="0"/>
              <w:jc w:val="left"/>
            </w:pPr>
            <w:r>
              <w:t>p</w:t>
            </w:r>
            <w:r w:rsidRPr="00A53F69">
              <w:t xml:space="preserve">11, 4.6 (c) - </w:t>
            </w:r>
            <w:r w:rsidRPr="00CF77DB">
              <w:rPr>
                <w:i/>
              </w:rPr>
              <w:t>…and any waste</w:t>
            </w:r>
            <w:r w:rsidRPr="00A53F69">
              <w:t xml:space="preserve"> -</w:t>
            </w:r>
            <w:r>
              <w:t xml:space="preserve"> </w:t>
            </w:r>
            <w:r w:rsidRPr="00A53F69">
              <w:t>Waste service providers currently do not issue a weight decoration, as far as I know, and report on</w:t>
            </w:r>
            <w:r>
              <w:t xml:space="preserve"> </w:t>
            </w:r>
            <w:r w:rsidRPr="00A53F69">
              <w:t xml:space="preserve">volume of ‘bin’ lifts…is this acceptable for the scheme as each recycler needs to weigh potentially their own waste (open to a loop hole)? </w:t>
            </w:r>
          </w:p>
          <w:p w:rsidR="00F852EF" w:rsidRPr="00CF77DB" w:rsidRDefault="00F852EF" w:rsidP="00162446">
            <w:pPr>
              <w:numPr>
                <w:ilvl w:val="0"/>
                <w:numId w:val="98"/>
              </w:numPr>
              <w:spacing w:before="120" w:after="120"/>
              <w:jc w:val="left"/>
              <w:rPr>
                <w:lang w:val="en-US"/>
              </w:rPr>
            </w:pPr>
            <w:r>
              <w:t xml:space="preserve">p11, 4.6 (d) - </w:t>
            </w:r>
            <w:r w:rsidRPr="00A53F69">
              <w:t>Add: Information provided will not be accessible by third parties and accepted as ‘commercial in confidence’ by the PSO.</w:t>
            </w:r>
          </w:p>
          <w:p w:rsidR="00F852EF" w:rsidRPr="00CF77DB" w:rsidRDefault="00F852EF" w:rsidP="00162446">
            <w:pPr>
              <w:numPr>
                <w:ilvl w:val="0"/>
                <w:numId w:val="98"/>
              </w:numPr>
              <w:spacing w:before="120" w:after="120"/>
              <w:jc w:val="left"/>
              <w:rPr>
                <w:lang w:val="en-US"/>
              </w:rPr>
            </w:pPr>
            <w:r>
              <w:t xml:space="preserve">p12, 5.2 - </w:t>
            </w:r>
            <w:r w:rsidRPr="00A53F69">
              <w:t>Add: signage to deter theft (theft is a criminal offence and scavenging not permitted)</w:t>
            </w:r>
          </w:p>
          <w:p w:rsidR="00F852EF" w:rsidRDefault="00F852EF" w:rsidP="00162446">
            <w:pPr>
              <w:numPr>
                <w:ilvl w:val="0"/>
                <w:numId w:val="98"/>
              </w:numPr>
              <w:tabs>
                <w:tab w:val="clear" w:pos="720"/>
              </w:tabs>
              <w:spacing w:before="120" w:after="120"/>
              <w:jc w:val="left"/>
            </w:pPr>
            <w:r>
              <w:t xml:space="preserve">p15, 7.4 - </w:t>
            </w:r>
            <w:r w:rsidRPr="00CF77DB">
              <w:rPr>
                <w:i/>
              </w:rPr>
              <w:t>Recyclers shall undertake…monitoring</w:t>
            </w:r>
            <w:r>
              <w:t xml:space="preserve"> - </w:t>
            </w:r>
            <w:r w:rsidRPr="00A53F69">
              <w:t>Suggest to define minimum substances for compulsory monitoring (ie Pb, Cd, C, Br etc) at a preset intervals.</w:t>
            </w:r>
            <w:r>
              <w:t xml:space="preserve"> </w:t>
            </w:r>
            <w:r w:rsidRPr="00A53F69">
              <w:t>Work surface contamination monitoring required on a periodic bases;</w:t>
            </w:r>
            <w:r>
              <w:t xml:space="preserve"> </w:t>
            </w:r>
            <w:r w:rsidRPr="00A53F69">
              <w:t>… how often shall monitoring take place?</w:t>
            </w:r>
            <w:r>
              <w:t xml:space="preserve"> </w:t>
            </w:r>
            <w:r w:rsidRPr="00A53F69">
              <w:t>… to whom are records submitted?</w:t>
            </w:r>
            <w:r>
              <w:t xml:space="preserve"> </w:t>
            </w:r>
            <w:r w:rsidRPr="00A53F69">
              <w:t xml:space="preserve">It is imperative that all recyclers are explicitly operating ‘on </w:t>
            </w:r>
            <w:r w:rsidRPr="00A53F69">
              <w:lastRenderedPageBreak/>
              <w:t>a level playing field’ to ensure competitive parity of the industry.</w:t>
            </w:r>
          </w:p>
          <w:p w:rsidR="00F852EF" w:rsidRDefault="00F852EF" w:rsidP="00162446">
            <w:pPr>
              <w:numPr>
                <w:ilvl w:val="0"/>
                <w:numId w:val="98"/>
              </w:numPr>
              <w:tabs>
                <w:tab w:val="clear" w:pos="720"/>
              </w:tabs>
              <w:spacing w:before="120" w:after="120"/>
              <w:jc w:val="left"/>
            </w:pPr>
            <w:r>
              <w:t xml:space="preserve">p15, 7.4 - </w:t>
            </w:r>
            <w:r w:rsidRPr="00A53F69">
              <w:t>PPE requirement determined by the specific processes employed for transportation, handling and recycling, and air and surface contamination/ monitoring.</w:t>
            </w:r>
          </w:p>
          <w:p w:rsidR="00F852EF" w:rsidRDefault="00F852EF" w:rsidP="00162446">
            <w:pPr>
              <w:numPr>
                <w:ilvl w:val="0"/>
                <w:numId w:val="98"/>
              </w:numPr>
              <w:tabs>
                <w:tab w:val="clear" w:pos="720"/>
              </w:tabs>
              <w:spacing w:after="0"/>
              <w:jc w:val="left"/>
            </w:pPr>
            <w:r>
              <w:t xml:space="preserve">p15, 7.4 - </w:t>
            </w:r>
            <w:r w:rsidRPr="00CF77DB">
              <w:rPr>
                <w:i/>
              </w:rPr>
              <w:t xml:space="preserve">…shall only go to landfill where no commercial viable recycling technology is available. </w:t>
            </w:r>
            <w:r>
              <w:t>- This statement may create a loop hole to dispose of EoL equipment and needs to clarify the ‘no economic’ value proposition. How would this be monitored? Suggest to include consideration of ‘travel distance’ to the nearest recycling facility, and if the local landfill is ‘lined’ or not, and possibly if leachate is already high in heavy metals (?); Options would be to store equipment for ‘at call’ pickup or return via the nearest electrical retail outlet (ie. for back loading) in sea containers (easy, cheap, secure and readily available). Cost benefit analysis to be completed for areas where EoL ends in landfill?</w:t>
            </w:r>
          </w:p>
          <w:p w:rsidR="00F852EF" w:rsidRDefault="00F852EF" w:rsidP="00162446">
            <w:pPr>
              <w:numPr>
                <w:ilvl w:val="0"/>
                <w:numId w:val="98"/>
              </w:numPr>
              <w:tabs>
                <w:tab w:val="clear" w:pos="720"/>
              </w:tabs>
              <w:spacing w:after="0"/>
              <w:jc w:val="left"/>
            </w:pPr>
            <w:r>
              <w:t>Target omitted - Recycling targets are omitted fro stated reasons, but suggest a value of some 95% recovery and diversion from landfill; Collection target omitted, but would be accepted as nominated by the PSO. But, unless a local ban on e-waste to landfill will accompany the national roll-out within the designated geographical areas, only a collection target explicitly stated may offer an incentive to divert EoL from landfill; else, a success factor may not be quantified;</w:t>
            </w:r>
          </w:p>
          <w:p w:rsidR="00F852EF" w:rsidRDefault="00F852EF" w:rsidP="00162446">
            <w:pPr>
              <w:numPr>
                <w:ilvl w:val="0"/>
                <w:numId w:val="98"/>
              </w:numPr>
              <w:spacing w:after="0"/>
              <w:jc w:val="left"/>
            </w:pPr>
            <w:r>
              <w:t>Enforcement - How will the standards be enforced, and escalation of disagreements handled? What percentage of equipment to landfill will be acceptable if transfer stations can not channel the equipment into the scheme in roll-out areas? Even if all data on reportable volumes collected by recyclers is reported, the shrinkage or leakage volume may not be measurable, that is, if a ban to landfill can not be enforced;</w:t>
            </w:r>
          </w:p>
          <w:p w:rsidR="00F852EF" w:rsidRDefault="00F852EF" w:rsidP="00162446">
            <w:pPr>
              <w:numPr>
                <w:ilvl w:val="0"/>
                <w:numId w:val="98"/>
              </w:numPr>
              <w:tabs>
                <w:tab w:val="clear" w:pos="720"/>
              </w:tabs>
              <w:spacing w:after="0"/>
              <w:jc w:val="left"/>
            </w:pPr>
            <w:r>
              <w:t>Health hazard to landfill - Manufacturers to include a WEEE type directive for the proper disposal of EoL TV and Computer equipment in their respective user manuals. This may need to be included in commercial instruction books/ installation and service manuals.</w:t>
            </w:r>
          </w:p>
          <w:p w:rsidR="00F852EF" w:rsidRDefault="00F852EF" w:rsidP="00F852EF">
            <w:pPr>
              <w:ind w:left="360"/>
            </w:pPr>
            <w:r>
              <w:rPr>
                <w:noProof/>
                <w:lang w:eastAsia="en-AU"/>
              </w:rPr>
              <w:lastRenderedPageBreak/>
              <w:drawing>
                <wp:inline distT="0" distB="0" distL="0" distR="0">
                  <wp:extent cx="3049905" cy="3976370"/>
                  <wp:effectExtent l="1905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a:stretch>
                            <a:fillRect/>
                          </a:stretch>
                        </pic:blipFill>
                        <pic:spPr bwMode="auto">
                          <a:xfrm>
                            <a:off x="0" y="0"/>
                            <a:ext cx="3049905" cy="3976370"/>
                          </a:xfrm>
                          <a:prstGeom prst="rect">
                            <a:avLst/>
                          </a:prstGeom>
                          <a:noFill/>
                        </pic:spPr>
                      </pic:pic>
                    </a:graphicData>
                  </a:graphic>
                </wp:inline>
              </w:drawing>
            </w:r>
          </w:p>
          <w:p w:rsidR="00F852EF" w:rsidRDefault="00F852EF" w:rsidP="00162446">
            <w:pPr>
              <w:numPr>
                <w:ilvl w:val="0"/>
                <w:numId w:val="99"/>
              </w:numPr>
              <w:tabs>
                <w:tab w:val="clear" w:pos="720"/>
              </w:tabs>
              <w:spacing w:after="0"/>
              <w:jc w:val="left"/>
            </w:pPr>
            <w:r>
              <w:t xml:space="preserve">p16 – ISO 26001 - </w:t>
            </w:r>
            <w:r w:rsidRPr="00A53F69">
              <w:t>Dismantling using prison labour may become a contentious issue once public – why the need to include it in the standard?</w:t>
            </w:r>
            <w:r>
              <w:t xml:space="preserve"> </w:t>
            </w:r>
            <w:r w:rsidRPr="00A53F69">
              <w:t>Concerns of data security, and a ‘drafted’ labour force may be exploited by the media;</w:t>
            </w:r>
            <w:r>
              <w:t xml:space="preserve"> </w:t>
            </w:r>
            <w:r w:rsidRPr="00A53F69">
              <w:t>A state subsidised prison labour force would need to provide a transparent operation with the identical OHS&amp;E guidelines en force; and providing a quality service not aimed at monopolising markets or adversely affecting market offering for commercial e-waste recycling services in the same area;</w:t>
            </w:r>
            <w:r>
              <w:t xml:space="preserve"> </w:t>
            </w:r>
            <w:r w:rsidRPr="00A53F69">
              <w:t>ISO26001 may not be regarded as sufficient to include this option here?</w:t>
            </w:r>
          </w:p>
          <w:p w:rsidR="00F852EF" w:rsidRDefault="00F852EF" w:rsidP="00162446">
            <w:pPr>
              <w:numPr>
                <w:ilvl w:val="0"/>
                <w:numId w:val="99"/>
              </w:numPr>
              <w:spacing w:after="0"/>
              <w:jc w:val="left"/>
            </w:pPr>
            <w:r>
              <w:t>p16 – EoL whole equipment export - The export of whole equipment for recycling to non-OECD countries is not an option if the scheme is to entice and promote the development or investment for the expansion of state-of-the-art e-waste processing facilities in Australia Export permits if available must be issued unilaterally in the public interest and shall not be unfairly applied, or awarded as an instrument for price competition, or be awarded on selected EoL equipment only (ie for computer products only)</w:t>
            </w:r>
          </w:p>
          <w:p w:rsidR="00F852EF" w:rsidRPr="00B854C6" w:rsidRDefault="00F852EF" w:rsidP="00162446">
            <w:pPr>
              <w:numPr>
                <w:ilvl w:val="0"/>
                <w:numId w:val="99"/>
              </w:numPr>
              <w:spacing w:after="0"/>
              <w:jc w:val="left"/>
            </w:pPr>
            <w:r>
              <w:lastRenderedPageBreak/>
              <w:t xml:space="preserve">p16 – Cables - </w:t>
            </w:r>
            <w:r w:rsidRPr="00B854C6">
              <w:t xml:space="preserve">The processing plants for cables are in </w:t>
            </w:r>
            <w:smartTag w:uri="urn:schemas-microsoft-com:office:smarttags" w:element="place">
              <w:smartTag w:uri="urn:schemas-microsoft-com:office:smarttags" w:element="country-region">
                <w:r w:rsidRPr="00B854C6">
                  <w:t>China</w:t>
                </w:r>
              </w:smartTag>
            </w:smartTag>
            <w:r w:rsidRPr="00B854C6">
              <w:t>, but do not require a permit for export.</w:t>
            </w:r>
          </w:p>
          <w:p w:rsidR="00F852EF" w:rsidRDefault="00F852EF" w:rsidP="00162446">
            <w:pPr>
              <w:numPr>
                <w:ilvl w:val="0"/>
                <w:numId w:val="99"/>
              </w:numPr>
              <w:spacing w:after="0"/>
              <w:jc w:val="left"/>
            </w:pPr>
            <w:r>
              <w:t>p16 – Batteries - Batteries to be segregated by type, and secured against discharge prior to road transport. Non-Rechargeable Batteries have at present a local solution (at a relatively high cost for current volumes);</w:t>
            </w:r>
          </w:p>
          <w:p w:rsidR="00F852EF" w:rsidRDefault="00F852EF" w:rsidP="00162446">
            <w:pPr>
              <w:numPr>
                <w:ilvl w:val="0"/>
                <w:numId w:val="99"/>
              </w:numPr>
              <w:spacing w:after="0"/>
              <w:jc w:val="left"/>
            </w:pPr>
            <w:r>
              <w:t>p17 – CCFL - Recycling option available (but, relatively high cost for current volumes)</w:t>
            </w:r>
          </w:p>
          <w:p w:rsidR="00F852EF" w:rsidRDefault="00F852EF" w:rsidP="00162446">
            <w:pPr>
              <w:numPr>
                <w:ilvl w:val="0"/>
                <w:numId w:val="99"/>
              </w:numPr>
              <w:spacing w:after="0"/>
              <w:jc w:val="left"/>
            </w:pPr>
            <w:r>
              <w:t xml:space="preserve">p17 – BFR - BFR identification currently is complex and the required equipment expensive. Without the ratification of the </w:t>
            </w:r>
            <w:smartTag w:uri="urn:schemas-microsoft-com:office:smarttags" w:element="place">
              <w:smartTag w:uri="urn:schemas-microsoft-com:office:smarttags" w:element="City">
                <w:r>
                  <w:t>Stockholm</w:t>
                </w:r>
              </w:smartTag>
            </w:smartTag>
            <w:r>
              <w:t xml:space="preserve"> convention unlikely to be implemented by industry at current costs. BFR plastics may not be able to be incinerated in all states to prevent emission of POPs… Alternatively, is lined landfill an acceptable option if BFR identification can be provided?</w:t>
            </w:r>
          </w:p>
          <w:p w:rsidR="00F852EF" w:rsidRDefault="00F852EF" w:rsidP="00162446">
            <w:pPr>
              <w:numPr>
                <w:ilvl w:val="0"/>
                <w:numId w:val="99"/>
              </w:numPr>
              <w:tabs>
                <w:tab w:val="clear" w:pos="720"/>
              </w:tabs>
              <w:spacing w:after="0"/>
              <w:jc w:val="left"/>
            </w:pPr>
            <w:r>
              <w:t xml:space="preserve">p18 – 7.5 – Targets - </w:t>
            </w:r>
            <w:r w:rsidRPr="00A53F69">
              <w:t>Without targets, no measurement of the efficiency in collections and recycling can be improved on.</w:t>
            </w:r>
            <w:r>
              <w:t xml:space="preserve"> </w:t>
            </w:r>
            <w:r w:rsidRPr="00A53F69">
              <w:t>While the target measures and detail currently is not ideal, aiming ‘too low’ or ‘no target’ will provide little benefit of the scheme.</w:t>
            </w:r>
          </w:p>
          <w:p w:rsidR="00F852EF" w:rsidRPr="00A53F69" w:rsidRDefault="00F852EF" w:rsidP="00162446">
            <w:pPr>
              <w:numPr>
                <w:ilvl w:val="0"/>
                <w:numId w:val="99"/>
              </w:numPr>
              <w:tabs>
                <w:tab w:val="clear" w:pos="720"/>
              </w:tabs>
              <w:spacing w:after="0"/>
              <w:jc w:val="left"/>
            </w:pPr>
            <w:r>
              <w:t xml:space="preserve">p19 – 7.7 </w:t>
            </w:r>
            <w:r w:rsidRPr="00CF77DB">
              <w:rPr>
                <w:i/>
              </w:rPr>
              <w:t>- …second and third party audits</w:t>
            </w:r>
            <w:r>
              <w:t xml:space="preserve"> - It is suggested, to maintain the integrity of the framework, to seek for the PSO to appoint and carry costs of audits of the processors through to the point of final disposition. As the PSO will be informed by recyclers, who will identify a suggested ‘compliant’ down stream processor, for the tractability of disposition, the cost to individual recyclers auditing independently the same potential downstream partners to the final disposition is ineffective. However, the PSO may ‘audit’ the material trial for multiple recyclers once this info is available as a one step process and maintain the economic integrity of the system most efficiently (individual recyclers will not know who is and who is not using the same down stream processors (Black box?), but will be informed by the PSO of any non-compliance.</w:t>
            </w:r>
            <w:bookmarkEnd w:id="112"/>
            <w:bookmarkEnd w:id="113"/>
          </w:p>
        </w:tc>
      </w:tr>
    </w:tbl>
    <w:p w:rsidR="00F852EF" w:rsidRDefault="00F852EF" w:rsidP="00285EA9">
      <w:pPr>
        <w:sectPr w:rsidR="00F852EF" w:rsidSect="00F852EF">
          <w:headerReference w:type="default" r:id="rId35"/>
          <w:footerReference w:type="default" r:id="rId36"/>
          <w:pgSz w:w="16839" w:h="11907" w:orient="landscape" w:code="9"/>
          <w:pgMar w:top="1701" w:right="851" w:bottom="1140" w:left="851" w:header="425" w:footer="425" w:gutter="0"/>
          <w:cols w:space="708"/>
          <w:docGrid w:linePitch="360"/>
        </w:sectPr>
      </w:pPr>
      <w:r>
        <w:lastRenderedPageBreak/>
        <w:br w:type="textWrapping" w:clear="all"/>
      </w:r>
    </w:p>
    <w:p w:rsidR="003E24B5" w:rsidRDefault="003E24B5" w:rsidP="00285EA9"/>
    <w:p w:rsidR="003E24B5" w:rsidRDefault="003E24B5" w:rsidP="003B541B"/>
    <w:p w:rsidR="003E24B5" w:rsidRDefault="003E24B5" w:rsidP="002B604B"/>
    <w:p w:rsidR="003E24B5" w:rsidRDefault="003E24B5" w:rsidP="002B604B"/>
    <w:p w:rsidR="003E24B5" w:rsidRDefault="003E24B5" w:rsidP="002B604B"/>
    <w:p w:rsidR="003E24B5" w:rsidRDefault="003E24B5" w:rsidP="002B604B"/>
    <w:p w:rsidR="003E24B5" w:rsidRDefault="003E24B5" w:rsidP="002B604B"/>
    <w:p w:rsidR="003E24B5" w:rsidRDefault="003E24B5" w:rsidP="002B604B"/>
    <w:p w:rsidR="003E24B5" w:rsidRDefault="003E24B5" w:rsidP="002B604B"/>
    <w:p w:rsidR="003E24B5" w:rsidRDefault="003E24B5" w:rsidP="002B604B"/>
    <w:p w:rsidR="003E24B5" w:rsidRDefault="003E24B5" w:rsidP="000057EA"/>
    <w:p w:rsidR="003E24B5" w:rsidRDefault="003E24B5" w:rsidP="002B604B"/>
    <w:p w:rsidR="003E24B5" w:rsidRPr="00CB42E3" w:rsidRDefault="003E24B5" w:rsidP="000057EA">
      <w:pPr>
        <w:pStyle w:val="KMHTitleAppendix"/>
        <w:rPr>
          <w:noProof/>
        </w:rPr>
      </w:pPr>
      <w:bookmarkStart w:id="114" w:name="_Toc238554243"/>
      <w:r w:rsidRPr="00CB42E3">
        <w:rPr>
          <w:noProof/>
        </w:rPr>
        <w:t xml:space="preserve">Appendix </w:t>
      </w:r>
      <w:bookmarkEnd w:id="114"/>
      <w:r>
        <w:rPr>
          <w:noProof/>
        </w:rPr>
        <w:t>B</w:t>
      </w:r>
    </w:p>
    <w:p w:rsidR="003E24B5" w:rsidRDefault="003E24B5" w:rsidP="000057EA">
      <w:pPr>
        <w:pStyle w:val="KMHsubtitleappendix"/>
      </w:pPr>
      <w:r>
        <w:t xml:space="preserve">DSEWPaC Risk Assessment Likelihood and Consequence Ratings </w:t>
      </w:r>
    </w:p>
    <w:p w:rsidR="003E24B5" w:rsidRDefault="003E24B5">
      <w:pPr>
        <w:spacing w:after="0"/>
        <w:jc w:val="left"/>
        <w:rPr>
          <w:color w:val="235F2A"/>
          <w:sz w:val="28"/>
          <w:szCs w:val="28"/>
        </w:rPr>
      </w:pPr>
      <w:r>
        <w:br w:type="page"/>
      </w:r>
    </w:p>
    <w:p w:rsidR="003E24B5" w:rsidRDefault="003E24B5" w:rsidP="0039445E">
      <w:pPr>
        <w:pStyle w:val="Caption"/>
      </w:pPr>
      <w:r>
        <w:lastRenderedPageBreak/>
        <w:t>Risk Likelihood Rating</w:t>
      </w:r>
    </w:p>
    <w:tbl>
      <w:tblPr>
        <w:tblW w:w="87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4"/>
        <w:gridCol w:w="6506"/>
      </w:tblGrid>
      <w:tr w:rsidR="003E24B5" w:rsidTr="00F852EF">
        <w:tc>
          <w:tcPr>
            <w:tcW w:w="2194" w:type="dxa"/>
            <w:shd w:val="clear" w:color="auto" w:fill="D9D9D9"/>
          </w:tcPr>
          <w:p w:rsidR="003E24B5" w:rsidRDefault="003E24B5" w:rsidP="0039445E">
            <w:pPr>
              <w:spacing w:before="60" w:after="60"/>
              <w:rPr>
                <w:rFonts w:ascii="Calibri" w:hAnsi="Calibri" w:cs="Arial"/>
                <w:b/>
                <w:bCs/>
              </w:rPr>
            </w:pPr>
            <w:r>
              <w:rPr>
                <w:rFonts w:ascii="Calibri" w:hAnsi="Calibri" w:cs="Arial"/>
                <w:b/>
                <w:bCs/>
              </w:rPr>
              <w:t>Almost certain</w:t>
            </w:r>
          </w:p>
        </w:tc>
        <w:tc>
          <w:tcPr>
            <w:tcW w:w="6506" w:type="dxa"/>
          </w:tcPr>
          <w:p w:rsidR="003E24B5" w:rsidRDefault="003E24B5" w:rsidP="0039445E">
            <w:pPr>
              <w:spacing w:before="60" w:after="60"/>
              <w:rPr>
                <w:rFonts w:ascii="Calibri" w:hAnsi="Calibri" w:cs="Arial"/>
                <w:iCs/>
              </w:rPr>
            </w:pPr>
            <w:r>
              <w:rPr>
                <w:rFonts w:ascii="Calibri" w:hAnsi="Calibri" w:cs="Arial"/>
                <w:iCs/>
              </w:rPr>
              <w:t>Is expected to occur in most circumstances</w:t>
            </w:r>
          </w:p>
        </w:tc>
      </w:tr>
      <w:tr w:rsidR="003E24B5" w:rsidTr="00F852EF">
        <w:tc>
          <w:tcPr>
            <w:tcW w:w="2194" w:type="dxa"/>
            <w:shd w:val="clear" w:color="auto" w:fill="D9D9D9"/>
          </w:tcPr>
          <w:p w:rsidR="003E24B5" w:rsidRDefault="003E24B5" w:rsidP="0039445E">
            <w:pPr>
              <w:spacing w:before="60" w:after="60"/>
              <w:rPr>
                <w:rFonts w:ascii="Calibri" w:hAnsi="Calibri" w:cs="Arial"/>
                <w:b/>
                <w:bCs/>
              </w:rPr>
            </w:pPr>
            <w:r>
              <w:rPr>
                <w:rFonts w:ascii="Calibri" w:hAnsi="Calibri" w:cs="Arial"/>
                <w:b/>
                <w:bCs/>
              </w:rPr>
              <w:t>Likely</w:t>
            </w:r>
          </w:p>
        </w:tc>
        <w:tc>
          <w:tcPr>
            <w:tcW w:w="6506" w:type="dxa"/>
          </w:tcPr>
          <w:p w:rsidR="003E24B5" w:rsidRDefault="003E24B5" w:rsidP="0039445E">
            <w:pPr>
              <w:spacing w:before="60" w:after="60"/>
              <w:rPr>
                <w:rFonts w:ascii="Calibri" w:hAnsi="Calibri" w:cs="Arial"/>
                <w:iCs/>
              </w:rPr>
            </w:pPr>
            <w:r>
              <w:rPr>
                <w:rFonts w:ascii="Calibri" w:hAnsi="Calibri" w:cs="Arial"/>
                <w:iCs/>
              </w:rPr>
              <w:t xml:space="preserve">Will probably occur in most circumstances </w:t>
            </w:r>
          </w:p>
        </w:tc>
      </w:tr>
      <w:tr w:rsidR="003E24B5" w:rsidTr="00F852EF">
        <w:tc>
          <w:tcPr>
            <w:tcW w:w="2194" w:type="dxa"/>
            <w:shd w:val="clear" w:color="auto" w:fill="D9D9D9"/>
          </w:tcPr>
          <w:p w:rsidR="003E24B5" w:rsidRDefault="003E24B5" w:rsidP="0039445E">
            <w:pPr>
              <w:spacing w:before="60" w:after="60"/>
              <w:rPr>
                <w:rFonts w:ascii="Calibri" w:hAnsi="Calibri" w:cs="Arial"/>
                <w:b/>
                <w:bCs/>
              </w:rPr>
            </w:pPr>
            <w:r>
              <w:rPr>
                <w:rFonts w:ascii="Calibri" w:hAnsi="Calibri" w:cs="Arial"/>
                <w:b/>
                <w:bCs/>
              </w:rPr>
              <w:t>Possible</w:t>
            </w:r>
          </w:p>
        </w:tc>
        <w:tc>
          <w:tcPr>
            <w:tcW w:w="6506" w:type="dxa"/>
          </w:tcPr>
          <w:p w:rsidR="003E24B5" w:rsidRDefault="003E24B5" w:rsidP="0039445E">
            <w:pPr>
              <w:spacing w:before="60" w:after="60"/>
              <w:rPr>
                <w:rFonts w:ascii="Calibri" w:hAnsi="Calibri" w:cs="Arial"/>
                <w:iCs/>
              </w:rPr>
            </w:pPr>
            <w:r>
              <w:rPr>
                <w:rFonts w:ascii="Calibri" w:hAnsi="Calibri" w:cs="Arial"/>
                <w:iCs/>
              </w:rPr>
              <w:t>Could occur at some time</w:t>
            </w:r>
          </w:p>
        </w:tc>
      </w:tr>
      <w:tr w:rsidR="003E24B5" w:rsidTr="00F852EF">
        <w:tc>
          <w:tcPr>
            <w:tcW w:w="2194" w:type="dxa"/>
            <w:shd w:val="clear" w:color="auto" w:fill="D9D9D9"/>
          </w:tcPr>
          <w:p w:rsidR="003E24B5" w:rsidRDefault="003E24B5" w:rsidP="0039445E">
            <w:pPr>
              <w:spacing w:before="60" w:after="60"/>
              <w:rPr>
                <w:rFonts w:ascii="Calibri" w:hAnsi="Calibri" w:cs="Arial"/>
                <w:b/>
                <w:bCs/>
              </w:rPr>
            </w:pPr>
            <w:r>
              <w:rPr>
                <w:rFonts w:ascii="Calibri" w:hAnsi="Calibri" w:cs="Arial"/>
                <w:b/>
                <w:bCs/>
              </w:rPr>
              <w:t xml:space="preserve">Unlikely </w:t>
            </w:r>
          </w:p>
        </w:tc>
        <w:tc>
          <w:tcPr>
            <w:tcW w:w="6506" w:type="dxa"/>
          </w:tcPr>
          <w:p w:rsidR="003E24B5" w:rsidRDefault="003E24B5" w:rsidP="0039445E">
            <w:pPr>
              <w:spacing w:before="60" w:after="60"/>
              <w:rPr>
                <w:rFonts w:ascii="Calibri" w:hAnsi="Calibri" w:cs="Arial"/>
                <w:iCs/>
              </w:rPr>
            </w:pPr>
            <w:r>
              <w:rPr>
                <w:rFonts w:ascii="Calibri" w:hAnsi="Calibri" w:cs="Arial"/>
                <w:iCs/>
              </w:rPr>
              <w:t>Not expected to occur</w:t>
            </w:r>
          </w:p>
        </w:tc>
      </w:tr>
      <w:tr w:rsidR="003E24B5" w:rsidTr="00F852EF">
        <w:tc>
          <w:tcPr>
            <w:tcW w:w="2194" w:type="dxa"/>
            <w:shd w:val="clear" w:color="auto" w:fill="D9D9D9"/>
          </w:tcPr>
          <w:p w:rsidR="003E24B5" w:rsidRDefault="003E24B5" w:rsidP="0039445E">
            <w:pPr>
              <w:spacing w:before="60" w:after="60"/>
              <w:rPr>
                <w:rFonts w:ascii="Calibri" w:hAnsi="Calibri" w:cs="Arial"/>
                <w:b/>
                <w:bCs/>
              </w:rPr>
            </w:pPr>
            <w:r>
              <w:rPr>
                <w:rFonts w:ascii="Calibri" w:hAnsi="Calibri" w:cs="Arial"/>
                <w:b/>
                <w:bCs/>
              </w:rPr>
              <w:t>Rare</w:t>
            </w:r>
          </w:p>
        </w:tc>
        <w:tc>
          <w:tcPr>
            <w:tcW w:w="6506" w:type="dxa"/>
          </w:tcPr>
          <w:p w:rsidR="003E24B5" w:rsidRDefault="003E24B5" w:rsidP="0039445E">
            <w:pPr>
              <w:spacing w:before="60" w:after="60"/>
              <w:rPr>
                <w:rFonts w:ascii="Calibri" w:hAnsi="Calibri" w:cs="Arial"/>
                <w:iCs/>
              </w:rPr>
            </w:pPr>
            <w:r>
              <w:rPr>
                <w:rFonts w:ascii="Calibri" w:hAnsi="Calibri" w:cs="Arial"/>
                <w:iCs/>
              </w:rPr>
              <w:t>May occur in exceptional circumstances only</w:t>
            </w:r>
          </w:p>
        </w:tc>
      </w:tr>
    </w:tbl>
    <w:p w:rsidR="003E24B5" w:rsidRDefault="003E24B5" w:rsidP="0039445E">
      <w:pPr>
        <w:jc w:val="left"/>
      </w:pPr>
    </w:p>
    <w:p w:rsidR="00F852EF" w:rsidRDefault="00F852EF" w:rsidP="0039445E">
      <w:pPr>
        <w:jc w:val="left"/>
      </w:pPr>
    </w:p>
    <w:p w:rsidR="00F852EF" w:rsidRDefault="00F852EF" w:rsidP="00F852EF">
      <w:pPr>
        <w:pStyle w:val="Caption"/>
      </w:pPr>
      <w:r>
        <w:t>Risk Consequence Rating</w:t>
      </w:r>
    </w:p>
    <w:tbl>
      <w:tblPr>
        <w:tblW w:w="8647" w:type="dxa"/>
        <w:tblInd w:w="-102" w:type="dxa"/>
        <w:tblCellMar>
          <w:left w:w="0" w:type="dxa"/>
          <w:right w:w="0" w:type="dxa"/>
        </w:tblCellMar>
        <w:tblLook w:val="04A0"/>
      </w:tblPr>
      <w:tblGrid>
        <w:gridCol w:w="1080"/>
        <w:gridCol w:w="7567"/>
      </w:tblGrid>
      <w:tr w:rsidR="00F852EF" w:rsidTr="00F852EF">
        <w:trPr>
          <w:trHeight w:val="330"/>
        </w:trPr>
        <w:tc>
          <w:tcPr>
            <w:tcW w:w="1080" w:type="dxa"/>
            <w:tcBorders>
              <w:top w:val="single" w:sz="8" w:space="0" w:color="auto"/>
              <w:left w:val="single" w:sz="8" w:space="0" w:color="auto"/>
              <w:bottom w:val="single" w:sz="8" w:space="0" w:color="auto"/>
              <w:right w:val="single" w:sz="8" w:space="0" w:color="auto"/>
            </w:tcBorders>
            <w:shd w:val="clear" w:color="auto" w:fill="CCCCCC"/>
            <w:tcMar>
              <w:top w:w="0" w:type="dxa"/>
              <w:left w:w="40" w:type="dxa"/>
              <w:bottom w:w="0" w:type="dxa"/>
              <w:right w:w="40" w:type="dxa"/>
            </w:tcMar>
            <w:vAlign w:val="center"/>
            <w:hideMark/>
          </w:tcPr>
          <w:p w:rsidR="00F852EF" w:rsidRDefault="00F852EF">
            <w:pPr>
              <w:keepNext/>
              <w:ind w:left="17"/>
              <w:jc w:val="center"/>
              <w:rPr>
                <w:rFonts w:cs="Arial"/>
                <w:b/>
                <w:bCs/>
                <w:snapToGrid w:val="0"/>
                <w:color w:val="000000"/>
                <w:sz w:val="16"/>
                <w:szCs w:val="16"/>
              </w:rPr>
            </w:pPr>
            <w:r>
              <w:rPr>
                <w:rFonts w:cs="Arial"/>
                <w:b/>
                <w:bCs/>
                <w:snapToGrid w:val="0"/>
                <w:color w:val="000000"/>
                <w:sz w:val="16"/>
                <w:szCs w:val="16"/>
              </w:rPr>
              <w:t>Description</w:t>
            </w:r>
          </w:p>
        </w:tc>
        <w:tc>
          <w:tcPr>
            <w:tcW w:w="7567" w:type="dxa"/>
            <w:tcBorders>
              <w:top w:val="single" w:sz="8" w:space="0" w:color="auto"/>
              <w:left w:val="nil"/>
              <w:bottom w:val="single" w:sz="8" w:space="0" w:color="auto"/>
              <w:right w:val="single" w:sz="8" w:space="0" w:color="auto"/>
            </w:tcBorders>
            <w:shd w:val="clear" w:color="auto" w:fill="CCCCCC"/>
            <w:tcMar>
              <w:top w:w="0" w:type="dxa"/>
              <w:left w:w="40" w:type="dxa"/>
              <w:bottom w:w="0" w:type="dxa"/>
              <w:right w:w="40" w:type="dxa"/>
            </w:tcMar>
            <w:vAlign w:val="center"/>
            <w:hideMark/>
          </w:tcPr>
          <w:p w:rsidR="00F852EF" w:rsidRDefault="00F852EF">
            <w:pPr>
              <w:keepNext/>
              <w:ind w:left="17"/>
              <w:jc w:val="center"/>
              <w:rPr>
                <w:rFonts w:cs="Arial"/>
                <w:b/>
                <w:bCs/>
                <w:snapToGrid w:val="0"/>
                <w:color w:val="000000"/>
                <w:sz w:val="16"/>
                <w:szCs w:val="16"/>
              </w:rPr>
            </w:pPr>
            <w:r>
              <w:rPr>
                <w:rFonts w:cs="Arial"/>
                <w:b/>
                <w:bCs/>
                <w:snapToGrid w:val="0"/>
                <w:color w:val="000000"/>
                <w:sz w:val="16"/>
                <w:szCs w:val="16"/>
              </w:rPr>
              <w:t>Consequence of Occurrence</w:t>
            </w:r>
          </w:p>
        </w:tc>
      </w:tr>
      <w:tr w:rsidR="00F852EF" w:rsidTr="00F852EF">
        <w:trPr>
          <w:trHeight w:val="330"/>
        </w:trPr>
        <w:tc>
          <w:tcPr>
            <w:tcW w:w="108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F852EF" w:rsidRDefault="00F852EF">
            <w:pPr>
              <w:keepNext/>
              <w:ind w:left="17"/>
              <w:jc w:val="center"/>
              <w:rPr>
                <w:rFonts w:cs="Arial"/>
                <w:snapToGrid w:val="0"/>
                <w:color w:val="000000"/>
                <w:sz w:val="16"/>
                <w:szCs w:val="16"/>
              </w:rPr>
            </w:pPr>
            <w:r>
              <w:rPr>
                <w:rFonts w:cs="Arial"/>
                <w:snapToGrid w:val="0"/>
                <w:color w:val="000000"/>
                <w:sz w:val="16"/>
                <w:szCs w:val="16"/>
              </w:rPr>
              <w:t>Critical</w:t>
            </w:r>
          </w:p>
        </w:tc>
        <w:tc>
          <w:tcPr>
            <w:tcW w:w="7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F852EF" w:rsidRDefault="00F852EF">
            <w:pPr>
              <w:keepNext/>
              <w:ind w:left="17"/>
              <w:rPr>
                <w:rFonts w:cs="Arial"/>
                <w:snapToGrid w:val="0"/>
                <w:color w:val="000000"/>
                <w:sz w:val="16"/>
                <w:szCs w:val="16"/>
                <w:lang w:val="en-US"/>
              </w:rPr>
            </w:pPr>
            <w:r>
              <w:rPr>
                <w:rFonts w:cs="Arial"/>
                <w:snapToGrid w:val="0"/>
                <w:color w:val="000000"/>
                <w:sz w:val="16"/>
                <w:szCs w:val="16"/>
                <w:lang w:val="en-US"/>
              </w:rPr>
              <w:t xml:space="preserve">The consequences would gravely threaten major </w:t>
            </w:r>
            <w:r>
              <w:rPr>
                <w:rFonts w:cs="Arial"/>
                <w:snapToGrid w:val="0"/>
                <w:sz w:val="16"/>
                <w:szCs w:val="16"/>
                <w:lang w:val="en-US"/>
              </w:rPr>
              <w:t>project or organisational objectives. Financial implications would have extreme consequences for the organisation.</w:t>
            </w:r>
            <w:r>
              <w:rPr>
                <w:rFonts w:cs="Arial"/>
                <w:snapToGrid w:val="0"/>
                <w:color w:val="000000"/>
                <w:sz w:val="16"/>
                <w:szCs w:val="16"/>
                <w:lang w:val="en-US"/>
              </w:rPr>
              <w:t xml:space="preserve"> </w:t>
            </w:r>
          </w:p>
        </w:tc>
      </w:tr>
      <w:tr w:rsidR="00F852EF" w:rsidTr="00F852EF">
        <w:trPr>
          <w:trHeight w:val="330"/>
        </w:trPr>
        <w:tc>
          <w:tcPr>
            <w:tcW w:w="108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F852EF" w:rsidRDefault="00F852EF">
            <w:pPr>
              <w:keepNext/>
              <w:ind w:left="17"/>
              <w:jc w:val="center"/>
              <w:rPr>
                <w:rFonts w:cs="Arial"/>
                <w:snapToGrid w:val="0"/>
                <w:color w:val="000000"/>
                <w:sz w:val="16"/>
                <w:szCs w:val="16"/>
              </w:rPr>
            </w:pPr>
            <w:r>
              <w:rPr>
                <w:rFonts w:cs="Arial"/>
                <w:snapToGrid w:val="0"/>
                <w:color w:val="000000"/>
                <w:sz w:val="16"/>
                <w:szCs w:val="16"/>
              </w:rPr>
              <w:t>Major</w:t>
            </w:r>
          </w:p>
        </w:tc>
        <w:tc>
          <w:tcPr>
            <w:tcW w:w="7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F852EF" w:rsidRDefault="00F852EF">
            <w:pPr>
              <w:keepNext/>
              <w:ind w:left="17"/>
              <w:rPr>
                <w:rFonts w:cs="Arial"/>
                <w:snapToGrid w:val="0"/>
                <w:color w:val="000000"/>
                <w:sz w:val="16"/>
                <w:szCs w:val="16"/>
                <w:lang w:val="en-US"/>
              </w:rPr>
            </w:pPr>
            <w:r>
              <w:rPr>
                <w:rFonts w:cs="Arial"/>
                <w:snapToGrid w:val="0"/>
                <w:color w:val="000000"/>
                <w:sz w:val="16"/>
                <w:szCs w:val="16"/>
                <w:lang w:val="en-US"/>
              </w:rPr>
              <w:t>The consequences would threaten the continued effective functioning of the department.  Financial implications would have very high consequences for the department.</w:t>
            </w:r>
          </w:p>
        </w:tc>
      </w:tr>
      <w:tr w:rsidR="00F852EF" w:rsidTr="00F852EF">
        <w:trPr>
          <w:trHeight w:val="330"/>
        </w:trPr>
        <w:tc>
          <w:tcPr>
            <w:tcW w:w="108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F852EF" w:rsidRDefault="00F852EF">
            <w:pPr>
              <w:keepNext/>
              <w:ind w:left="17"/>
              <w:jc w:val="center"/>
              <w:rPr>
                <w:rFonts w:cs="Arial"/>
                <w:snapToGrid w:val="0"/>
                <w:color w:val="000000"/>
                <w:sz w:val="16"/>
                <w:szCs w:val="16"/>
              </w:rPr>
            </w:pPr>
            <w:r>
              <w:rPr>
                <w:rFonts w:cs="Arial"/>
                <w:snapToGrid w:val="0"/>
                <w:color w:val="000000"/>
                <w:sz w:val="16"/>
                <w:szCs w:val="16"/>
              </w:rPr>
              <w:t>Moderate</w:t>
            </w:r>
          </w:p>
        </w:tc>
        <w:tc>
          <w:tcPr>
            <w:tcW w:w="7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F852EF" w:rsidRDefault="00F852EF">
            <w:pPr>
              <w:keepNext/>
              <w:ind w:left="17"/>
              <w:rPr>
                <w:rFonts w:cs="Arial"/>
                <w:snapToGrid w:val="0"/>
                <w:color w:val="000000"/>
                <w:sz w:val="16"/>
                <w:szCs w:val="16"/>
                <w:lang w:val="en-US"/>
              </w:rPr>
            </w:pPr>
            <w:r>
              <w:rPr>
                <w:rFonts w:cs="Arial"/>
                <w:snapToGrid w:val="0"/>
                <w:color w:val="000000"/>
                <w:sz w:val="16"/>
                <w:szCs w:val="16"/>
                <w:lang w:val="en-US"/>
              </w:rPr>
              <w:t xml:space="preserve">The consequences would not threaten the project or organisation, but would mean that the </w:t>
            </w:r>
            <w:r>
              <w:rPr>
                <w:rFonts w:cs="Arial"/>
                <w:snapToGrid w:val="0"/>
                <w:sz w:val="16"/>
                <w:szCs w:val="16"/>
                <w:lang w:val="en-US"/>
              </w:rPr>
              <w:t>project or organisation</w:t>
            </w:r>
            <w:r>
              <w:rPr>
                <w:rFonts w:cs="Arial"/>
                <w:snapToGrid w:val="0"/>
                <w:color w:val="000000"/>
                <w:sz w:val="16"/>
                <w:szCs w:val="16"/>
                <w:lang w:val="en-US"/>
              </w:rPr>
              <w:t xml:space="preserve"> could be subject to significant review and/or operational change.  Financial implications would have medium consequences for the department.</w:t>
            </w:r>
          </w:p>
        </w:tc>
      </w:tr>
      <w:tr w:rsidR="00F852EF" w:rsidTr="00F852EF">
        <w:trPr>
          <w:trHeight w:val="330"/>
        </w:trPr>
        <w:tc>
          <w:tcPr>
            <w:tcW w:w="108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F852EF" w:rsidRDefault="00F852EF">
            <w:pPr>
              <w:keepNext/>
              <w:ind w:left="17"/>
              <w:jc w:val="center"/>
              <w:rPr>
                <w:rFonts w:cs="Arial"/>
                <w:snapToGrid w:val="0"/>
                <w:color w:val="000000"/>
                <w:sz w:val="16"/>
                <w:szCs w:val="16"/>
              </w:rPr>
            </w:pPr>
            <w:r>
              <w:rPr>
                <w:rFonts w:cs="Arial"/>
                <w:snapToGrid w:val="0"/>
                <w:color w:val="000000"/>
                <w:sz w:val="16"/>
                <w:szCs w:val="16"/>
              </w:rPr>
              <w:t>Minor</w:t>
            </w:r>
          </w:p>
        </w:tc>
        <w:tc>
          <w:tcPr>
            <w:tcW w:w="7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F852EF" w:rsidRDefault="00F852EF">
            <w:pPr>
              <w:keepNext/>
              <w:ind w:left="17"/>
              <w:rPr>
                <w:rFonts w:cs="Arial"/>
                <w:snapToGrid w:val="0"/>
                <w:color w:val="000000"/>
                <w:sz w:val="16"/>
                <w:szCs w:val="16"/>
                <w:lang w:val="en-US"/>
              </w:rPr>
            </w:pPr>
            <w:r>
              <w:rPr>
                <w:rFonts w:cs="Arial"/>
                <w:snapToGrid w:val="0"/>
                <w:color w:val="000000"/>
                <w:sz w:val="16"/>
                <w:szCs w:val="16"/>
                <w:lang w:val="en-US"/>
              </w:rPr>
              <w:t xml:space="preserve">The consequences would only threaten the efficiency or effectiveness of some aspects of the project </w:t>
            </w:r>
            <w:r>
              <w:rPr>
                <w:rFonts w:cs="Arial"/>
                <w:snapToGrid w:val="0"/>
                <w:sz w:val="16"/>
                <w:szCs w:val="16"/>
                <w:lang w:val="en-US"/>
              </w:rPr>
              <w:t>or</w:t>
            </w:r>
            <w:r>
              <w:rPr>
                <w:rFonts w:cs="Arial"/>
                <w:snapToGrid w:val="0"/>
                <w:color w:val="0000FF"/>
                <w:sz w:val="16"/>
                <w:szCs w:val="16"/>
                <w:lang w:val="en-US"/>
              </w:rPr>
              <w:t xml:space="preserve"> </w:t>
            </w:r>
            <w:r>
              <w:rPr>
                <w:rFonts w:cs="Arial"/>
                <w:snapToGrid w:val="0"/>
                <w:sz w:val="16"/>
                <w:szCs w:val="16"/>
                <w:lang w:val="en-US"/>
              </w:rPr>
              <w:t>organisation</w:t>
            </w:r>
            <w:r>
              <w:rPr>
                <w:rFonts w:cs="Arial"/>
                <w:snapToGrid w:val="0"/>
                <w:color w:val="000000"/>
                <w:sz w:val="16"/>
                <w:szCs w:val="16"/>
                <w:lang w:val="en-US"/>
              </w:rPr>
              <w:t xml:space="preserve">, but could be dealt with internally.  Any financial implication would be of low consequence. </w:t>
            </w:r>
          </w:p>
        </w:tc>
      </w:tr>
      <w:tr w:rsidR="00F852EF" w:rsidTr="00F852EF">
        <w:trPr>
          <w:trHeight w:val="330"/>
        </w:trPr>
        <w:tc>
          <w:tcPr>
            <w:tcW w:w="108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F852EF" w:rsidRDefault="00F852EF">
            <w:pPr>
              <w:keepNext/>
              <w:ind w:left="17"/>
              <w:jc w:val="center"/>
              <w:rPr>
                <w:rFonts w:cs="Arial"/>
                <w:snapToGrid w:val="0"/>
                <w:color w:val="000000"/>
                <w:sz w:val="16"/>
                <w:szCs w:val="16"/>
              </w:rPr>
            </w:pPr>
            <w:r>
              <w:rPr>
                <w:rFonts w:cs="Arial"/>
                <w:snapToGrid w:val="0"/>
                <w:color w:val="000000"/>
                <w:sz w:val="16"/>
                <w:szCs w:val="16"/>
              </w:rPr>
              <w:t>Insignificant</w:t>
            </w:r>
          </w:p>
        </w:tc>
        <w:tc>
          <w:tcPr>
            <w:tcW w:w="7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F852EF" w:rsidRDefault="00F852EF">
            <w:pPr>
              <w:keepNext/>
              <w:ind w:left="17"/>
              <w:rPr>
                <w:rFonts w:cs="Arial"/>
                <w:snapToGrid w:val="0"/>
                <w:color w:val="000000"/>
                <w:sz w:val="16"/>
                <w:szCs w:val="16"/>
                <w:lang w:val="en-US"/>
              </w:rPr>
            </w:pPr>
            <w:r>
              <w:rPr>
                <w:rFonts w:cs="Arial"/>
                <w:snapToGrid w:val="0"/>
                <w:color w:val="000000"/>
                <w:sz w:val="16"/>
                <w:szCs w:val="16"/>
                <w:lang w:val="en-US"/>
              </w:rPr>
              <w:t>The consequences could easily be dealt with by routine operations.  Any financial implication would be of negligible impact.</w:t>
            </w:r>
          </w:p>
        </w:tc>
      </w:tr>
    </w:tbl>
    <w:p w:rsidR="00F852EF" w:rsidRDefault="00F852EF" w:rsidP="00F852EF">
      <w:pPr>
        <w:pStyle w:val="Caption"/>
      </w:pPr>
    </w:p>
    <w:p w:rsidR="00F852EF" w:rsidRDefault="00F852EF" w:rsidP="00F852EF">
      <w:pPr>
        <w:pStyle w:val="Caption"/>
      </w:pPr>
    </w:p>
    <w:p w:rsidR="00F852EF" w:rsidRDefault="00F852EF" w:rsidP="00F852EF">
      <w:pPr>
        <w:pStyle w:val="Caption"/>
      </w:pPr>
      <w:r>
        <w:t xml:space="preserve">Risk </w:t>
      </w:r>
      <w:r w:rsidR="004519E6">
        <w:t>Analysis Matrix</w:t>
      </w:r>
    </w:p>
    <w:tbl>
      <w:tblPr>
        <w:tblW w:w="8331" w:type="dxa"/>
        <w:tblInd w:w="-102" w:type="dxa"/>
        <w:tblCellMar>
          <w:left w:w="0" w:type="dxa"/>
          <w:right w:w="0" w:type="dxa"/>
        </w:tblCellMar>
        <w:tblLook w:val="04A0"/>
      </w:tblPr>
      <w:tblGrid>
        <w:gridCol w:w="699"/>
        <w:gridCol w:w="800"/>
        <w:gridCol w:w="482"/>
        <w:gridCol w:w="498"/>
        <w:gridCol w:w="405"/>
        <w:gridCol w:w="1192"/>
        <w:gridCol w:w="121"/>
        <w:gridCol w:w="401"/>
        <w:gridCol w:w="923"/>
        <w:gridCol w:w="645"/>
        <w:gridCol w:w="552"/>
        <w:gridCol w:w="119"/>
        <w:gridCol w:w="1428"/>
        <w:gridCol w:w="66"/>
      </w:tblGrid>
      <w:tr w:rsidR="00F852EF" w:rsidTr="00F852EF">
        <w:trPr>
          <w:gridAfter w:val="1"/>
          <w:wAfter w:w="66" w:type="dxa"/>
          <w:trHeight w:val="360"/>
        </w:trPr>
        <w:tc>
          <w:tcPr>
            <w:tcW w:w="1499" w:type="dxa"/>
            <w:gridSpan w:val="2"/>
            <w:vMerge w:val="restart"/>
            <w:tcBorders>
              <w:top w:val="single" w:sz="8" w:space="0" w:color="auto"/>
              <w:left w:val="single" w:sz="8" w:space="0" w:color="auto"/>
              <w:bottom w:val="single" w:sz="8" w:space="0" w:color="auto"/>
              <w:right w:val="single" w:sz="8" w:space="0" w:color="auto"/>
            </w:tcBorders>
            <w:shd w:val="clear" w:color="auto" w:fill="C0C0C0"/>
            <w:tcMar>
              <w:top w:w="0" w:type="dxa"/>
              <w:left w:w="40" w:type="dxa"/>
              <w:bottom w:w="0" w:type="dxa"/>
              <w:right w:w="40" w:type="dxa"/>
            </w:tcMar>
            <w:vAlign w:val="center"/>
            <w:hideMark/>
          </w:tcPr>
          <w:p w:rsidR="00F852EF" w:rsidRDefault="00F852EF">
            <w:pPr>
              <w:jc w:val="center"/>
              <w:rPr>
                <w:rFonts w:cs="Arial"/>
                <w:b/>
                <w:bCs/>
                <w:color w:val="000000"/>
                <w:sz w:val="16"/>
                <w:szCs w:val="16"/>
              </w:rPr>
            </w:pPr>
            <w:r>
              <w:rPr>
                <w:rFonts w:cs="Arial"/>
                <w:b/>
                <w:bCs/>
                <w:color w:val="000000"/>
                <w:sz w:val="16"/>
                <w:szCs w:val="16"/>
              </w:rPr>
              <w:t>LIKELIHOOD</w:t>
            </w:r>
          </w:p>
        </w:tc>
        <w:tc>
          <w:tcPr>
            <w:tcW w:w="6766" w:type="dxa"/>
            <w:gridSpan w:val="11"/>
            <w:tcBorders>
              <w:top w:val="single" w:sz="8" w:space="0" w:color="auto"/>
              <w:left w:val="nil"/>
              <w:bottom w:val="single" w:sz="8" w:space="0" w:color="auto"/>
              <w:right w:val="single" w:sz="8" w:space="0" w:color="auto"/>
            </w:tcBorders>
            <w:shd w:val="clear" w:color="auto" w:fill="C0C0C0"/>
            <w:tcMar>
              <w:top w:w="0" w:type="dxa"/>
              <w:left w:w="40" w:type="dxa"/>
              <w:bottom w:w="0" w:type="dxa"/>
              <w:right w:w="40" w:type="dxa"/>
            </w:tcMar>
            <w:vAlign w:val="center"/>
            <w:hideMark/>
          </w:tcPr>
          <w:p w:rsidR="00F852EF" w:rsidRDefault="00F852EF">
            <w:pPr>
              <w:jc w:val="center"/>
              <w:rPr>
                <w:rFonts w:cs="Arial"/>
                <w:b/>
                <w:bCs/>
                <w:color w:val="000000"/>
                <w:sz w:val="16"/>
                <w:szCs w:val="16"/>
              </w:rPr>
            </w:pPr>
            <w:r>
              <w:rPr>
                <w:rFonts w:cs="Arial"/>
                <w:b/>
                <w:bCs/>
                <w:snapToGrid w:val="0"/>
                <w:color w:val="000000"/>
                <w:sz w:val="16"/>
                <w:szCs w:val="16"/>
              </w:rPr>
              <w:t>CONSEQUENCE</w:t>
            </w:r>
          </w:p>
        </w:tc>
      </w:tr>
      <w:tr w:rsidR="00F852EF" w:rsidTr="00F852EF">
        <w:trPr>
          <w:trHeight w:val="345"/>
        </w:trPr>
        <w:tc>
          <w:tcPr>
            <w:tcW w:w="1499" w:type="dxa"/>
            <w:gridSpan w:val="2"/>
            <w:vMerge/>
            <w:tcBorders>
              <w:top w:val="single" w:sz="8" w:space="0" w:color="auto"/>
              <w:left w:val="single" w:sz="8" w:space="0" w:color="auto"/>
              <w:bottom w:val="single" w:sz="8" w:space="0" w:color="auto"/>
              <w:right w:val="single" w:sz="8" w:space="0" w:color="auto"/>
            </w:tcBorders>
            <w:vAlign w:val="center"/>
            <w:hideMark/>
          </w:tcPr>
          <w:p w:rsidR="00F852EF" w:rsidRDefault="00F852EF">
            <w:pPr>
              <w:rPr>
                <w:rFonts w:cs="Arial"/>
                <w:b/>
                <w:bCs/>
                <w:color w:val="000000"/>
                <w:sz w:val="16"/>
                <w:szCs w:val="16"/>
              </w:rPr>
            </w:pPr>
          </w:p>
        </w:tc>
        <w:tc>
          <w:tcPr>
            <w:tcW w:w="1385" w:type="dxa"/>
            <w:gridSpan w:val="3"/>
            <w:tcBorders>
              <w:top w:val="nil"/>
              <w:left w:val="nil"/>
              <w:bottom w:val="single" w:sz="8" w:space="0" w:color="auto"/>
              <w:right w:val="single" w:sz="8" w:space="0" w:color="auto"/>
            </w:tcBorders>
            <w:shd w:val="clear" w:color="auto" w:fill="C0C0C0"/>
            <w:tcMar>
              <w:top w:w="0" w:type="dxa"/>
              <w:left w:w="40" w:type="dxa"/>
              <w:bottom w:w="0" w:type="dxa"/>
              <w:right w:w="40" w:type="dxa"/>
            </w:tcMar>
            <w:vAlign w:val="center"/>
            <w:hideMark/>
          </w:tcPr>
          <w:p w:rsidR="00F852EF" w:rsidRDefault="00F852EF">
            <w:pPr>
              <w:jc w:val="center"/>
              <w:rPr>
                <w:rFonts w:cs="Arial"/>
                <w:b/>
                <w:bCs/>
                <w:color w:val="000000"/>
                <w:sz w:val="16"/>
                <w:szCs w:val="16"/>
              </w:rPr>
            </w:pPr>
            <w:r>
              <w:rPr>
                <w:rFonts w:cs="Arial"/>
                <w:b/>
                <w:bCs/>
                <w:snapToGrid w:val="0"/>
                <w:color w:val="000000"/>
                <w:sz w:val="16"/>
                <w:szCs w:val="16"/>
              </w:rPr>
              <w:t>Insignificant</w:t>
            </w:r>
          </w:p>
        </w:tc>
        <w:tc>
          <w:tcPr>
            <w:tcW w:w="1313" w:type="dxa"/>
            <w:gridSpan w:val="2"/>
            <w:tcBorders>
              <w:top w:val="nil"/>
              <w:left w:val="nil"/>
              <w:bottom w:val="single" w:sz="8" w:space="0" w:color="auto"/>
              <w:right w:val="single" w:sz="8" w:space="0" w:color="auto"/>
            </w:tcBorders>
            <w:shd w:val="clear" w:color="auto" w:fill="C0C0C0"/>
            <w:tcMar>
              <w:top w:w="0" w:type="dxa"/>
              <w:left w:w="40" w:type="dxa"/>
              <w:bottom w:w="0" w:type="dxa"/>
              <w:right w:w="40" w:type="dxa"/>
            </w:tcMar>
            <w:vAlign w:val="center"/>
            <w:hideMark/>
          </w:tcPr>
          <w:p w:rsidR="00F852EF" w:rsidRDefault="00F852EF">
            <w:pPr>
              <w:jc w:val="center"/>
              <w:rPr>
                <w:rFonts w:cs="Arial"/>
                <w:b/>
                <w:bCs/>
                <w:color w:val="000000"/>
                <w:sz w:val="16"/>
                <w:szCs w:val="16"/>
              </w:rPr>
            </w:pPr>
            <w:r>
              <w:rPr>
                <w:rFonts w:cs="Arial"/>
                <w:b/>
                <w:bCs/>
                <w:snapToGrid w:val="0"/>
                <w:color w:val="000000"/>
                <w:sz w:val="16"/>
                <w:szCs w:val="16"/>
              </w:rPr>
              <w:t>Minor</w:t>
            </w:r>
          </w:p>
        </w:tc>
        <w:tc>
          <w:tcPr>
            <w:tcW w:w="1324" w:type="dxa"/>
            <w:gridSpan w:val="2"/>
            <w:tcBorders>
              <w:top w:val="nil"/>
              <w:left w:val="nil"/>
              <w:bottom w:val="single" w:sz="8" w:space="0" w:color="auto"/>
              <w:right w:val="single" w:sz="8" w:space="0" w:color="auto"/>
            </w:tcBorders>
            <w:shd w:val="clear" w:color="auto" w:fill="C0C0C0"/>
            <w:tcMar>
              <w:top w:w="0" w:type="dxa"/>
              <w:left w:w="40" w:type="dxa"/>
              <w:bottom w:w="0" w:type="dxa"/>
              <w:right w:w="40" w:type="dxa"/>
            </w:tcMar>
            <w:vAlign w:val="center"/>
            <w:hideMark/>
          </w:tcPr>
          <w:p w:rsidR="00F852EF" w:rsidRDefault="00F852EF">
            <w:pPr>
              <w:jc w:val="center"/>
              <w:rPr>
                <w:rFonts w:cs="Arial"/>
                <w:b/>
                <w:bCs/>
                <w:color w:val="000000"/>
                <w:sz w:val="16"/>
                <w:szCs w:val="16"/>
              </w:rPr>
            </w:pPr>
            <w:r>
              <w:rPr>
                <w:rFonts w:cs="Arial"/>
                <w:b/>
                <w:bCs/>
                <w:snapToGrid w:val="0"/>
                <w:color w:val="000000"/>
                <w:sz w:val="16"/>
                <w:szCs w:val="16"/>
              </w:rPr>
              <w:t>Moderate</w:t>
            </w:r>
          </w:p>
        </w:tc>
        <w:tc>
          <w:tcPr>
            <w:tcW w:w="1316" w:type="dxa"/>
            <w:gridSpan w:val="3"/>
            <w:tcBorders>
              <w:top w:val="nil"/>
              <w:left w:val="nil"/>
              <w:bottom w:val="single" w:sz="8" w:space="0" w:color="auto"/>
              <w:right w:val="single" w:sz="8" w:space="0" w:color="auto"/>
            </w:tcBorders>
            <w:shd w:val="clear" w:color="auto" w:fill="C0C0C0"/>
            <w:tcMar>
              <w:top w:w="0" w:type="dxa"/>
              <w:left w:w="40" w:type="dxa"/>
              <w:bottom w:w="0" w:type="dxa"/>
              <w:right w:w="40" w:type="dxa"/>
            </w:tcMar>
            <w:vAlign w:val="center"/>
            <w:hideMark/>
          </w:tcPr>
          <w:p w:rsidR="00F852EF" w:rsidRDefault="00F852EF">
            <w:pPr>
              <w:jc w:val="center"/>
              <w:rPr>
                <w:rFonts w:cs="Arial"/>
                <w:b/>
                <w:bCs/>
                <w:color w:val="000000"/>
                <w:sz w:val="16"/>
                <w:szCs w:val="16"/>
              </w:rPr>
            </w:pPr>
            <w:r>
              <w:rPr>
                <w:rFonts w:cs="Arial"/>
                <w:b/>
                <w:bCs/>
                <w:snapToGrid w:val="0"/>
                <w:color w:val="000000"/>
                <w:sz w:val="16"/>
                <w:szCs w:val="16"/>
              </w:rPr>
              <w:t>Major</w:t>
            </w:r>
          </w:p>
        </w:tc>
        <w:tc>
          <w:tcPr>
            <w:tcW w:w="1428" w:type="dxa"/>
            <w:tcBorders>
              <w:top w:val="nil"/>
              <w:left w:val="nil"/>
              <w:bottom w:val="single" w:sz="8" w:space="0" w:color="auto"/>
              <w:right w:val="single" w:sz="8" w:space="0" w:color="auto"/>
            </w:tcBorders>
            <w:shd w:val="clear" w:color="auto" w:fill="C0C0C0"/>
            <w:tcMar>
              <w:top w:w="0" w:type="dxa"/>
              <w:left w:w="40" w:type="dxa"/>
              <w:bottom w:w="0" w:type="dxa"/>
              <w:right w:w="40" w:type="dxa"/>
            </w:tcMar>
            <w:vAlign w:val="center"/>
            <w:hideMark/>
          </w:tcPr>
          <w:p w:rsidR="00F852EF" w:rsidRDefault="00F852EF">
            <w:pPr>
              <w:jc w:val="center"/>
              <w:rPr>
                <w:rFonts w:cs="Arial"/>
                <w:b/>
                <w:bCs/>
                <w:color w:val="000000"/>
                <w:sz w:val="16"/>
                <w:szCs w:val="16"/>
              </w:rPr>
            </w:pPr>
            <w:r>
              <w:rPr>
                <w:rFonts w:cs="Arial"/>
                <w:b/>
                <w:bCs/>
                <w:snapToGrid w:val="0"/>
                <w:color w:val="000000"/>
                <w:sz w:val="16"/>
                <w:szCs w:val="16"/>
              </w:rPr>
              <w:t>Critical</w:t>
            </w:r>
          </w:p>
        </w:tc>
        <w:tc>
          <w:tcPr>
            <w:tcW w:w="66" w:type="dxa"/>
            <w:vAlign w:val="center"/>
            <w:hideMark/>
          </w:tcPr>
          <w:p w:rsidR="00F852EF" w:rsidRDefault="00F852EF">
            <w:pPr>
              <w:rPr>
                <w:rFonts w:cs="Arial"/>
                <w:sz w:val="22"/>
              </w:rPr>
            </w:pPr>
            <w:r>
              <w:rPr>
                <w:rFonts w:cs="Arial"/>
              </w:rPr>
              <w:t> </w:t>
            </w:r>
          </w:p>
        </w:tc>
      </w:tr>
      <w:tr w:rsidR="00F852EF" w:rsidTr="00F852EF">
        <w:trPr>
          <w:trHeight w:val="330"/>
        </w:trPr>
        <w:tc>
          <w:tcPr>
            <w:tcW w:w="1499" w:type="dxa"/>
            <w:gridSpan w:val="2"/>
            <w:tcBorders>
              <w:top w:val="nil"/>
              <w:left w:val="single" w:sz="8" w:space="0" w:color="auto"/>
              <w:bottom w:val="single" w:sz="8" w:space="0" w:color="auto"/>
              <w:right w:val="single" w:sz="8" w:space="0" w:color="auto"/>
            </w:tcBorders>
            <w:shd w:val="clear" w:color="auto" w:fill="C0C0C0"/>
            <w:tcMar>
              <w:top w:w="0" w:type="dxa"/>
              <w:left w:w="40" w:type="dxa"/>
              <w:bottom w:w="0" w:type="dxa"/>
              <w:right w:w="40" w:type="dxa"/>
            </w:tcMar>
            <w:vAlign w:val="center"/>
            <w:hideMark/>
          </w:tcPr>
          <w:p w:rsidR="00F852EF" w:rsidRDefault="00F852EF">
            <w:pPr>
              <w:jc w:val="center"/>
              <w:rPr>
                <w:rFonts w:cs="Arial"/>
                <w:b/>
                <w:bCs/>
                <w:color w:val="000000"/>
                <w:sz w:val="16"/>
                <w:szCs w:val="16"/>
              </w:rPr>
            </w:pPr>
            <w:r>
              <w:rPr>
                <w:rFonts w:cs="Arial"/>
                <w:b/>
                <w:bCs/>
                <w:snapToGrid w:val="0"/>
                <w:color w:val="000000"/>
                <w:sz w:val="16"/>
                <w:szCs w:val="16"/>
              </w:rPr>
              <w:t>Almost certain</w:t>
            </w:r>
          </w:p>
        </w:tc>
        <w:tc>
          <w:tcPr>
            <w:tcW w:w="1385" w:type="dxa"/>
            <w:gridSpan w:val="3"/>
            <w:tcBorders>
              <w:top w:val="nil"/>
              <w:left w:val="nil"/>
              <w:bottom w:val="single" w:sz="8" w:space="0" w:color="auto"/>
              <w:right w:val="single" w:sz="8" w:space="0" w:color="auto"/>
            </w:tcBorders>
            <w:shd w:val="clear" w:color="auto" w:fill="FFFF00"/>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Medium</w:t>
            </w:r>
          </w:p>
        </w:tc>
        <w:tc>
          <w:tcPr>
            <w:tcW w:w="1313" w:type="dxa"/>
            <w:gridSpan w:val="2"/>
            <w:tcBorders>
              <w:top w:val="nil"/>
              <w:left w:val="nil"/>
              <w:bottom w:val="single" w:sz="8" w:space="0" w:color="auto"/>
              <w:right w:val="single" w:sz="8" w:space="0" w:color="auto"/>
            </w:tcBorders>
            <w:shd w:val="clear" w:color="auto" w:fill="FF9900"/>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High</w:t>
            </w:r>
          </w:p>
        </w:tc>
        <w:tc>
          <w:tcPr>
            <w:tcW w:w="1324" w:type="dxa"/>
            <w:gridSpan w:val="2"/>
            <w:tcBorders>
              <w:top w:val="nil"/>
              <w:left w:val="nil"/>
              <w:bottom w:val="single" w:sz="8" w:space="0" w:color="auto"/>
              <w:right w:val="single" w:sz="8" w:space="0" w:color="auto"/>
            </w:tcBorders>
            <w:shd w:val="clear" w:color="auto" w:fill="FF0000"/>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Extreme</w:t>
            </w:r>
          </w:p>
        </w:tc>
        <w:tc>
          <w:tcPr>
            <w:tcW w:w="1316" w:type="dxa"/>
            <w:gridSpan w:val="3"/>
            <w:tcBorders>
              <w:top w:val="nil"/>
              <w:left w:val="nil"/>
              <w:bottom w:val="single" w:sz="8" w:space="0" w:color="auto"/>
              <w:right w:val="single" w:sz="8" w:space="0" w:color="auto"/>
            </w:tcBorders>
            <w:shd w:val="clear" w:color="auto" w:fill="FF0000"/>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Extreme</w:t>
            </w:r>
          </w:p>
        </w:tc>
        <w:tc>
          <w:tcPr>
            <w:tcW w:w="1428" w:type="dxa"/>
            <w:tcBorders>
              <w:top w:val="nil"/>
              <w:left w:val="nil"/>
              <w:bottom w:val="single" w:sz="8" w:space="0" w:color="auto"/>
              <w:right w:val="single" w:sz="8" w:space="0" w:color="auto"/>
            </w:tcBorders>
            <w:shd w:val="clear" w:color="auto" w:fill="FF0000"/>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Extreme</w:t>
            </w:r>
          </w:p>
        </w:tc>
        <w:tc>
          <w:tcPr>
            <w:tcW w:w="66" w:type="dxa"/>
            <w:vAlign w:val="center"/>
            <w:hideMark/>
          </w:tcPr>
          <w:p w:rsidR="00F852EF" w:rsidRDefault="00F852EF">
            <w:pPr>
              <w:rPr>
                <w:rFonts w:cs="Arial"/>
                <w:sz w:val="22"/>
              </w:rPr>
            </w:pPr>
            <w:r>
              <w:rPr>
                <w:rFonts w:cs="Arial"/>
              </w:rPr>
              <w:t> </w:t>
            </w:r>
          </w:p>
        </w:tc>
      </w:tr>
      <w:tr w:rsidR="00F852EF" w:rsidTr="00F852EF">
        <w:trPr>
          <w:trHeight w:val="330"/>
        </w:trPr>
        <w:tc>
          <w:tcPr>
            <w:tcW w:w="1499" w:type="dxa"/>
            <w:gridSpan w:val="2"/>
            <w:tcBorders>
              <w:top w:val="nil"/>
              <w:left w:val="single" w:sz="8" w:space="0" w:color="auto"/>
              <w:bottom w:val="single" w:sz="8" w:space="0" w:color="auto"/>
              <w:right w:val="single" w:sz="8" w:space="0" w:color="auto"/>
            </w:tcBorders>
            <w:shd w:val="clear" w:color="auto" w:fill="C0C0C0"/>
            <w:tcMar>
              <w:top w:w="0" w:type="dxa"/>
              <w:left w:w="40" w:type="dxa"/>
              <w:bottom w:w="0" w:type="dxa"/>
              <w:right w:w="40" w:type="dxa"/>
            </w:tcMar>
            <w:vAlign w:val="center"/>
            <w:hideMark/>
          </w:tcPr>
          <w:p w:rsidR="00F852EF" w:rsidRDefault="00F852EF">
            <w:pPr>
              <w:jc w:val="center"/>
              <w:rPr>
                <w:rFonts w:cs="Arial"/>
                <w:b/>
                <w:bCs/>
                <w:color w:val="000000"/>
                <w:sz w:val="16"/>
                <w:szCs w:val="16"/>
              </w:rPr>
            </w:pPr>
            <w:r>
              <w:rPr>
                <w:rFonts w:cs="Arial"/>
                <w:b/>
                <w:bCs/>
                <w:snapToGrid w:val="0"/>
                <w:color w:val="000000"/>
                <w:sz w:val="16"/>
                <w:szCs w:val="16"/>
              </w:rPr>
              <w:t>Likely</w:t>
            </w:r>
          </w:p>
        </w:tc>
        <w:tc>
          <w:tcPr>
            <w:tcW w:w="1385" w:type="dxa"/>
            <w:gridSpan w:val="3"/>
            <w:tcBorders>
              <w:top w:val="nil"/>
              <w:left w:val="nil"/>
              <w:bottom w:val="single" w:sz="8" w:space="0" w:color="auto"/>
              <w:right w:val="single" w:sz="8" w:space="0" w:color="auto"/>
            </w:tcBorders>
            <w:shd w:val="clear" w:color="auto" w:fill="FFFF99"/>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Low</w:t>
            </w:r>
          </w:p>
        </w:tc>
        <w:tc>
          <w:tcPr>
            <w:tcW w:w="1313" w:type="dxa"/>
            <w:gridSpan w:val="2"/>
            <w:tcBorders>
              <w:top w:val="nil"/>
              <w:left w:val="nil"/>
              <w:bottom w:val="single" w:sz="8" w:space="0" w:color="auto"/>
              <w:right w:val="single" w:sz="8" w:space="0" w:color="auto"/>
            </w:tcBorders>
            <w:shd w:val="clear" w:color="auto" w:fill="FFFF00"/>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Medium</w:t>
            </w:r>
          </w:p>
        </w:tc>
        <w:tc>
          <w:tcPr>
            <w:tcW w:w="1324" w:type="dxa"/>
            <w:gridSpan w:val="2"/>
            <w:tcBorders>
              <w:top w:val="nil"/>
              <w:left w:val="nil"/>
              <w:bottom w:val="single" w:sz="8" w:space="0" w:color="auto"/>
              <w:right w:val="single" w:sz="8" w:space="0" w:color="auto"/>
            </w:tcBorders>
            <w:shd w:val="clear" w:color="auto" w:fill="FF9900"/>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High</w:t>
            </w:r>
          </w:p>
        </w:tc>
        <w:tc>
          <w:tcPr>
            <w:tcW w:w="1316" w:type="dxa"/>
            <w:gridSpan w:val="3"/>
            <w:tcBorders>
              <w:top w:val="nil"/>
              <w:left w:val="nil"/>
              <w:bottom w:val="single" w:sz="8" w:space="0" w:color="auto"/>
              <w:right w:val="single" w:sz="8" w:space="0" w:color="auto"/>
            </w:tcBorders>
            <w:shd w:val="clear" w:color="auto" w:fill="FF0000"/>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Extreme</w:t>
            </w:r>
          </w:p>
        </w:tc>
        <w:tc>
          <w:tcPr>
            <w:tcW w:w="1428" w:type="dxa"/>
            <w:tcBorders>
              <w:top w:val="nil"/>
              <w:left w:val="nil"/>
              <w:bottom w:val="single" w:sz="8" w:space="0" w:color="auto"/>
              <w:right w:val="single" w:sz="8" w:space="0" w:color="auto"/>
            </w:tcBorders>
            <w:shd w:val="clear" w:color="auto" w:fill="FF0000"/>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Extreme</w:t>
            </w:r>
          </w:p>
        </w:tc>
        <w:tc>
          <w:tcPr>
            <w:tcW w:w="66" w:type="dxa"/>
            <w:vAlign w:val="center"/>
            <w:hideMark/>
          </w:tcPr>
          <w:p w:rsidR="00F852EF" w:rsidRDefault="00F852EF">
            <w:pPr>
              <w:rPr>
                <w:rFonts w:cs="Arial"/>
                <w:sz w:val="22"/>
              </w:rPr>
            </w:pPr>
            <w:r>
              <w:rPr>
                <w:rFonts w:cs="Arial"/>
              </w:rPr>
              <w:t> </w:t>
            </w:r>
          </w:p>
        </w:tc>
      </w:tr>
      <w:tr w:rsidR="00F852EF" w:rsidTr="00F852EF">
        <w:trPr>
          <w:trHeight w:val="315"/>
        </w:trPr>
        <w:tc>
          <w:tcPr>
            <w:tcW w:w="1499" w:type="dxa"/>
            <w:gridSpan w:val="2"/>
            <w:tcBorders>
              <w:top w:val="nil"/>
              <w:left w:val="single" w:sz="8" w:space="0" w:color="auto"/>
              <w:bottom w:val="single" w:sz="8" w:space="0" w:color="auto"/>
              <w:right w:val="single" w:sz="8" w:space="0" w:color="auto"/>
            </w:tcBorders>
            <w:shd w:val="clear" w:color="auto" w:fill="C0C0C0"/>
            <w:tcMar>
              <w:top w:w="0" w:type="dxa"/>
              <w:left w:w="40" w:type="dxa"/>
              <w:bottom w:w="0" w:type="dxa"/>
              <w:right w:w="40" w:type="dxa"/>
            </w:tcMar>
            <w:vAlign w:val="center"/>
            <w:hideMark/>
          </w:tcPr>
          <w:p w:rsidR="00F852EF" w:rsidRDefault="00F852EF">
            <w:pPr>
              <w:jc w:val="center"/>
              <w:rPr>
                <w:rFonts w:cs="Arial"/>
                <w:b/>
                <w:bCs/>
                <w:color w:val="000000"/>
                <w:sz w:val="16"/>
                <w:szCs w:val="16"/>
              </w:rPr>
            </w:pPr>
            <w:r>
              <w:rPr>
                <w:rFonts w:cs="Arial"/>
                <w:b/>
                <w:bCs/>
                <w:snapToGrid w:val="0"/>
                <w:color w:val="000000"/>
                <w:sz w:val="16"/>
                <w:szCs w:val="16"/>
              </w:rPr>
              <w:t>Possible</w:t>
            </w:r>
          </w:p>
        </w:tc>
        <w:tc>
          <w:tcPr>
            <w:tcW w:w="1385" w:type="dxa"/>
            <w:gridSpan w:val="3"/>
            <w:tcBorders>
              <w:top w:val="nil"/>
              <w:left w:val="nil"/>
              <w:bottom w:val="single" w:sz="8" w:space="0" w:color="auto"/>
              <w:right w:val="single" w:sz="8" w:space="0" w:color="auto"/>
            </w:tcBorders>
            <w:shd w:val="clear" w:color="auto" w:fill="FFFF99"/>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Low</w:t>
            </w:r>
          </w:p>
        </w:tc>
        <w:tc>
          <w:tcPr>
            <w:tcW w:w="1313" w:type="dxa"/>
            <w:gridSpan w:val="2"/>
            <w:tcBorders>
              <w:top w:val="nil"/>
              <w:left w:val="nil"/>
              <w:bottom w:val="single" w:sz="8" w:space="0" w:color="auto"/>
              <w:right w:val="single" w:sz="8" w:space="0" w:color="auto"/>
            </w:tcBorders>
            <w:shd w:val="clear" w:color="auto" w:fill="FFFF99"/>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Low</w:t>
            </w:r>
          </w:p>
        </w:tc>
        <w:tc>
          <w:tcPr>
            <w:tcW w:w="1324" w:type="dxa"/>
            <w:gridSpan w:val="2"/>
            <w:tcBorders>
              <w:top w:val="nil"/>
              <w:left w:val="nil"/>
              <w:bottom w:val="single" w:sz="8" w:space="0" w:color="auto"/>
              <w:right w:val="single" w:sz="8" w:space="0" w:color="auto"/>
            </w:tcBorders>
            <w:shd w:val="clear" w:color="auto" w:fill="FFFF00"/>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Medium</w:t>
            </w:r>
          </w:p>
        </w:tc>
        <w:tc>
          <w:tcPr>
            <w:tcW w:w="1316" w:type="dxa"/>
            <w:gridSpan w:val="3"/>
            <w:tcBorders>
              <w:top w:val="nil"/>
              <w:left w:val="nil"/>
              <w:bottom w:val="single" w:sz="8" w:space="0" w:color="auto"/>
              <w:right w:val="single" w:sz="8" w:space="0" w:color="auto"/>
            </w:tcBorders>
            <w:shd w:val="clear" w:color="auto" w:fill="FF9900"/>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High</w:t>
            </w:r>
          </w:p>
        </w:tc>
        <w:tc>
          <w:tcPr>
            <w:tcW w:w="1428" w:type="dxa"/>
            <w:tcBorders>
              <w:top w:val="nil"/>
              <w:left w:val="nil"/>
              <w:bottom w:val="single" w:sz="8" w:space="0" w:color="auto"/>
              <w:right w:val="single" w:sz="8" w:space="0" w:color="auto"/>
            </w:tcBorders>
            <w:shd w:val="clear" w:color="auto" w:fill="FF0000"/>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Extreme</w:t>
            </w:r>
          </w:p>
        </w:tc>
        <w:tc>
          <w:tcPr>
            <w:tcW w:w="66" w:type="dxa"/>
            <w:vAlign w:val="center"/>
            <w:hideMark/>
          </w:tcPr>
          <w:p w:rsidR="00F852EF" w:rsidRDefault="00F852EF">
            <w:pPr>
              <w:rPr>
                <w:rFonts w:cs="Arial"/>
                <w:sz w:val="22"/>
              </w:rPr>
            </w:pPr>
            <w:r>
              <w:rPr>
                <w:rFonts w:cs="Arial"/>
              </w:rPr>
              <w:t> </w:t>
            </w:r>
          </w:p>
        </w:tc>
      </w:tr>
      <w:tr w:rsidR="00F852EF" w:rsidTr="00F852EF">
        <w:trPr>
          <w:trHeight w:val="285"/>
        </w:trPr>
        <w:tc>
          <w:tcPr>
            <w:tcW w:w="1499" w:type="dxa"/>
            <w:gridSpan w:val="2"/>
            <w:tcBorders>
              <w:top w:val="nil"/>
              <w:left w:val="single" w:sz="8" w:space="0" w:color="auto"/>
              <w:bottom w:val="single" w:sz="8" w:space="0" w:color="auto"/>
              <w:right w:val="single" w:sz="8" w:space="0" w:color="auto"/>
            </w:tcBorders>
            <w:shd w:val="clear" w:color="auto" w:fill="C0C0C0"/>
            <w:tcMar>
              <w:top w:w="0" w:type="dxa"/>
              <w:left w:w="40" w:type="dxa"/>
              <w:bottom w:w="0" w:type="dxa"/>
              <w:right w:w="40" w:type="dxa"/>
            </w:tcMar>
            <w:vAlign w:val="center"/>
            <w:hideMark/>
          </w:tcPr>
          <w:p w:rsidR="00F852EF" w:rsidRDefault="00F852EF">
            <w:pPr>
              <w:jc w:val="center"/>
              <w:rPr>
                <w:rFonts w:cs="Arial"/>
                <w:b/>
                <w:bCs/>
                <w:color w:val="000000"/>
                <w:sz w:val="16"/>
                <w:szCs w:val="16"/>
              </w:rPr>
            </w:pPr>
            <w:r>
              <w:rPr>
                <w:rFonts w:cs="Arial"/>
                <w:b/>
                <w:bCs/>
                <w:snapToGrid w:val="0"/>
                <w:color w:val="000000"/>
                <w:sz w:val="16"/>
                <w:szCs w:val="16"/>
              </w:rPr>
              <w:t>Unlikely</w:t>
            </w:r>
          </w:p>
        </w:tc>
        <w:tc>
          <w:tcPr>
            <w:tcW w:w="1385" w:type="dxa"/>
            <w:gridSpan w:val="3"/>
            <w:tcBorders>
              <w:top w:val="nil"/>
              <w:left w:val="nil"/>
              <w:bottom w:val="single" w:sz="8" w:space="0" w:color="auto"/>
              <w:right w:val="single" w:sz="8" w:space="0" w:color="auto"/>
            </w:tcBorders>
            <w:shd w:val="clear" w:color="auto" w:fill="FFFF99"/>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Low</w:t>
            </w:r>
          </w:p>
        </w:tc>
        <w:tc>
          <w:tcPr>
            <w:tcW w:w="1313" w:type="dxa"/>
            <w:gridSpan w:val="2"/>
            <w:tcBorders>
              <w:top w:val="nil"/>
              <w:left w:val="nil"/>
              <w:bottom w:val="single" w:sz="8" w:space="0" w:color="auto"/>
              <w:right w:val="single" w:sz="8" w:space="0" w:color="auto"/>
            </w:tcBorders>
            <w:shd w:val="clear" w:color="auto" w:fill="FFFF99"/>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Low</w:t>
            </w:r>
          </w:p>
        </w:tc>
        <w:tc>
          <w:tcPr>
            <w:tcW w:w="1324" w:type="dxa"/>
            <w:gridSpan w:val="2"/>
            <w:tcBorders>
              <w:top w:val="nil"/>
              <w:left w:val="nil"/>
              <w:bottom w:val="single" w:sz="8" w:space="0" w:color="auto"/>
              <w:right w:val="single" w:sz="8" w:space="0" w:color="auto"/>
            </w:tcBorders>
            <w:shd w:val="clear" w:color="auto" w:fill="FFFF99"/>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Low</w:t>
            </w:r>
          </w:p>
        </w:tc>
        <w:tc>
          <w:tcPr>
            <w:tcW w:w="1316" w:type="dxa"/>
            <w:gridSpan w:val="3"/>
            <w:tcBorders>
              <w:top w:val="nil"/>
              <w:left w:val="nil"/>
              <w:bottom w:val="single" w:sz="8" w:space="0" w:color="auto"/>
              <w:right w:val="single" w:sz="8" w:space="0" w:color="auto"/>
            </w:tcBorders>
            <w:shd w:val="clear" w:color="auto" w:fill="FFFF00"/>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Medium</w:t>
            </w:r>
          </w:p>
        </w:tc>
        <w:tc>
          <w:tcPr>
            <w:tcW w:w="1428" w:type="dxa"/>
            <w:tcBorders>
              <w:top w:val="nil"/>
              <w:left w:val="nil"/>
              <w:bottom w:val="single" w:sz="8" w:space="0" w:color="auto"/>
              <w:right w:val="single" w:sz="8" w:space="0" w:color="auto"/>
            </w:tcBorders>
            <w:shd w:val="clear" w:color="auto" w:fill="FF9900"/>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High</w:t>
            </w:r>
          </w:p>
        </w:tc>
        <w:tc>
          <w:tcPr>
            <w:tcW w:w="66" w:type="dxa"/>
            <w:vAlign w:val="center"/>
            <w:hideMark/>
          </w:tcPr>
          <w:p w:rsidR="00F852EF" w:rsidRDefault="00F852EF">
            <w:pPr>
              <w:rPr>
                <w:rFonts w:cs="Arial"/>
                <w:sz w:val="22"/>
              </w:rPr>
            </w:pPr>
            <w:r>
              <w:rPr>
                <w:rFonts w:cs="Arial"/>
              </w:rPr>
              <w:t> </w:t>
            </w:r>
          </w:p>
        </w:tc>
      </w:tr>
      <w:tr w:rsidR="00F852EF" w:rsidTr="00F852EF">
        <w:trPr>
          <w:trHeight w:val="345"/>
        </w:trPr>
        <w:tc>
          <w:tcPr>
            <w:tcW w:w="1499" w:type="dxa"/>
            <w:gridSpan w:val="2"/>
            <w:tcBorders>
              <w:top w:val="nil"/>
              <w:left w:val="single" w:sz="8" w:space="0" w:color="auto"/>
              <w:bottom w:val="single" w:sz="8" w:space="0" w:color="auto"/>
              <w:right w:val="single" w:sz="8" w:space="0" w:color="auto"/>
            </w:tcBorders>
            <w:shd w:val="clear" w:color="auto" w:fill="C0C0C0"/>
            <w:tcMar>
              <w:top w:w="0" w:type="dxa"/>
              <w:left w:w="40" w:type="dxa"/>
              <w:bottom w:w="0" w:type="dxa"/>
              <w:right w:w="40" w:type="dxa"/>
            </w:tcMar>
            <w:vAlign w:val="center"/>
            <w:hideMark/>
          </w:tcPr>
          <w:p w:rsidR="00F852EF" w:rsidRDefault="00F852EF">
            <w:pPr>
              <w:jc w:val="center"/>
              <w:rPr>
                <w:rFonts w:cs="Arial"/>
                <w:b/>
                <w:bCs/>
                <w:color w:val="000000"/>
                <w:sz w:val="16"/>
                <w:szCs w:val="16"/>
              </w:rPr>
            </w:pPr>
            <w:r>
              <w:rPr>
                <w:rFonts w:cs="Arial"/>
                <w:b/>
                <w:bCs/>
                <w:snapToGrid w:val="0"/>
                <w:color w:val="000000"/>
                <w:sz w:val="16"/>
                <w:szCs w:val="16"/>
              </w:rPr>
              <w:t>Rare</w:t>
            </w:r>
          </w:p>
        </w:tc>
        <w:tc>
          <w:tcPr>
            <w:tcW w:w="1385" w:type="dxa"/>
            <w:gridSpan w:val="3"/>
            <w:tcBorders>
              <w:top w:val="nil"/>
              <w:left w:val="nil"/>
              <w:bottom w:val="single" w:sz="8" w:space="0" w:color="auto"/>
              <w:right w:val="single" w:sz="8" w:space="0" w:color="auto"/>
            </w:tcBorders>
            <w:shd w:val="clear" w:color="auto" w:fill="FFFF99"/>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Low</w:t>
            </w:r>
          </w:p>
        </w:tc>
        <w:tc>
          <w:tcPr>
            <w:tcW w:w="1313" w:type="dxa"/>
            <w:gridSpan w:val="2"/>
            <w:tcBorders>
              <w:top w:val="nil"/>
              <w:left w:val="nil"/>
              <w:bottom w:val="single" w:sz="8" w:space="0" w:color="auto"/>
              <w:right w:val="single" w:sz="8" w:space="0" w:color="auto"/>
            </w:tcBorders>
            <w:shd w:val="clear" w:color="auto" w:fill="FFFF99"/>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Low</w:t>
            </w:r>
          </w:p>
        </w:tc>
        <w:tc>
          <w:tcPr>
            <w:tcW w:w="1324" w:type="dxa"/>
            <w:gridSpan w:val="2"/>
            <w:tcBorders>
              <w:top w:val="nil"/>
              <w:left w:val="nil"/>
              <w:bottom w:val="single" w:sz="8" w:space="0" w:color="auto"/>
              <w:right w:val="single" w:sz="8" w:space="0" w:color="auto"/>
            </w:tcBorders>
            <w:shd w:val="clear" w:color="auto" w:fill="FFFF99"/>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Low</w:t>
            </w:r>
          </w:p>
        </w:tc>
        <w:tc>
          <w:tcPr>
            <w:tcW w:w="1316" w:type="dxa"/>
            <w:gridSpan w:val="3"/>
            <w:tcBorders>
              <w:top w:val="nil"/>
              <w:left w:val="nil"/>
              <w:bottom w:val="single" w:sz="8" w:space="0" w:color="auto"/>
              <w:right w:val="single" w:sz="8" w:space="0" w:color="auto"/>
            </w:tcBorders>
            <w:shd w:val="clear" w:color="auto" w:fill="FFFF99"/>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Low</w:t>
            </w:r>
          </w:p>
        </w:tc>
        <w:tc>
          <w:tcPr>
            <w:tcW w:w="1428" w:type="dxa"/>
            <w:tcBorders>
              <w:top w:val="nil"/>
              <w:left w:val="nil"/>
              <w:bottom w:val="single" w:sz="8" w:space="0" w:color="auto"/>
              <w:right w:val="single" w:sz="8" w:space="0" w:color="auto"/>
            </w:tcBorders>
            <w:shd w:val="clear" w:color="auto" w:fill="FFFF00"/>
            <w:tcMar>
              <w:top w:w="0" w:type="dxa"/>
              <w:left w:w="40" w:type="dxa"/>
              <w:bottom w:w="0" w:type="dxa"/>
              <w:right w:w="40" w:type="dxa"/>
            </w:tcMar>
            <w:vAlign w:val="center"/>
            <w:hideMark/>
          </w:tcPr>
          <w:p w:rsidR="00F852EF" w:rsidRDefault="00F852EF">
            <w:pPr>
              <w:jc w:val="center"/>
              <w:rPr>
                <w:rFonts w:cs="Arial"/>
                <w:color w:val="000000"/>
                <w:sz w:val="16"/>
                <w:szCs w:val="16"/>
              </w:rPr>
            </w:pPr>
            <w:r>
              <w:rPr>
                <w:rFonts w:cs="Arial"/>
                <w:snapToGrid w:val="0"/>
                <w:sz w:val="16"/>
                <w:szCs w:val="16"/>
              </w:rPr>
              <w:t>Medium</w:t>
            </w:r>
          </w:p>
        </w:tc>
        <w:tc>
          <w:tcPr>
            <w:tcW w:w="66" w:type="dxa"/>
            <w:vAlign w:val="center"/>
            <w:hideMark/>
          </w:tcPr>
          <w:p w:rsidR="00F852EF" w:rsidRDefault="00F852EF">
            <w:pPr>
              <w:rPr>
                <w:rFonts w:cs="Arial"/>
                <w:sz w:val="22"/>
              </w:rPr>
            </w:pPr>
            <w:r>
              <w:rPr>
                <w:rFonts w:cs="Arial"/>
              </w:rPr>
              <w:t> </w:t>
            </w:r>
          </w:p>
        </w:tc>
      </w:tr>
      <w:tr w:rsidR="00F852EF" w:rsidTr="00F852EF">
        <w:trPr>
          <w:gridAfter w:val="1"/>
          <w:wAfter w:w="66" w:type="dxa"/>
        </w:trPr>
        <w:tc>
          <w:tcPr>
            <w:tcW w:w="699" w:type="dxa"/>
            <w:tcBorders>
              <w:top w:val="single" w:sz="8" w:space="0" w:color="auto"/>
              <w:left w:val="single" w:sz="8" w:space="0" w:color="auto"/>
              <w:bottom w:val="single" w:sz="8" w:space="0" w:color="auto"/>
              <w:right w:val="single" w:sz="8" w:space="0" w:color="auto"/>
            </w:tcBorders>
            <w:shd w:val="clear" w:color="auto" w:fill="FF0000"/>
            <w:tcMar>
              <w:top w:w="0" w:type="dxa"/>
              <w:left w:w="108" w:type="dxa"/>
              <w:bottom w:w="0" w:type="dxa"/>
              <w:right w:w="108" w:type="dxa"/>
            </w:tcMar>
            <w:vAlign w:val="center"/>
          </w:tcPr>
          <w:p w:rsidR="00F852EF" w:rsidRDefault="00F852EF">
            <w:pPr>
              <w:jc w:val="center"/>
              <w:rPr>
                <w:rFonts w:cs="Arial"/>
                <w:snapToGrid w:val="0"/>
                <w:sz w:val="16"/>
                <w:szCs w:val="16"/>
              </w:rPr>
            </w:pPr>
          </w:p>
        </w:tc>
        <w:tc>
          <w:tcPr>
            <w:tcW w:w="128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852EF" w:rsidRDefault="00F852EF">
            <w:pPr>
              <w:jc w:val="center"/>
              <w:rPr>
                <w:rFonts w:cs="Arial"/>
                <w:snapToGrid w:val="0"/>
                <w:sz w:val="16"/>
                <w:szCs w:val="16"/>
              </w:rPr>
            </w:pPr>
            <w:r>
              <w:rPr>
                <w:rFonts w:cs="Arial"/>
                <w:snapToGrid w:val="0"/>
                <w:sz w:val="16"/>
                <w:szCs w:val="16"/>
              </w:rPr>
              <w:t>Extreme</w:t>
            </w:r>
          </w:p>
        </w:tc>
        <w:tc>
          <w:tcPr>
            <w:tcW w:w="498" w:type="dxa"/>
            <w:tcBorders>
              <w:top w:val="single" w:sz="8" w:space="0" w:color="auto"/>
              <w:left w:val="nil"/>
              <w:bottom w:val="single" w:sz="8" w:space="0" w:color="auto"/>
              <w:right w:val="single" w:sz="8" w:space="0" w:color="auto"/>
            </w:tcBorders>
            <w:shd w:val="clear" w:color="auto" w:fill="FF9900"/>
            <w:tcMar>
              <w:top w:w="0" w:type="dxa"/>
              <w:left w:w="108" w:type="dxa"/>
              <w:bottom w:w="0" w:type="dxa"/>
              <w:right w:w="108" w:type="dxa"/>
            </w:tcMar>
            <w:vAlign w:val="center"/>
          </w:tcPr>
          <w:p w:rsidR="00F852EF" w:rsidRDefault="00F852EF">
            <w:pPr>
              <w:jc w:val="center"/>
              <w:rPr>
                <w:rFonts w:cs="Arial"/>
                <w:snapToGrid w:val="0"/>
                <w:sz w:val="16"/>
                <w:szCs w:val="16"/>
              </w:rPr>
            </w:pPr>
          </w:p>
        </w:tc>
        <w:tc>
          <w:tcPr>
            <w:tcW w:w="159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852EF" w:rsidRDefault="00F852EF">
            <w:pPr>
              <w:jc w:val="center"/>
              <w:rPr>
                <w:rFonts w:cs="Arial"/>
                <w:snapToGrid w:val="0"/>
                <w:sz w:val="16"/>
                <w:szCs w:val="16"/>
              </w:rPr>
            </w:pPr>
            <w:r>
              <w:rPr>
                <w:rFonts w:cs="Arial"/>
                <w:snapToGrid w:val="0"/>
                <w:sz w:val="16"/>
                <w:szCs w:val="16"/>
              </w:rPr>
              <w:t>High</w:t>
            </w:r>
          </w:p>
        </w:tc>
        <w:tc>
          <w:tcPr>
            <w:tcW w:w="522" w:type="dxa"/>
            <w:gridSpan w:val="2"/>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tcPr>
          <w:p w:rsidR="00F852EF" w:rsidRDefault="00F852EF">
            <w:pPr>
              <w:jc w:val="center"/>
              <w:rPr>
                <w:rFonts w:cs="Arial"/>
                <w:snapToGrid w:val="0"/>
                <w:sz w:val="16"/>
                <w:szCs w:val="16"/>
              </w:rPr>
            </w:pPr>
          </w:p>
        </w:tc>
        <w:tc>
          <w:tcPr>
            <w:tcW w:w="156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852EF" w:rsidRDefault="00F852EF">
            <w:pPr>
              <w:jc w:val="center"/>
              <w:rPr>
                <w:rFonts w:cs="Arial"/>
                <w:snapToGrid w:val="0"/>
                <w:sz w:val="16"/>
                <w:szCs w:val="16"/>
              </w:rPr>
            </w:pPr>
            <w:r>
              <w:rPr>
                <w:rFonts w:cs="Arial"/>
                <w:snapToGrid w:val="0"/>
                <w:sz w:val="16"/>
                <w:szCs w:val="16"/>
              </w:rPr>
              <w:t>Medium</w:t>
            </w:r>
          </w:p>
        </w:tc>
        <w:tc>
          <w:tcPr>
            <w:tcW w:w="552"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F852EF" w:rsidRDefault="00F852EF">
            <w:pPr>
              <w:jc w:val="center"/>
              <w:rPr>
                <w:rFonts w:cs="Arial"/>
                <w:snapToGrid w:val="0"/>
                <w:sz w:val="16"/>
                <w:szCs w:val="16"/>
              </w:rPr>
            </w:pPr>
          </w:p>
        </w:tc>
        <w:tc>
          <w:tcPr>
            <w:tcW w:w="154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852EF" w:rsidRDefault="00F852EF">
            <w:pPr>
              <w:jc w:val="center"/>
              <w:rPr>
                <w:rFonts w:cs="Arial"/>
                <w:snapToGrid w:val="0"/>
                <w:sz w:val="16"/>
                <w:szCs w:val="16"/>
              </w:rPr>
            </w:pPr>
            <w:r>
              <w:rPr>
                <w:rFonts w:cs="Arial"/>
                <w:snapToGrid w:val="0"/>
                <w:sz w:val="16"/>
                <w:szCs w:val="16"/>
              </w:rPr>
              <w:t>Low</w:t>
            </w:r>
          </w:p>
        </w:tc>
      </w:tr>
    </w:tbl>
    <w:p w:rsidR="003E24B5" w:rsidRDefault="003E24B5" w:rsidP="0039445E">
      <w:pPr>
        <w:pStyle w:val="KMHsubtitleappendix"/>
        <w:jc w:val="left"/>
        <w:sectPr w:rsidR="003E24B5" w:rsidSect="008D1F2B">
          <w:footerReference w:type="default" r:id="rId37"/>
          <w:pgSz w:w="11907" w:h="16839" w:code="9"/>
          <w:pgMar w:top="850" w:right="1138" w:bottom="850" w:left="1699" w:header="425" w:footer="425" w:gutter="0"/>
          <w:cols w:space="708"/>
          <w:docGrid w:linePitch="360"/>
        </w:sectPr>
      </w:pPr>
    </w:p>
    <w:p w:rsidR="003E24B5" w:rsidRDefault="003E24B5" w:rsidP="00F852EF">
      <w:pPr>
        <w:pStyle w:val="KMHTitleAppendix"/>
        <w:jc w:val="both"/>
      </w:pPr>
    </w:p>
    <w:p w:rsidR="003E24B5" w:rsidRDefault="003E24B5" w:rsidP="007F7506">
      <w:pPr>
        <w:pStyle w:val="KMHTitleAppendix"/>
      </w:pPr>
    </w:p>
    <w:p w:rsidR="003E24B5" w:rsidRDefault="003E24B5" w:rsidP="007F7506">
      <w:pPr>
        <w:pStyle w:val="KMHTitleAppendix"/>
      </w:pPr>
    </w:p>
    <w:p w:rsidR="003E24B5" w:rsidRDefault="003E24B5" w:rsidP="007F7506">
      <w:pPr>
        <w:pStyle w:val="KMHTitleAppendix"/>
      </w:pPr>
    </w:p>
    <w:p w:rsidR="003E24B5" w:rsidRDefault="003E24B5" w:rsidP="007F7506">
      <w:pPr>
        <w:pStyle w:val="KMHTitleAppendix"/>
      </w:pPr>
    </w:p>
    <w:p w:rsidR="003E24B5" w:rsidRDefault="003E24B5" w:rsidP="007F7506">
      <w:pPr>
        <w:pStyle w:val="KMHTitleAppendix"/>
      </w:pPr>
    </w:p>
    <w:p w:rsidR="003E24B5" w:rsidRDefault="003E24B5" w:rsidP="007F7506">
      <w:pPr>
        <w:pStyle w:val="KMHTitleAppendix"/>
      </w:pPr>
    </w:p>
    <w:p w:rsidR="003E24B5" w:rsidRDefault="003E24B5" w:rsidP="007F7506">
      <w:pPr>
        <w:pStyle w:val="KMHTitleAppendix"/>
      </w:pPr>
    </w:p>
    <w:p w:rsidR="003E24B5" w:rsidRDefault="003E24B5" w:rsidP="007F7506">
      <w:pPr>
        <w:pStyle w:val="KMHTitleAppendix"/>
      </w:pPr>
    </w:p>
    <w:p w:rsidR="003E24B5" w:rsidRPr="00CB42E3" w:rsidRDefault="003E24B5" w:rsidP="007F7506">
      <w:pPr>
        <w:pStyle w:val="KMHTitleAppendix"/>
        <w:rPr>
          <w:noProof/>
        </w:rPr>
      </w:pPr>
      <w:r w:rsidRPr="00CB42E3">
        <w:rPr>
          <w:noProof/>
        </w:rPr>
        <w:t xml:space="preserve">Appendix </w:t>
      </w:r>
      <w:r>
        <w:rPr>
          <w:noProof/>
        </w:rPr>
        <w:t>C</w:t>
      </w:r>
    </w:p>
    <w:p w:rsidR="003E24B5" w:rsidRDefault="003E24B5" w:rsidP="008B69D1">
      <w:pPr>
        <w:pStyle w:val="KMHsubtitleappendix"/>
      </w:pPr>
      <w:r>
        <w:t xml:space="preserve">Assumptions Used in Allocation of Costs </w:t>
      </w:r>
    </w:p>
    <w:p w:rsidR="003E24B5" w:rsidRDefault="003E24B5">
      <w:pPr>
        <w:spacing w:after="0"/>
        <w:jc w:val="left"/>
      </w:pPr>
      <w:r>
        <w:br w:type="page"/>
      </w:r>
    </w:p>
    <w:p w:rsidR="003E24B5" w:rsidRDefault="003E24B5">
      <w:pPr>
        <w:spacing w:after="0"/>
        <w:jc w:val="left"/>
      </w:pPr>
    </w:p>
    <w:p w:rsidR="003E24B5" w:rsidRDefault="003E24B5">
      <w:pPr>
        <w:spacing w:after="0"/>
        <w:jc w:val="left"/>
      </w:pPr>
    </w:p>
    <w:p w:rsidR="003E24B5" w:rsidRDefault="003E24B5" w:rsidP="00162446">
      <w:pPr>
        <w:pStyle w:val="ListParagraph"/>
        <w:numPr>
          <w:ilvl w:val="0"/>
          <w:numId w:val="3"/>
        </w:numPr>
        <w:spacing w:after="120"/>
        <w:ind w:left="714" w:hanging="357"/>
        <w:contextualSpacing w:val="0"/>
      </w:pPr>
      <w:r>
        <w:t>The Decision RIS does not include costs directly associated with the implementation of the DIIS. Conversely, the costs outlined in the Decision RIS for collection locations and transporters (“Collection”) and recyclers (“Reprocessing”) have been assumed to include general set up and running costs of such facilities, outside of the specific requirements of the DIIS.</w:t>
      </w:r>
    </w:p>
    <w:p w:rsidR="003E24B5" w:rsidRDefault="003E24B5" w:rsidP="00162446">
      <w:pPr>
        <w:pStyle w:val="ListParagraph"/>
        <w:numPr>
          <w:ilvl w:val="0"/>
          <w:numId w:val="3"/>
        </w:numPr>
        <w:spacing w:after="120"/>
        <w:ind w:left="714" w:hanging="357"/>
        <w:contextualSpacing w:val="0"/>
      </w:pPr>
      <w:r>
        <w:t xml:space="preserve">All internal resource costs to a company described in the assumptions below assume an hourly rate of approximately $77/hour, based on an estimated indicative salary for staff selected to carry out these tasks of $80,000, plus on-costs assumed at 80-100% of salary. This is based on an OH&amp;S site manager’s salary in the range $80,000 - $120,000 per annum (source: 2008 Safesearch/ Envirosearch Renumeration Survey). </w:t>
      </w:r>
    </w:p>
    <w:p w:rsidR="003E24B5" w:rsidRDefault="003E24B5" w:rsidP="00162446">
      <w:pPr>
        <w:pStyle w:val="ListParagraph"/>
        <w:numPr>
          <w:ilvl w:val="0"/>
          <w:numId w:val="3"/>
        </w:numPr>
        <w:spacing w:after="120"/>
        <w:ind w:left="714" w:hanging="357"/>
        <w:contextualSpacing w:val="0"/>
      </w:pPr>
      <w:r>
        <w:t>All external consultant resourced costs to a company described in the assumptions below assume an indicative chargeable rate of approximately $175/hour (inclusive of GST),</w:t>
      </w:r>
    </w:p>
    <w:p w:rsidR="003E24B5" w:rsidRDefault="003E24B5" w:rsidP="00162446">
      <w:pPr>
        <w:pStyle w:val="ListParagraph"/>
        <w:numPr>
          <w:ilvl w:val="0"/>
          <w:numId w:val="3"/>
        </w:numPr>
        <w:spacing w:after="120"/>
        <w:ind w:left="714" w:hanging="357"/>
        <w:contextualSpacing w:val="0"/>
        <w:jc w:val="left"/>
      </w:pPr>
      <w:r>
        <w:t xml:space="preserve">Recycler costs to establish an ISO 14001 environmental management system (EMS) will vary according to company size. Recycling companies likely to be contracted by the PSO would be expected to be in the range 10-100 people per site. Based on discussions with existing recyclers (already accredited to ISO 14001) and KMH’s previous experience in developing such systems for a range of organisations, we have assumed the cost to establish an ISO 14001 system ready for certification to be in the </w:t>
      </w:r>
      <w:r w:rsidRPr="000C5B60">
        <w:t>range $20,000 - $50,000</w:t>
      </w:r>
      <w:r>
        <w:t xml:space="preserve"> per site</w:t>
      </w:r>
      <w:r w:rsidRPr="000C5B60">
        <w:t>.</w:t>
      </w:r>
      <w:r>
        <w:t xml:space="preserve"> This cost is based on the company having no existing system to build upon and the use of an external consultant to do it.</w:t>
      </w:r>
    </w:p>
    <w:p w:rsidR="003E24B5" w:rsidRDefault="003E24B5" w:rsidP="00162446">
      <w:pPr>
        <w:pStyle w:val="ListParagraph"/>
        <w:numPr>
          <w:ilvl w:val="0"/>
          <w:numId w:val="3"/>
        </w:numPr>
        <w:spacing w:after="120"/>
        <w:ind w:left="714" w:hanging="357"/>
        <w:contextualSpacing w:val="0"/>
      </w:pPr>
      <w:r>
        <w:t>Costs for certification of a site’s existing EMS by a third party certification body vary with size and complexity of operations at that site. Assuming a range of 10-100 employees per site, certification costs are estimated at $4,000-$10,000 per site. Subsequent follow up audits for compliance carried out by the certification body cost on average $2,000, and there is an average one audit per year over the 3 year life of certification. [Reference: personal communication with Trevor Phippen of Sustainable Certification].</w:t>
      </w:r>
    </w:p>
    <w:p w:rsidR="003E24B5" w:rsidRDefault="003E24B5" w:rsidP="00162446">
      <w:pPr>
        <w:pStyle w:val="ListParagraph"/>
        <w:numPr>
          <w:ilvl w:val="0"/>
          <w:numId w:val="3"/>
        </w:numPr>
        <w:spacing w:after="120"/>
        <w:ind w:left="714" w:hanging="357"/>
        <w:contextualSpacing w:val="0"/>
      </w:pPr>
      <w:r>
        <w:t>Costs for collection locations and transporters to set up systems and procedures to comply with the DIIS are estimated to be on average 10% of the costs of setting up an EMS as per ISO 14001, based on lower complexity of operation with respect to environment and safety risk, the less stringent requirements of the DIIS compared to ISO 14001 and the fact that it would likely be done by in-house resources, which are assumed to be available at a cheaper hourly rate than external consultant rates.. This translates to $2,000 - $5,000 per site, or 25 – 65 internal person-hours.</w:t>
      </w:r>
    </w:p>
    <w:p w:rsidR="003E24B5" w:rsidRDefault="003E24B5" w:rsidP="00162446">
      <w:pPr>
        <w:pStyle w:val="ListParagraph"/>
        <w:numPr>
          <w:ilvl w:val="0"/>
          <w:numId w:val="3"/>
        </w:numPr>
        <w:spacing w:after="120"/>
        <w:ind w:left="714" w:hanging="357"/>
        <w:contextualSpacing w:val="0"/>
      </w:pPr>
      <w:r>
        <w:t>Page 6, Note 1 of the DIIS states that collection locations will be subject to “periodic random audits of a percentage of locations.” While it is not specific as to who will manage this audit regime, it has been assumed that these would be carried out by the certification body used for ISO 14001 certification and compliance verification audits. The scope of these audits would be much smaller than for an ISO 14001 certified EMS, but would still bear many fixed costs of the audit process, performed by a certification expert, regardless of what reference was used to audit against. Since a certification audit to ISO 14001 is estimated in “5” above to cost $4,000-$10,000 per site, audits against the DIIS’s requirements for collection locations have been estimated to cost 50% of this, or $2,000 - $5,000. It has also been assumed that “periodic random audits of a percentage of locations” means that any company is likely to be audited once in 3 years.</w:t>
      </w:r>
    </w:p>
    <w:p w:rsidR="003E24B5" w:rsidRPr="004464B8" w:rsidRDefault="003E24B5" w:rsidP="00162446">
      <w:pPr>
        <w:pStyle w:val="ListParagraph"/>
        <w:numPr>
          <w:ilvl w:val="0"/>
          <w:numId w:val="3"/>
        </w:numPr>
        <w:spacing w:after="120"/>
        <w:ind w:left="714" w:hanging="357"/>
        <w:contextualSpacing w:val="0"/>
      </w:pPr>
      <w:r w:rsidRPr="004464B8">
        <w:t xml:space="preserve">As per “7”, it has been assumed that due to the less onerous requirements of the DIIS compared to ISO 14001, internal audits/ self assessments for transporters and collection locations have been assumed to take </w:t>
      </w:r>
      <w:r>
        <w:t xml:space="preserve">1.5 days of </w:t>
      </w:r>
      <w:r w:rsidRPr="004464B8">
        <w:t>internal resources, or cost approximately $1,000.</w:t>
      </w:r>
      <w:r>
        <w:t xml:space="preserve"> </w:t>
      </w:r>
      <w:r w:rsidRPr="004464B8">
        <w:t>While this cost could vary with facility size as in the assumptions above, a range has not been provided since the uncertainty in the estimate is high compared to the small size of the estimate.</w:t>
      </w:r>
    </w:p>
    <w:p w:rsidR="003E24B5" w:rsidRDefault="003E24B5" w:rsidP="00162446">
      <w:pPr>
        <w:pStyle w:val="ListParagraph"/>
        <w:numPr>
          <w:ilvl w:val="0"/>
          <w:numId w:val="3"/>
        </w:numPr>
        <w:spacing w:after="120"/>
        <w:ind w:left="714" w:hanging="357"/>
        <w:contextualSpacing w:val="0"/>
      </w:pPr>
      <w:r>
        <w:t xml:space="preserve">It has been assumed that compliance costs for recyclers in meeting the requirements specifically laid out in the DIIS are captured fully in ISO 14001 set up and verification costs, or are part of standard operating practice, except for environmental monitoring (e.g. air quality and noise), reporting waste amounts and recycling rates to the PSO (including data gathering, management and record keeping) and downstream processor due diligence with respect to environment, health and safety, </w:t>
      </w:r>
    </w:p>
    <w:p w:rsidR="003E24B5" w:rsidRDefault="003E24B5" w:rsidP="00162446">
      <w:pPr>
        <w:pStyle w:val="ListParagraph"/>
        <w:numPr>
          <w:ilvl w:val="0"/>
          <w:numId w:val="3"/>
        </w:numPr>
        <w:spacing w:after="120"/>
        <w:ind w:left="714" w:hanging="357"/>
        <w:contextualSpacing w:val="0"/>
      </w:pPr>
      <w:r>
        <w:t xml:space="preserve">The DIIS does not directly require downstream processors to be ISO 14001 certified, because the PSO’s contracting reach will not extend beyond the primary recycler. However, the </w:t>
      </w:r>
      <w:r>
        <w:lastRenderedPageBreak/>
        <w:t>credentials of the downstream processor is a pertinent consideration for the primary recycler’s procurement and contracting decisions, and section 7.7 of the DIIS does require them to document evaluation and selection processes, plus periodically audit contracted downstream processors to assess their environmental, health and safety impacts. No costs have been apportioned to secondary processors in this analysis, as they are not directly captured by the DIIS, but these procurement processes and auditing costs have been attributed to the primary recycler, respectively, at $5,000 (65 internal hours) and $2,000 (per audit).</w:t>
      </w:r>
    </w:p>
    <w:p w:rsidR="003E24B5" w:rsidRPr="00FC39CB" w:rsidRDefault="003E24B5" w:rsidP="00162446">
      <w:pPr>
        <w:pStyle w:val="ListParagraph"/>
        <w:numPr>
          <w:ilvl w:val="0"/>
          <w:numId w:val="3"/>
        </w:numPr>
        <w:spacing w:after="120"/>
        <w:ind w:left="714" w:hanging="357"/>
        <w:contextualSpacing w:val="0"/>
      </w:pPr>
      <w:r w:rsidRPr="00C83A90">
        <w:t>“Costs to make the system work” for recyclers recognises the internal resources required to ensure staff are continually trained in the use of the EMS, the system is maintained as current as functional, staff use the system as part of their existing business processes, the organisation is appropriately prepared for audits, resourcing of corrective actions and any incremental additional requirements that the operation of the system places on all staff.</w:t>
      </w:r>
      <w:r>
        <w:t xml:space="preserve"> For a </w:t>
      </w:r>
      <w:r w:rsidRPr="00FC39CB">
        <w:t>site with 20 staff or more, this effort is estimated at 0.25FTE which equates to $40,000, based on a salary and on-costs figure of $160,000 per year (see “2” above).</w:t>
      </w:r>
      <w:r>
        <w:t xml:space="preserve"> </w:t>
      </w:r>
      <w:r w:rsidRPr="00FC39CB">
        <w:t>For sites below 20 staff, this is estimated at half of this figure, or $20,000.</w:t>
      </w:r>
    </w:p>
    <w:p w:rsidR="003E24B5" w:rsidRPr="00FC39CB" w:rsidRDefault="003E24B5" w:rsidP="00162446">
      <w:pPr>
        <w:pStyle w:val="ListParagraph"/>
        <w:numPr>
          <w:ilvl w:val="0"/>
          <w:numId w:val="3"/>
        </w:numPr>
        <w:spacing w:after="120"/>
        <w:ind w:left="714" w:hanging="357"/>
        <w:contextualSpacing w:val="0"/>
      </w:pPr>
      <w:r w:rsidRPr="00FC39CB">
        <w:t>“Costs to make the system work” for collection locations and transporters recognises the internal resources required to ensure relevant staff are trained in the requirements of the standard, the organisation is appropriately prepared for audits and self-assessments, resourcing of corrective actions and any incremental additional requirements that the operation of the system places on all staff.</w:t>
      </w:r>
      <w:r>
        <w:t xml:space="preserve"> </w:t>
      </w:r>
      <w:r w:rsidRPr="00FC39CB">
        <w:t>For collection locations this effort is estimated at 0.05FTE which equates to $8,000, based on a salary and on-costs figure of $160,000 per year (see “2” above).</w:t>
      </w:r>
      <w:r>
        <w:t xml:space="preserve"> </w:t>
      </w:r>
      <w:r w:rsidRPr="00FC39CB">
        <w:t>Because the DIIS requirements specific to transporters are primarily legal requirements that would be expected to be already accounted for in day to day business, these costs are estimated to be lower than for collection locations. Half the figure for collection locations, or $4,000, has been assumed for transporters.</w:t>
      </w:r>
    </w:p>
    <w:p w:rsidR="003E24B5" w:rsidRPr="00FC39CB" w:rsidRDefault="003E24B5" w:rsidP="00162446">
      <w:pPr>
        <w:pStyle w:val="ListParagraph"/>
        <w:numPr>
          <w:ilvl w:val="0"/>
          <w:numId w:val="3"/>
        </w:numPr>
        <w:spacing w:after="120"/>
        <w:ind w:left="714" w:hanging="357"/>
        <w:contextualSpacing w:val="0"/>
      </w:pPr>
      <w:r w:rsidRPr="00FC39CB">
        <w:t>Environmental monitoring costs for recyclers have been estimated at $10,000 for baseline testing for air quality parameters of concern and noise exposure, based on indicative costs for this sort of work as routinely provided by KMH Environmental.</w:t>
      </w:r>
    </w:p>
    <w:p w:rsidR="003E24B5" w:rsidRPr="00FC39CB" w:rsidRDefault="003E24B5" w:rsidP="00162446">
      <w:pPr>
        <w:pStyle w:val="ListParagraph"/>
        <w:numPr>
          <w:ilvl w:val="0"/>
          <w:numId w:val="3"/>
        </w:numPr>
        <w:spacing w:after="120"/>
        <w:ind w:left="714" w:hanging="357"/>
        <w:contextualSpacing w:val="0"/>
      </w:pPr>
      <w:r w:rsidRPr="00FC39CB">
        <w:t>Annual traceability reporting is assumed to be $3,000 per collection location, on the basis of 5 days person hours to locate, collate and report on waste quantities handled and origin and despatch locations.</w:t>
      </w:r>
      <w:r>
        <w:t xml:space="preserve"> </w:t>
      </w:r>
      <w:r w:rsidRPr="00FC39CB">
        <w:t>For recyclers this has been estimated as $6,000 (or approximately 10 days person hours), on the basis that more tracking is required to obtain data for recycling rates and multiple downstream processor locations.</w:t>
      </w:r>
      <w:r>
        <w:t xml:space="preserve"> </w:t>
      </w:r>
    </w:p>
    <w:p w:rsidR="003E24B5" w:rsidRDefault="003E24B5" w:rsidP="00162446">
      <w:pPr>
        <w:pStyle w:val="ListParagraph"/>
        <w:numPr>
          <w:ilvl w:val="0"/>
          <w:numId w:val="3"/>
        </w:numPr>
        <w:spacing w:after="120"/>
        <w:ind w:left="714" w:hanging="357"/>
        <w:contextualSpacing w:val="0"/>
      </w:pPr>
      <w:r w:rsidRPr="00FC39CB">
        <w:t>It is assumed that data collection and record keeping systems would be established to allow for efficiencies in collating the data outlined in “14” above.</w:t>
      </w:r>
      <w:r>
        <w:t xml:space="preserve"> </w:t>
      </w:r>
      <w:r w:rsidRPr="00FC39CB">
        <w:t>Establishment of these systems is a one-off cost and is estimated at $9,000 (3 person weeks) for collection locations and $18,000 (6 person weeks) for recyclers respectively.</w:t>
      </w:r>
    </w:p>
    <w:p w:rsidR="003E24B5" w:rsidRDefault="003E24B5" w:rsidP="000D6A9C">
      <w:pPr>
        <w:spacing w:after="120"/>
      </w:pPr>
    </w:p>
    <w:p w:rsidR="003E24B5" w:rsidRDefault="003E24B5" w:rsidP="000D6A9C">
      <w:pPr>
        <w:spacing w:after="120"/>
      </w:pPr>
    </w:p>
    <w:p w:rsidR="003E24B5" w:rsidRDefault="003E24B5" w:rsidP="000D6A9C">
      <w:pPr>
        <w:spacing w:after="120"/>
      </w:pPr>
    </w:p>
    <w:p w:rsidR="003E24B5" w:rsidRDefault="003E24B5" w:rsidP="000D6A9C">
      <w:pPr>
        <w:spacing w:after="120"/>
      </w:pPr>
    </w:p>
    <w:p w:rsidR="003E24B5" w:rsidRDefault="003E24B5" w:rsidP="000D6A9C">
      <w:pPr>
        <w:spacing w:after="120"/>
      </w:pPr>
    </w:p>
    <w:p w:rsidR="00A33FF2" w:rsidRDefault="003E24B5" w:rsidP="00A33FF2">
      <w:pPr>
        <w:spacing w:after="0"/>
        <w:jc w:val="left"/>
        <w:sectPr w:rsidR="00A33FF2" w:rsidSect="007F7506">
          <w:footerReference w:type="default" r:id="rId38"/>
          <w:pgSz w:w="11907" w:h="16839" w:code="9"/>
          <w:pgMar w:top="850" w:right="1138" w:bottom="850" w:left="1699" w:header="432" w:footer="432" w:gutter="0"/>
          <w:cols w:space="708"/>
          <w:docGrid w:linePitch="360"/>
        </w:sectPr>
      </w:pPr>
      <w:r>
        <w:br w:type="page"/>
      </w:r>
    </w:p>
    <w:p w:rsidR="003E24B5" w:rsidRDefault="003E24B5" w:rsidP="00A33FF2">
      <w:pPr>
        <w:pStyle w:val="KMHTitleAppendix"/>
        <w:jc w:val="both"/>
        <w:rPr>
          <w:noProof/>
        </w:rPr>
      </w:pPr>
    </w:p>
    <w:p w:rsidR="003E24B5" w:rsidRDefault="003E24B5" w:rsidP="0075605C">
      <w:pPr>
        <w:pStyle w:val="KMHTitleAppendix"/>
        <w:rPr>
          <w:noProof/>
        </w:rPr>
      </w:pPr>
    </w:p>
    <w:p w:rsidR="003E24B5" w:rsidRDefault="003E24B5" w:rsidP="0075605C">
      <w:pPr>
        <w:pStyle w:val="KMHTitleAppendix"/>
        <w:rPr>
          <w:noProof/>
        </w:rPr>
      </w:pPr>
    </w:p>
    <w:p w:rsidR="003E24B5" w:rsidRDefault="003E24B5" w:rsidP="0075605C">
      <w:pPr>
        <w:pStyle w:val="KMHTitleAppendix"/>
        <w:rPr>
          <w:noProof/>
        </w:rPr>
      </w:pPr>
    </w:p>
    <w:p w:rsidR="003E24B5" w:rsidRDefault="003E24B5" w:rsidP="0075605C">
      <w:pPr>
        <w:pStyle w:val="KMHTitleAppendix"/>
        <w:rPr>
          <w:noProof/>
        </w:rPr>
      </w:pPr>
    </w:p>
    <w:p w:rsidR="003E24B5" w:rsidRDefault="003E24B5" w:rsidP="0075605C">
      <w:pPr>
        <w:pStyle w:val="KMHTitleAppendix"/>
        <w:rPr>
          <w:noProof/>
        </w:rPr>
      </w:pPr>
    </w:p>
    <w:p w:rsidR="003E24B5" w:rsidRPr="00CB42E3" w:rsidRDefault="003E24B5" w:rsidP="0075605C">
      <w:pPr>
        <w:pStyle w:val="KMHTitleAppendix"/>
        <w:rPr>
          <w:noProof/>
        </w:rPr>
      </w:pPr>
      <w:r w:rsidRPr="00CB42E3">
        <w:rPr>
          <w:noProof/>
        </w:rPr>
        <w:t xml:space="preserve">Appendix </w:t>
      </w:r>
      <w:r>
        <w:rPr>
          <w:noProof/>
        </w:rPr>
        <w:t>D</w:t>
      </w:r>
    </w:p>
    <w:p w:rsidR="003E24B5" w:rsidRDefault="003E24B5" w:rsidP="0075605C">
      <w:pPr>
        <w:pStyle w:val="KMHsubtitleappendix"/>
      </w:pPr>
      <w:r>
        <w:t>Risk Identification and Assessment</w:t>
      </w:r>
    </w:p>
    <w:p w:rsidR="003E24B5" w:rsidRDefault="003E24B5" w:rsidP="000D6A9C">
      <w:pPr>
        <w:spacing w:after="120"/>
        <w:sectPr w:rsidR="003E24B5" w:rsidSect="00A33FF2">
          <w:footerReference w:type="default" r:id="rId39"/>
          <w:type w:val="continuous"/>
          <w:pgSz w:w="11907" w:h="16839" w:code="9"/>
          <w:pgMar w:top="850" w:right="1138" w:bottom="850" w:left="1699" w:header="432" w:footer="432" w:gutter="0"/>
          <w:cols w:space="708"/>
          <w:docGrid w:linePitch="360"/>
        </w:sectPr>
      </w:pPr>
    </w:p>
    <w:p w:rsidR="003E24B5" w:rsidRPr="004E5888" w:rsidRDefault="003E24B5" w:rsidP="000D6A9C">
      <w:pPr>
        <w:pStyle w:val="Caption"/>
        <w:keepNext/>
      </w:pPr>
      <w:bookmarkStart w:id="115" w:name="_Toc287018310"/>
      <w:r>
        <w:lastRenderedPageBreak/>
        <w:t xml:space="preserve">Table </w:t>
      </w:r>
      <w:fldSimple w:instr=" SEQ Table \* ARABIC ">
        <w:r w:rsidR="00235045">
          <w:rPr>
            <w:noProof/>
          </w:rPr>
          <w:t>8</w:t>
        </w:r>
      </w:fldSimple>
      <w:r>
        <w:t>: Risk Analysis</w:t>
      </w:r>
      <w:bookmarkEnd w:id="115"/>
    </w:p>
    <w:tbl>
      <w:tblPr>
        <w:tblW w:w="15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2"/>
        <w:gridCol w:w="1972"/>
        <w:gridCol w:w="2110"/>
        <w:gridCol w:w="2000"/>
        <w:gridCol w:w="3082"/>
        <w:gridCol w:w="1118"/>
        <w:gridCol w:w="1000"/>
        <w:gridCol w:w="900"/>
        <w:gridCol w:w="800"/>
        <w:gridCol w:w="1222"/>
      </w:tblGrid>
      <w:tr w:rsidR="003E24B5" w:rsidTr="00E84A61">
        <w:trPr>
          <w:tblHeader/>
          <w:jc w:val="center"/>
        </w:trPr>
        <w:tc>
          <w:tcPr>
            <w:tcW w:w="15906" w:type="dxa"/>
            <w:gridSpan w:val="10"/>
            <w:shd w:val="solid" w:color="C0C0C0" w:fill="auto"/>
          </w:tcPr>
          <w:p w:rsidR="003E24B5" w:rsidRDefault="003E24B5" w:rsidP="00E84A61">
            <w:pPr>
              <w:pStyle w:val="Header"/>
              <w:spacing w:before="40" w:after="40" w:line="276" w:lineRule="auto"/>
              <w:jc w:val="center"/>
              <w:rPr>
                <w:rFonts w:ascii="Calibri" w:hAnsi="Calibri"/>
              </w:rPr>
            </w:pPr>
            <w:r>
              <w:rPr>
                <w:rFonts w:ascii="Calibri" w:hAnsi="Calibri"/>
                <w:b/>
              </w:rPr>
              <w:t>Part A - Risk Identification and analysis</w:t>
            </w:r>
          </w:p>
        </w:tc>
      </w:tr>
      <w:tr w:rsidR="003E24B5" w:rsidTr="008D5CBC">
        <w:trPr>
          <w:trHeight w:val="262"/>
          <w:tblHeader/>
          <w:jc w:val="center"/>
        </w:trPr>
        <w:tc>
          <w:tcPr>
            <w:tcW w:w="1702" w:type="dxa"/>
            <w:shd w:val="solid" w:color="C0C0C0" w:fill="auto"/>
          </w:tcPr>
          <w:p w:rsidR="003E24B5" w:rsidRDefault="003E24B5" w:rsidP="00E84A61">
            <w:pPr>
              <w:spacing w:before="60"/>
              <w:jc w:val="center"/>
              <w:rPr>
                <w:rFonts w:ascii="Calibri" w:hAnsi="Calibri"/>
                <w:sz w:val="16"/>
              </w:rPr>
            </w:pPr>
            <w:r>
              <w:rPr>
                <w:rFonts w:ascii="Calibri" w:hAnsi="Calibri"/>
                <w:sz w:val="16"/>
              </w:rPr>
              <w:t>1</w:t>
            </w:r>
          </w:p>
        </w:tc>
        <w:tc>
          <w:tcPr>
            <w:tcW w:w="1972" w:type="dxa"/>
            <w:shd w:val="solid" w:color="C0C0C0" w:fill="auto"/>
          </w:tcPr>
          <w:p w:rsidR="003E24B5" w:rsidRDefault="003E24B5" w:rsidP="00E84A61">
            <w:pPr>
              <w:spacing w:before="60"/>
              <w:jc w:val="center"/>
              <w:rPr>
                <w:rFonts w:ascii="Calibri" w:hAnsi="Calibri"/>
                <w:sz w:val="16"/>
              </w:rPr>
            </w:pPr>
            <w:r>
              <w:rPr>
                <w:rFonts w:ascii="Calibri" w:hAnsi="Calibri"/>
                <w:sz w:val="16"/>
              </w:rPr>
              <w:t>2</w:t>
            </w:r>
          </w:p>
        </w:tc>
        <w:tc>
          <w:tcPr>
            <w:tcW w:w="2110" w:type="dxa"/>
            <w:shd w:val="solid" w:color="C0C0C0" w:fill="auto"/>
          </w:tcPr>
          <w:p w:rsidR="003E24B5" w:rsidRDefault="003E24B5" w:rsidP="00E84A61">
            <w:pPr>
              <w:spacing w:before="60"/>
              <w:jc w:val="center"/>
              <w:rPr>
                <w:rFonts w:ascii="Calibri" w:hAnsi="Calibri"/>
                <w:sz w:val="16"/>
              </w:rPr>
            </w:pPr>
            <w:r>
              <w:rPr>
                <w:rFonts w:ascii="Calibri" w:hAnsi="Calibri"/>
                <w:sz w:val="16"/>
              </w:rPr>
              <w:t>3</w:t>
            </w:r>
          </w:p>
        </w:tc>
        <w:tc>
          <w:tcPr>
            <w:tcW w:w="2000" w:type="dxa"/>
            <w:shd w:val="solid" w:color="C0C0C0" w:fill="auto"/>
          </w:tcPr>
          <w:p w:rsidR="003E24B5" w:rsidRDefault="003E24B5" w:rsidP="00E84A61">
            <w:pPr>
              <w:spacing w:before="60"/>
              <w:jc w:val="center"/>
              <w:rPr>
                <w:rFonts w:ascii="Calibri" w:hAnsi="Calibri"/>
                <w:sz w:val="16"/>
              </w:rPr>
            </w:pPr>
            <w:r>
              <w:rPr>
                <w:rFonts w:ascii="Calibri" w:hAnsi="Calibri"/>
                <w:sz w:val="16"/>
              </w:rPr>
              <w:t>4</w:t>
            </w:r>
          </w:p>
        </w:tc>
        <w:tc>
          <w:tcPr>
            <w:tcW w:w="3082" w:type="dxa"/>
            <w:shd w:val="solid" w:color="C0C0C0" w:fill="auto"/>
          </w:tcPr>
          <w:p w:rsidR="003E24B5" w:rsidRDefault="003E24B5" w:rsidP="00E84A61">
            <w:pPr>
              <w:spacing w:before="60"/>
              <w:jc w:val="center"/>
              <w:rPr>
                <w:rFonts w:ascii="Calibri" w:hAnsi="Calibri"/>
                <w:sz w:val="16"/>
                <w:szCs w:val="16"/>
              </w:rPr>
            </w:pPr>
            <w:r>
              <w:rPr>
                <w:rFonts w:ascii="Calibri" w:hAnsi="Calibri"/>
                <w:sz w:val="16"/>
                <w:szCs w:val="16"/>
              </w:rPr>
              <w:t>5</w:t>
            </w:r>
          </w:p>
        </w:tc>
        <w:tc>
          <w:tcPr>
            <w:tcW w:w="1118" w:type="dxa"/>
            <w:shd w:val="solid" w:color="C0C0C0" w:fill="auto"/>
          </w:tcPr>
          <w:p w:rsidR="003E24B5" w:rsidRDefault="003E24B5" w:rsidP="00E84A61">
            <w:pPr>
              <w:spacing w:before="60"/>
              <w:jc w:val="center"/>
              <w:rPr>
                <w:rFonts w:ascii="Calibri" w:hAnsi="Calibri"/>
                <w:sz w:val="16"/>
              </w:rPr>
            </w:pPr>
            <w:r>
              <w:rPr>
                <w:rFonts w:ascii="Calibri" w:hAnsi="Calibri"/>
                <w:sz w:val="16"/>
              </w:rPr>
              <w:t>6</w:t>
            </w:r>
          </w:p>
        </w:tc>
        <w:tc>
          <w:tcPr>
            <w:tcW w:w="1000" w:type="dxa"/>
            <w:shd w:val="solid" w:color="C0C0C0" w:fill="auto"/>
          </w:tcPr>
          <w:p w:rsidR="003E24B5" w:rsidRDefault="003E24B5" w:rsidP="00E84A61">
            <w:pPr>
              <w:spacing w:before="60"/>
              <w:jc w:val="center"/>
              <w:rPr>
                <w:rFonts w:ascii="Calibri" w:hAnsi="Calibri"/>
                <w:sz w:val="16"/>
              </w:rPr>
            </w:pPr>
            <w:r>
              <w:rPr>
                <w:rFonts w:ascii="Calibri" w:hAnsi="Calibri"/>
                <w:sz w:val="16"/>
              </w:rPr>
              <w:t>7</w:t>
            </w:r>
          </w:p>
        </w:tc>
        <w:tc>
          <w:tcPr>
            <w:tcW w:w="900" w:type="dxa"/>
            <w:shd w:val="solid" w:color="C0C0C0" w:fill="auto"/>
          </w:tcPr>
          <w:p w:rsidR="003E24B5" w:rsidRDefault="003E24B5" w:rsidP="00E84A61">
            <w:pPr>
              <w:spacing w:before="60"/>
              <w:ind w:right="-84"/>
              <w:jc w:val="center"/>
              <w:rPr>
                <w:rFonts w:ascii="Calibri" w:hAnsi="Calibri"/>
                <w:sz w:val="16"/>
              </w:rPr>
            </w:pPr>
            <w:r>
              <w:rPr>
                <w:rFonts w:ascii="Calibri" w:hAnsi="Calibri"/>
                <w:sz w:val="16"/>
              </w:rPr>
              <w:t>8</w:t>
            </w:r>
          </w:p>
        </w:tc>
        <w:tc>
          <w:tcPr>
            <w:tcW w:w="800" w:type="dxa"/>
            <w:shd w:val="solid" w:color="C0C0C0" w:fill="auto"/>
          </w:tcPr>
          <w:p w:rsidR="003E24B5" w:rsidRDefault="003E24B5" w:rsidP="00E84A61">
            <w:pPr>
              <w:spacing w:before="60"/>
              <w:jc w:val="center"/>
              <w:rPr>
                <w:rFonts w:ascii="Calibri" w:hAnsi="Calibri"/>
                <w:sz w:val="16"/>
              </w:rPr>
            </w:pPr>
            <w:r>
              <w:rPr>
                <w:rFonts w:ascii="Calibri" w:hAnsi="Calibri"/>
                <w:sz w:val="16"/>
              </w:rPr>
              <w:t>9</w:t>
            </w:r>
          </w:p>
        </w:tc>
        <w:tc>
          <w:tcPr>
            <w:tcW w:w="1222" w:type="dxa"/>
            <w:shd w:val="solid" w:color="C0C0C0" w:fill="auto"/>
          </w:tcPr>
          <w:p w:rsidR="003E24B5" w:rsidRDefault="003E24B5" w:rsidP="00E84A61">
            <w:pPr>
              <w:spacing w:before="60"/>
              <w:jc w:val="center"/>
              <w:rPr>
                <w:rFonts w:ascii="Calibri" w:hAnsi="Calibri"/>
                <w:sz w:val="14"/>
              </w:rPr>
            </w:pPr>
            <w:r>
              <w:rPr>
                <w:rFonts w:ascii="Calibri" w:hAnsi="Calibri"/>
                <w:sz w:val="14"/>
              </w:rPr>
              <w:t>10</w:t>
            </w:r>
          </w:p>
        </w:tc>
      </w:tr>
      <w:tr w:rsidR="003E24B5" w:rsidTr="008D5CBC">
        <w:trPr>
          <w:tblHeader/>
          <w:jc w:val="center"/>
        </w:trPr>
        <w:tc>
          <w:tcPr>
            <w:tcW w:w="1702" w:type="dxa"/>
            <w:shd w:val="solid" w:color="C0C0C0" w:fill="auto"/>
          </w:tcPr>
          <w:p w:rsidR="003E24B5" w:rsidRPr="00FC535A" w:rsidRDefault="003E24B5" w:rsidP="00E84A61">
            <w:pPr>
              <w:spacing w:before="120" w:after="120"/>
              <w:jc w:val="center"/>
              <w:rPr>
                <w:rFonts w:ascii="Calibri" w:hAnsi="Calibri"/>
                <w:b/>
                <w:szCs w:val="20"/>
              </w:rPr>
            </w:pPr>
            <w:r>
              <w:rPr>
                <w:rFonts w:ascii="Calibri" w:hAnsi="Calibri"/>
                <w:b/>
                <w:szCs w:val="20"/>
              </w:rPr>
              <w:t>Risk Category &amp; Origin</w:t>
            </w:r>
          </w:p>
        </w:tc>
        <w:tc>
          <w:tcPr>
            <w:tcW w:w="1972" w:type="dxa"/>
            <w:shd w:val="solid" w:color="C0C0C0" w:fill="auto"/>
          </w:tcPr>
          <w:p w:rsidR="003E24B5" w:rsidRPr="00FC535A" w:rsidRDefault="003E24B5" w:rsidP="00E84A61">
            <w:pPr>
              <w:spacing w:before="120" w:after="120"/>
              <w:jc w:val="center"/>
              <w:rPr>
                <w:rFonts w:ascii="Calibri" w:hAnsi="Calibri"/>
                <w:b/>
                <w:sz w:val="18"/>
                <w:szCs w:val="18"/>
              </w:rPr>
            </w:pPr>
            <w:r w:rsidRPr="00FC535A">
              <w:rPr>
                <w:rFonts w:ascii="Calibri" w:hAnsi="Calibri"/>
                <w:b/>
                <w:sz w:val="18"/>
                <w:szCs w:val="18"/>
              </w:rPr>
              <w:t>Description of risk</w:t>
            </w:r>
            <w:r w:rsidRPr="00FC535A">
              <w:rPr>
                <w:rFonts w:ascii="Calibri" w:hAnsi="Calibri"/>
                <w:b/>
                <w:sz w:val="18"/>
                <w:szCs w:val="18"/>
              </w:rPr>
              <w:br/>
              <w:t>(What can happen)</w:t>
            </w:r>
          </w:p>
        </w:tc>
        <w:tc>
          <w:tcPr>
            <w:tcW w:w="2110" w:type="dxa"/>
            <w:shd w:val="solid" w:color="C0C0C0" w:fill="auto"/>
          </w:tcPr>
          <w:p w:rsidR="003E24B5" w:rsidRPr="00FC535A" w:rsidRDefault="003E24B5" w:rsidP="00E84A61">
            <w:pPr>
              <w:spacing w:before="120" w:after="120"/>
              <w:jc w:val="center"/>
              <w:rPr>
                <w:rFonts w:ascii="Calibri" w:hAnsi="Calibri"/>
                <w:b/>
                <w:sz w:val="18"/>
                <w:szCs w:val="18"/>
              </w:rPr>
            </w:pPr>
            <w:r w:rsidRPr="00FC535A">
              <w:rPr>
                <w:rFonts w:ascii="Calibri" w:hAnsi="Calibri"/>
                <w:b/>
                <w:sz w:val="18"/>
                <w:szCs w:val="18"/>
              </w:rPr>
              <w:t>Potential causes/sources</w:t>
            </w:r>
            <w:r w:rsidRPr="00FC535A">
              <w:rPr>
                <w:rFonts w:ascii="Calibri" w:hAnsi="Calibri"/>
                <w:b/>
                <w:sz w:val="18"/>
                <w:szCs w:val="18"/>
              </w:rPr>
              <w:br/>
              <w:t>(of an event happening)</w:t>
            </w:r>
          </w:p>
        </w:tc>
        <w:tc>
          <w:tcPr>
            <w:tcW w:w="2000" w:type="dxa"/>
            <w:shd w:val="solid" w:color="C0C0C0" w:fill="auto"/>
          </w:tcPr>
          <w:p w:rsidR="003E24B5" w:rsidRPr="00FC535A" w:rsidRDefault="003E24B5" w:rsidP="00E84A61">
            <w:pPr>
              <w:spacing w:before="120" w:after="120"/>
              <w:jc w:val="center"/>
              <w:rPr>
                <w:rFonts w:ascii="Calibri" w:hAnsi="Calibri"/>
                <w:b/>
                <w:sz w:val="18"/>
                <w:szCs w:val="18"/>
              </w:rPr>
            </w:pPr>
            <w:r w:rsidRPr="00FC535A">
              <w:rPr>
                <w:rFonts w:ascii="Calibri" w:hAnsi="Calibri"/>
                <w:b/>
                <w:sz w:val="18"/>
                <w:szCs w:val="18"/>
              </w:rPr>
              <w:t xml:space="preserve">Potential impacts </w:t>
            </w:r>
            <w:r w:rsidRPr="00FC535A">
              <w:rPr>
                <w:rFonts w:ascii="Calibri" w:hAnsi="Calibri"/>
                <w:b/>
                <w:sz w:val="18"/>
                <w:szCs w:val="18"/>
              </w:rPr>
              <w:br/>
              <w:t>(if a risk event happens)</w:t>
            </w:r>
          </w:p>
        </w:tc>
        <w:tc>
          <w:tcPr>
            <w:tcW w:w="3082" w:type="dxa"/>
            <w:shd w:val="solid" w:color="C0C0C0" w:fill="auto"/>
          </w:tcPr>
          <w:p w:rsidR="003E24B5" w:rsidRPr="00FC535A" w:rsidRDefault="003E24B5" w:rsidP="00E84A61">
            <w:pPr>
              <w:spacing w:before="120" w:after="120"/>
              <w:jc w:val="center"/>
              <w:rPr>
                <w:rFonts w:ascii="Calibri" w:hAnsi="Calibri"/>
                <w:b/>
                <w:sz w:val="18"/>
                <w:szCs w:val="18"/>
              </w:rPr>
            </w:pPr>
            <w:r w:rsidRPr="00FC535A">
              <w:rPr>
                <w:rFonts w:ascii="Calibri" w:hAnsi="Calibri"/>
                <w:b/>
                <w:sz w:val="18"/>
                <w:szCs w:val="18"/>
              </w:rPr>
              <w:t>Existing controls</w:t>
            </w:r>
          </w:p>
          <w:p w:rsidR="003E24B5" w:rsidRPr="00FC535A" w:rsidRDefault="003E24B5" w:rsidP="00E84A61">
            <w:pPr>
              <w:spacing w:before="120" w:after="120"/>
              <w:jc w:val="center"/>
              <w:rPr>
                <w:rFonts w:ascii="Calibri" w:hAnsi="Calibri"/>
                <w:b/>
                <w:sz w:val="18"/>
                <w:szCs w:val="18"/>
              </w:rPr>
            </w:pPr>
            <w:r w:rsidRPr="00FC535A">
              <w:rPr>
                <w:rFonts w:ascii="Calibri" w:hAnsi="Calibri"/>
                <w:b/>
                <w:sz w:val="18"/>
                <w:szCs w:val="18"/>
              </w:rPr>
              <w:t>(what is in place NOW to minimise risk)</w:t>
            </w:r>
          </w:p>
        </w:tc>
        <w:tc>
          <w:tcPr>
            <w:tcW w:w="1118" w:type="dxa"/>
            <w:shd w:val="solid" w:color="C0C0C0" w:fill="auto"/>
          </w:tcPr>
          <w:p w:rsidR="003E24B5" w:rsidRPr="00FC535A" w:rsidRDefault="003E24B5" w:rsidP="00E84A61">
            <w:pPr>
              <w:spacing w:before="120" w:after="120"/>
              <w:jc w:val="center"/>
              <w:rPr>
                <w:rFonts w:ascii="Calibri" w:hAnsi="Calibri"/>
                <w:b/>
                <w:sz w:val="18"/>
                <w:szCs w:val="18"/>
                <w:vertAlign w:val="superscript"/>
              </w:rPr>
            </w:pPr>
            <w:r w:rsidRPr="00FC535A">
              <w:rPr>
                <w:rFonts w:ascii="Calibri" w:hAnsi="Calibri"/>
                <w:b/>
                <w:sz w:val="18"/>
                <w:szCs w:val="18"/>
              </w:rPr>
              <w:t>Control ratings</w:t>
            </w:r>
          </w:p>
        </w:tc>
        <w:tc>
          <w:tcPr>
            <w:tcW w:w="1000" w:type="dxa"/>
            <w:shd w:val="solid" w:color="C0C0C0" w:fill="auto"/>
          </w:tcPr>
          <w:p w:rsidR="003E24B5" w:rsidRPr="00FC535A" w:rsidRDefault="003E24B5" w:rsidP="00E84A61">
            <w:pPr>
              <w:spacing w:before="120" w:after="120"/>
              <w:jc w:val="center"/>
              <w:rPr>
                <w:rFonts w:ascii="Calibri" w:hAnsi="Calibri"/>
                <w:b/>
                <w:sz w:val="18"/>
                <w:szCs w:val="18"/>
              </w:rPr>
            </w:pPr>
            <w:r w:rsidRPr="00FC535A">
              <w:rPr>
                <w:rFonts w:ascii="Calibri" w:hAnsi="Calibri"/>
                <w:b/>
                <w:sz w:val="18"/>
                <w:szCs w:val="18"/>
              </w:rPr>
              <w:t>Likeli-hood</w:t>
            </w:r>
          </w:p>
        </w:tc>
        <w:tc>
          <w:tcPr>
            <w:tcW w:w="900" w:type="dxa"/>
            <w:shd w:val="solid" w:color="C0C0C0" w:fill="auto"/>
          </w:tcPr>
          <w:p w:rsidR="003E24B5" w:rsidRPr="00FC535A" w:rsidRDefault="003E24B5" w:rsidP="00E84A61">
            <w:pPr>
              <w:spacing w:before="120" w:after="120"/>
              <w:ind w:right="-84"/>
              <w:jc w:val="center"/>
              <w:rPr>
                <w:rFonts w:ascii="Calibri" w:hAnsi="Calibri"/>
                <w:b/>
                <w:sz w:val="18"/>
                <w:szCs w:val="18"/>
              </w:rPr>
            </w:pPr>
            <w:r w:rsidRPr="00FC535A">
              <w:rPr>
                <w:rFonts w:ascii="Calibri" w:hAnsi="Calibri"/>
                <w:b/>
                <w:sz w:val="18"/>
                <w:szCs w:val="18"/>
              </w:rPr>
              <w:t>Conse-quence</w:t>
            </w:r>
          </w:p>
        </w:tc>
        <w:tc>
          <w:tcPr>
            <w:tcW w:w="800" w:type="dxa"/>
            <w:shd w:val="solid" w:color="C0C0C0" w:fill="auto"/>
          </w:tcPr>
          <w:p w:rsidR="003E24B5" w:rsidRPr="00FC535A" w:rsidRDefault="003E24B5" w:rsidP="00E84A61">
            <w:pPr>
              <w:spacing w:before="120" w:after="120"/>
              <w:jc w:val="center"/>
              <w:rPr>
                <w:rFonts w:ascii="Calibri" w:hAnsi="Calibri"/>
                <w:b/>
                <w:sz w:val="18"/>
                <w:szCs w:val="18"/>
              </w:rPr>
            </w:pPr>
            <w:r w:rsidRPr="00FC535A">
              <w:rPr>
                <w:rFonts w:ascii="Calibri" w:hAnsi="Calibri"/>
                <w:b/>
                <w:sz w:val="18"/>
                <w:szCs w:val="18"/>
              </w:rPr>
              <w:t>Risk Level</w:t>
            </w:r>
          </w:p>
        </w:tc>
        <w:tc>
          <w:tcPr>
            <w:tcW w:w="1222" w:type="dxa"/>
            <w:shd w:val="solid" w:color="C0C0C0" w:fill="auto"/>
          </w:tcPr>
          <w:p w:rsidR="003E24B5" w:rsidRPr="00FC535A" w:rsidRDefault="003E24B5" w:rsidP="00E84A61">
            <w:pPr>
              <w:spacing w:before="120" w:after="120"/>
              <w:jc w:val="center"/>
              <w:rPr>
                <w:rFonts w:ascii="Calibri" w:hAnsi="Calibri"/>
                <w:b/>
                <w:sz w:val="18"/>
                <w:szCs w:val="18"/>
              </w:rPr>
            </w:pPr>
            <w:r w:rsidRPr="00FC535A">
              <w:rPr>
                <w:rFonts w:ascii="Calibri" w:hAnsi="Calibri"/>
                <w:b/>
                <w:sz w:val="18"/>
                <w:szCs w:val="18"/>
              </w:rPr>
              <w:t>Further Treatment?</w:t>
            </w:r>
          </w:p>
        </w:tc>
      </w:tr>
      <w:tr w:rsidR="003E24B5" w:rsidTr="008D5CBC">
        <w:trPr>
          <w:jc w:val="center"/>
        </w:trPr>
        <w:tc>
          <w:tcPr>
            <w:tcW w:w="1702" w:type="dxa"/>
            <w:shd w:val="clear" w:color="auto" w:fill="FFC000"/>
          </w:tcPr>
          <w:p w:rsidR="003E24B5" w:rsidRPr="002C5E72" w:rsidRDefault="003E24B5" w:rsidP="00E84A61">
            <w:pPr>
              <w:spacing w:before="120" w:after="120"/>
              <w:jc w:val="left"/>
              <w:rPr>
                <w:rFonts w:ascii="Calibri" w:hAnsi="Calibri"/>
                <w:b/>
                <w:i/>
                <w:szCs w:val="20"/>
              </w:rPr>
            </w:pPr>
            <w:r>
              <w:rPr>
                <w:rFonts w:ascii="Calibri" w:hAnsi="Calibri"/>
                <w:b/>
                <w:i/>
                <w:szCs w:val="20"/>
              </w:rPr>
              <w:t>(DIIS Section 2.)</w:t>
            </w:r>
          </w:p>
        </w:tc>
        <w:tc>
          <w:tcPr>
            <w:tcW w:w="1972" w:type="dxa"/>
            <w:shd w:val="clear" w:color="auto" w:fill="FFC000"/>
          </w:tcPr>
          <w:p w:rsidR="003E24B5" w:rsidRPr="007860F3" w:rsidRDefault="003E24B5" w:rsidP="00E84A61">
            <w:pPr>
              <w:spacing w:before="120" w:after="120"/>
              <w:jc w:val="left"/>
              <w:rPr>
                <w:rFonts w:ascii="Calibri" w:hAnsi="Calibri"/>
                <w:i/>
                <w:szCs w:val="20"/>
              </w:rPr>
            </w:pPr>
            <w:r w:rsidRPr="007860F3">
              <w:rPr>
                <w:rFonts w:ascii="Calibri" w:hAnsi="Calibri"/>
                <w:i/>
                <w:szCs w:val="20"/>
              </w:rPr>
              <w:t xml:space="preserve">Lack of auditing system/guidelines </w:t>
            </w:r>
            <w:r>
              <w:rPr>
                <w:rFonts w:ascii="Calibri" w:hAnsi="Calibri"/>
                <w:i/>
                <w:szCs w:val="20"/>
              </w:rPr>
              <w:t xml:space="preserve">from Government </w:t>
            </w:r>
            <w:r w:rsidRPr="007860F3">
              <w:rPr>
                <w:rFonts w:ascii="Calibri" w:hAnsi="Calibri"/>
                <w:i/>
                <w:szCs w:val="20"/>
              </w:rPr>
              <w:t>to ensure adherence to industry standards</w:t>
            </w:r>
            <w:r>
              <w:rPr>
                <w:rFonts w:ascii="Calibri" w:hAnsi="Calibri"/>
                <w:i/>
                <w:szCs w:val="20"/>
              </w:rPr>
              <w:t>.</w:t>
            </w:r>
          </w:p>
        </w:tc>
        <w:tc>
          <w:tcPr>
            <w:tcW w:w="2110" w:type="dxa"/>
            <w:shd w:val="clear" w:color="auto" w:fill="FFC000"/>
          </w:tcPr>
          <w:p w:rsidR="003E24B5" w:rsidRDefault="003E24B5" w:rsidP="00162446">
            <w:pPr>
              <w:pStyle w:val="ListParagraph"/>
              <w:numPr>
                <w:ilvl w:val="0"/>
                <w:numId w:val="25"/>
              </w:numPr>
              <w:spacing w:before="120" w:after="120"/>
              <w:jc w:val="left"/>
              <w:rPr>
                <w:rFonts w:ascii="Calibri" w:hAnsi="Calibri"/>
                <w:szCs w:val="20"/>
              </w:rPr>
            </w:pPr>
            <w:r>
              <w:rPr>
                <w:rFonts w:ascii="Calibri" w:hAnsi="Calibri"/>
                <w:szCs w:val="20"/>
              </w:rPr>
              <w:t>Lack of regulatory controls</w:t>
            </w:r>
          </w:p>
          <w:p w:rsidR="003E24B5" w:rsidRDefault="003E24B5" w:rsidP="00E84A61">
            <w:pPr>
              <w:spacing w:before="120" w:after="120"/>
              <w:jc w:val="left"/>
              <w:rPr>
                <w:rFonts w:ascii="Calibri" w:hAnsi="Calibri"/>
                <w:szCs w:val="20"/>
              </w:rPr>
            </w:pPr>
          </w:p>
        </w:tc>
        <w:tc>
          <w:tcPr>
            <w:tcW w:w="2000" w:type="dxa"/>
            <w:shd w:val="clear" w:color="auto" w:fill="FFC000"/>
          </w:tcPr>
          <w:p w:rsidR="003E24B5" w:rsidRPr="00AB5EC7" w:rsidRDefault="003E24B5" w:rsidP="00162446">
            <w:pPr>
              <w:pStyle w:val="ListParagraph"/>
              <w:numPr>
                <w:ilvl w:val="0"/>
                <w:numId w:val="25"/>
              </w:numPr>
              <w:spacing w:before="120" w:after="120"/>
              <w:jc w:val="left"/>
              <w:rPr>
                <w:rFonts w:ascii="Calibri" w:hAnsi="Calibri"/>
                <w:szCs w:val="20"/>
              </w:rPr>
            </w:pPr>
            <w:r>
              <w:rPr>
                <w:rFonts w:ascii="Calibri" w:hAnsi="Calibri"/>
                <w:szCs w:val="20"/>
              </w:rPr>
              <w:t xml:space="preserve">Uninformed operators carry out inappropriate recycling and transport practices that cause to the environment and employees. </w:t>
            </w:r>
          </w:p>
        </w:tc>
        <w:tc>
          <w:tcPr>
            <w:tcW w:w="3082" w:type="dxa"/>
            <w:shd w:val="clear" w:color="auto" w:fill="FFC000"/>
          </w:tcPr>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 xml:space="preserve">The notes attached to Section 2 – Application, of the DIIS state that it is expected that an auditing regime will need to be established under the National Television and Computer Product Stewardship Scheme to monitor compliance of collection locations. </w:t>
            </w:r>
          </w:p>
        </w:tc>
        <w:tc>
          <w:tcPr>
            <w:tcW w:w="1118"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Incomplete</w:t>
            </w:r>
          </w:p>
        </w:tc>
        <w:tc>
          <w:tcPr>
            <w:tcW w:w="1000"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Likely</w:t>
            </w:r>
          </w:p>
        </w:tc>
        <w:tc>
          <w:tcPr>
            <w:tcW w:w="900" w:type="dxa"/>
            <w:shd w:val="clear" w:color="auto" w:fill="FFC000"/>
          </w:tcPr>
          <w:p w:rsidR="003E24B5" w:rsidRDefault="003E24B5" w:rsidP="00E84A61">
            <w:pPr>
              <w:spacing w:before="120" w:after="120"/>
              <w:ind w:firstLine="3"/>
              <w:jc w:val="left"/>
              <w:rPr>
                <w:rFonts w:ascii="Calibri" w:hAnsi="Calibri"/>
                <w:szCs w:val="20"/>
              </w:rPr>
            </w:pPr>
            <w:r>
              <w:rPr>
                <w:rFonts w:ascii="Calibri" w:hAnsi="Calibri"/>
                <w:szCs w:val="20"/>
              </w:rPr>
              <w:t>Moderate</w:t>
            </w:r>
          </w:p>
        </w:tc>
        <w:tc>
          <w:tcPr>
            <w:tcW w:w="800"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High</w:t>
            </w:r>
          </w:p>
        </w:tc>
        <w:tc>
          <w:tcPr>
            <w:tcW w:w="1222"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Refer to risk treatment plan</w:t>
            </w:r>
          </w:p>
        </w:tc>
      </w:tr>
      <w:tr w:rsidR="003E24B5" w:rsidTr="008D5CBC">
        <w:trPr>
          <w:jc w:val="center"/>
        </w:trPr>
        <w:tc>
          <w:tcPr>
            <w:tcW w:w="1702" w:type="dxa"/>
            <w:shd w:val="clear" w:color="auto" w:fill="FFFF00"/>
          </w:tcPr>
          <w:p w:rsidR="003E24B5" w:rsidRPr="00925D47" w:rsidRDefault="003E24B5" w:rsidP="00E84A61">
            <w:pPr>
              <w:spacing w:before="120" w:after="120"/>
              <w:jc w:val="left"/>
              <w:rPr>
                <w:rFonts w:ascii="Calibri" w:hAnsi="Calibri"/>
                <w:b/>
                <w:i/>
                <w:szCs w:val="20"/>
              </w:rPr>
            </w:pPr>
            <w:r>
              <w:rPr>
                <w:rFonts w:ascii="Calibri" w:hAnsi="Calibri"/>
                <w:b/>
                <w:i/>
                <w:szCs w:val="20"/>
              </w:rPr>
              <w:t>(Section 3 DIIS)</w:t>
            </w:r>
          </w:p>
        </w:tc>
        <w:tc>
          <w:tcPr>
            <w:tcW w:w="1972" w:type="dxa"/>
            <w:shd w:val="clear" w:color="auto" w:fill="FFFF00"/>
          </w:tcPr>
          <w:p w:rsidR="003E24B5" w:rsidRPr="007860F3" w:rsidRDefault="003E24B5" w:rsidP="00E84A61">
            <w:pPr>
              <w:spacing w:before="120" w:after="120"/>
              <w:jc w:val="left"/>
              <w:rPr>
                <w:rFonts w:ascii="Calibri" w:hAnsi="Calibri"/>
                <w:i/>
                <w:szCs w:val="20"/>
              </w:rPr>
            </w:pPr>
            <w:r w:rsidRPr="007860F3">
              <w:rPr>
                <w:rFonts w:ascii="Calibri" w:hAnsi="Calibri"/>
                <w:i/>
                <w:szCs w:val="20"/>
              </w:rPr>
              <w:t>Failure of the DIIS to provide guidance on landfilling or alternatives as a final point of disposal</w:t>
            </w:r>
            <w:r>
              <w:rPr>
                <w:rFonts w:ascii="Calibri" w:hAnsi="Calibri"/>
                <w:i/>
                <w:szCs w:val="20"/>
              </w:rPr>
              <w:t>.</w:t>
            </w:r>
            <w:r w:rsidRPr="007860F3">
              <w:rPr>
                <w:rFonts w:ascii="Calibri" w:hAnsi="Calibri"/>
                <w:i/>
                <w:szCs w:val="20"/>
              </w:rPr>
              <w:t>.</w:t>
            </w:r>
          </w:p>
        </w:tc>
        <w:tc>
          <w:tcPr>
            <w:tcW w:w="2110" w:type="dxa"/>
            <w:shd w:val="clear" w:color="auto" w:fill="FFFF00"/>
          </w:tcPr>
          <w:p w:rsidR="003E24B5" w:rsidRDefault="003E24B5" w:rsidP="00162446">
            <w:pPr>
              <w:pStyle w:val="ListParagraph"/>
              <w:numPr>
                <w:ilvl w:val="0"/>
                <w:numId w:val="23"/>
              </w:numPr>
              <w:spacing w:before="120" w:after="120"/>
              <w:jc w:val="left"/>
              <w:rPr>
                <w:rFonts w:ascii="Calibri" w:hAnsi="Calibri"/>
                <w:szCs w:val="20"/>
              </w:rPr>
            </w:pPr>
            <w:r>
              <w:rPr>
                <w:rFonts w:ascii="Calibri" w:hAnsi="Calibri"/>
                <w:szCs w:val="20"/>
              </w:rPr>
              <w:t>The lack of guidelines on final point of disposal and acceptable volumes</w:t>
            </w:r>
          </w:p>
          <w:p w:rsidR="003E24B5" w:rsidRPr="008B72D6" w:rsidRDefault="003E24B5" w:rsidP="00162446">
            <w:pPr>
              <w:pStyle w:val="ListParagraph"/>
              <w:numPr>
                <w:ilvl w:val="0"/>
                <w:numId w:val="23"/>
              </w:numPr>
              <w:spacing w:before="120" w:after="120"/>
              <w:jc w:val="left"/>
              <w:rPr>
                <w:rFonts w:ascii="Calibri" w:hAnsi="Calibri"/>
                <w:szCs w:val="20"/>
              </w:rPr>
            </w:pPr>
            <w:r>
              <w:rPr>
                <w:rFonts w:ascii="Calibri" w:hAnsi="Calibri"/>
                <w:szCs w:val="20"/>
              </w:rPr>
              <w:t>Apathy of the operator</w:t>
            </w:r>
          </w:p>
        </w:tc>
        <w:tc>
          <w:tcPr>
            <w:tcW w:w="2000" w:type="dxa"/>
            <w:shd w:val="clear" w:color="auto" w:fill="FFFF00"/>
          </w:tcPr>
          <w:p w:rsidR="003E24B5" w:rsidRDefault="003E24B5" w:rsidP="00162446">
            <w:pPr>
              <w:pStyle w:val="ListParagraph"/>
              <w:numPr>
                <w:ilvl w:val="0"/>
                <w:numId w:val="23"/>
              </w:numPr>
              <w:spacing w:before="120" w:after="120"/>
              <w:jc w:val="left"/>
              <w:rPr>
                <w:rFonts w:ascii="Calibri" w:hAnsi="Calibri"/>
                <w:szCs w:val="20"/>
              </w:rPr>
            </w:pPr>
            <w:r>
              <w:rPr>
                <w:rFonts w:ascii="Calibri" w:hAnsi="Calibri"/>
                <w:szCs w:val="20"/>
              </w:rPr>
              <w:t xml:space="preserve">Inappropriate end disposal </w:t>
            </w:r>
          </w:p>
          <w:p w:rsidR="003E24B5" w:rsidRPr="00602FB6" w:rsidRDefault="003E24B5" w:rsidP="00162446">
            <w:pPr>
              <w:pStyle w:val="ListParagraph"/>
              <w:numPr>
                <w:ilvl w:val="0"/>
                <w:numId w:val="23"/>
              </w:numPr>
              <w:spacing w:before="120" w:after="120"/>
              <w:jc w:val="left"/>
              <w:rPr>
                <w:rFonts w:ascii="Calibri" w:hAnsi="Calibri"/>
                <w:szCs w:val="20"/>
              </w:rPr>
            </w:pPr>
            <w:r>
              <w:rPr>
                <w:rFonts w:ascii="Calibri" w:hAnsi="Calibri"/>
                <w:szCs w:val="20"/>
              </w:rPr>
              <w:t xml:space="preserve">Increased volumes of EOL product sent to landfill </w:t>
            </w:r>
          </w:p>
        </w:tc>
        <w:tc>
          <w:tcPr>
            <w:tcW w:w="3082" w:type="dxa"/>
            <w:shd w:val="clear" w:color="auto" w:fill="FFFF00"/>
          </w:tcPr>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 xml:space="preserve">Table 1 – Material Processing and End Use Acceptability provides details of acceptable processes for component materials. </w:t>
            </w:r>
          </w:p>
        </w:tc>
        <w:tc>
          <w:tcPr>
            <w:tcW w:w="1118"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Adequate</w:t>
            </w:r>
          </w:p>
        </w:tc>
        <w:tc>
          <w:tcPr>
            <w:tcW w:w="10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Possible</w:t>
            </w:r>
          </w:p>
        </w:tc>
        <w:tc>
          <w:tcPr>
            <w:tcW w:w="900" w:type="dxa"/>
            <w:shd w:val="clear" w:color="auto" w:fill="FFFF00"/>
          </w:tcPr>
          <w:p w:rsidR="003E24B5" w:rsidRDefault="003E24B5" w:rsidP="00E84A61">
            <w:pPr>
              <w:spacing w:before="120" w:after="120"/>
              <w:ind w:firstLine="3"/>
              <w:jc w:val="left"/>
              <w:rPr>
                <w:rFonts w:ascii="Calibri" w:hAnsi="Calibri"/>
                <w:szCs w:val="20"/>
              </w:rPr>
            </w:pPr>
            <w:r>
              <w:rPr>
                <w:rFonts w:ascii="Calibri" w:hAnsi="Calibri"/>
                <w:szCs w:val="20"/>
              </w:rPr>
              <w:t>Minor</w:t>
            </w:r>
          </w:p>
        </w:tc>
        <w:tc>
          <w:tcPr>
            <w:tcW w:w="8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 xml:space="preserve">Implementation of Standard requirement and auditing to ensure compliance. </w:t>
            </w:r>
          </w:p>
        </w:tc>
      </w:tr>
      <w:tr w:rsidR="003E24B5" w:rsidTr="008D5CBC">
        <w:trPr>
          <w:jc w:val="center"/>
        </w:trPr>
        <w:tc>
          <w:tcPr>
            <w:tcW w:w="1702" w:type="dxa"/>
            <w:shd w:val="clear" w:color="auto" w:fill="FFFF00"/>
          </w:tcPr>
          <w:p w:rsidR="003E24B5" w:rsidRPr="00C74B06" w:rsidRDefault="003E24B5" w:rsidP="00E84A61">
            <w:pPr>
              <w:jc w:val="left"/>
              <w:rPr>
                <w:rFonts w:ascii="Calibri" w:hAnsi="Calibri"/>
                <w:b/>
                <w:i/>
                <w:szCs w:val="20"/>
              </w:rPr>
            </w:pPr>
            <w:r w:rsidRPr="00C74B06">
              <w:rPr>
                <w:rFonts w:ascii="Calibri" w:hAnsi="Calibri"/>
                <w:b/>
                <w:i/>
                <w:szCs w:val="20"/>
              </w:rPr>
              <w:t>Transport Requirements</w:t>
            </w:r>
          </w:p>
          <w:p w:rsidR="003E24B5" w:rsidRDefault="003E24B5" w:rsidP="00E84A61">
            <w:pPr>
              <w:jc w:val="left"/>
              <w:rPr>
                <w:rFonts w:ascii="Calibri" w:hAnsi="Calibri" w:cs="Calibri"/>
                <w:b/>
                <w:bCs/>
                <w:i/>
                <w:iCs/>
                <w:color w:val="000000"/>
                <w:sz w:val="22"/>
              </w:rPr>
            </w:pPr>
            <w:r w:rsidRPr="00C74B06">
              <w:rPr>
                <w:rFonts w:ascii="Calibri" w:hAnsi="Calibri"/>
                <w:b/>
                <w:i/>
                <w:szCs w:val="20"/>
              </w:rPr>
              <w:t>(DIIS Section 3.)</w:t>
            </w:r>
          </w:p>
        </w:tc>
        <w:tc>
          <w:tcPr>
            <w:tcW w:w="1972" w:type="dxa"/>
            <w:shd w:val="clear" w:color="auto" w:fill="FFFF00"/>
          </w:tcPr>
          <w:p w:rsidR="003E24B5" w:rsidRPr="005D4BEC" w:rsidRDefault="003E24B5" w:rsidP="00E84A61">
            <w:pPr>
              <w:spacing w:before="120" w:after="120"/>
              <w:jc w:val="left"/>
              <w:rPr>
                <w:rFonts w:ascii="Calibri" w:hAnsi="Calibri"/>
                <w:i/>
                <w:szCs w:val="20"/>
              </w:rPr>
            </w:pPr>
            <w:r w:rsidRPr="005D4BEC">
              <w:rPr>
                <w:rFonts w:ascii="Calibri" w:hAnsi="Calibri"/>
                <w:i/>
                <w:szCs w:val="20"/>
              </w:rPr>
              <w:t xml:space="preserve">Failure to identify wastes as trackable or prescribed industrial </w:t>
            </w:r>
            <w:r>
              <w:rPr>
                <w:rFonts w:ascii="Calibri" w:hAnsi="Calibri"/>
                <w:i/>
                <w:szCs w:val="20"/>
              </w:rPr>
              <w:t xml:space="preserve">waste. </w:t>
            </w:r>
          </w:p>
          <w:p w:rsidR="003E24B5" w:rsidRPr="0080636C" w:rsidRDefault="003E24B5" w:rsidP="00E84A61">
            <w:pPr>
              <w:spacing w:before="120" w:after="120"/>
              <w:jc w:val="left"/>
              <w:rPr>
                <w:rFonts w:ascii="Calibri" w:hAnsi="Calibri"/>
                <w:i/>
                <w:szCs w:val="20"/>
              </w:rPr>
            </w:pPr>
          </w:p>
        </w:tc>
        <w:tc>
          <w:tcPr>
            <w:tcW w:w="2110" w:type="dxa"/>
            <w:shd w:val="clear" w:color="auto" w:fill="FFFF00"/>
          </w:tcPr>
          <w:p w:rsidR="003E24B5" w:rsidRDefault="003E24B5" w:rsidP="00162446">
            <w:pPr>
              <w:pStyle w:val="ListParagraph"/>
              <w:numPr>
                <w:ilvl w:val="0"/>
                <w:numId w:val="29"/>
              </w:numPr>
              <w:spacing w:before="120" w:after="120"/>
              <w:jc w:val="left"/>
              <w:rPr>
                <w:rFonts w:ascii="Calibri" w:hAnsi="Calibri"/>
                <w:szCs w:val="20"/>
              </w:rPr>
            </w:pPr>
            <w:r>
              <w:rPr>
                <w:rFonts w:ascii="Calibri" w:hAnsi="Calibri"/>
                <w:szCs w:val="20"/>
              </w:rPr>
              <w:t xml:space="preserve">Lack of regulatory requirements </w:t>
            </w:r>
          </w:p>
          <w:p w:rsidR="003E24B5" w:rsidRPr="00D11CEF" w:rsidRDefault="003E24B5" w:rsidP="00162446">
            <w:pPr>
              <w:pStyle w:val="ListParagraph"/>
              <w:numPr>
                <w:ilvl w:val="0"/>
                <w:numId w:val="29"/>
              </w:numPr>
              <w:spacing w:before="120" w:after="120"/>
              <w:jc w:val="left"/>
              <w:rPr>
                <w:rFonts w:ascii="Calibri" w:hAnsi="Calibri"/>
                <w:szCs w:val="20"/>
              </w:rPr>
            </w:pPr>
            <w:r>
              <w:rPr>
                <w:rFonts w:ascii="Calibri" w:hAnsi="Calibri"/>
                <w:szCs w:val="20"/>
              </w:rPr>
              <w:t>Failure to adhere to regulatory requirements</w:t>
            </w:r>
          </w:p>
        </w:tc>
        <w:tc>
          <w:tcPr>
            <w:tcW w:w="2000" w:type="dxa"/>
            <w:shd w:val="clear" w:color="auto" w:fill="FFFF00"/>
          </w:tcPr>
          <w:p w:rsidR="003E24B5" w:rsidRPr="00D11CEF" w:rsidRDefault="003E24B5" w:rsidP="00162446">
            <w:pPr>
              <w:pStyle w:val="ListParagraph"/>
              <w:numPr>
                <w:ilvl w:val="0"/>
                <w:numId w:val="29"/>
              </w:numPr>
              <w:spacing w:before="120" w:after="120"/>
              <w:jc w:val="left"/>
              <w:rPr>
                <w:rFonts w:ascii="Calibri" w:hAnsi="Calibri"/>
                <w:szCs w:val="20"/>
              </w:rPr>
            </w:pPr>
            <w:r>
              <w:rPr>
                <w:rFonts w:ascii="Calibri" w:hAnsi="Calibri"/>
                <w:szCs w:val="20"/>
              </w:rPr>
              <w:t>Contaminated waste is disposed of at an unlicensed or inappropriate facility</w:t>
            </w:r>
          </w:p>
        </w:tc>
        <w:tc>
          <w:tcPr>
            <w:tcW w:w="3082" w:type="dxa"/>
            <w:shd w:val="clear" w:color="auto" w:fill="FFFF00"/>
          </w:tcPr>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 xml:space="preserve">Section 7.5 of the DIIS – Traceability requires recyclers to fully account and report by weight the downstream flow and handling of materials and components from EOL product. This section requires Substances of Concern to be </w:t>
            </w:r>
            <w:r>
              <w:rPr>
                <w:rFonts w:ascii="Calibri" w:hAnsi="Calibri"/>
                <w:szCs w:val="20"/>
              </w:rPr>
              <w:lastRenderedPageBreak/>
              <w:t>tracked through each Downstream Processor to the “Point of Final Disposition.”</w:t>
            </w:r>
          </w:p>
        </w:tc>
        <w:tc>
          <w:tcPr>
            <w:tcW w:w="1118"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lastRenderedPageBreak/>
              <w:t>Adequate</w:t>
            </w:r>
          </w:p>
        </w:tc>
        <w:tc>
          <w:tcPr>
            <w:tcW w:w="10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Possible</w:t>
            </w:r>
          </w:p>
        </w:tc>
        <w:tc>
          <w:tcPr>
            <w:tcW w:w="900" w:type="dxa"/>
            <w:shd w:val="clear" w:color="auto" w:fill="FFFF00"/>
          </w:tcPr>
          <w:p w:rsidR="003E24B5" w:rsidRDefault="003E24B5" w:rsidP="00E84A61">
            <w:pPr>
              <w:spacing w:before="120" w:after="120"/>
              <w:ind w:firstLine="3"/>
              <w:jc w:val="left"/>
              <w:rPr>
                <w:rFonts w:ascii="Calibri" w:hAnsi="Calibri"/>
                <w:szCs w:val="20"/>
              </w:rPr>
            </w:pPr>
            <w:r>
              <w:rPr>
                <w:rFonts w:ascii="Calibri" w:hAnsi="Calibri"/>
                <w:szCs w:val="20"/>
              </w:rPr>
              <w:t>Moderate</w:t>
            </w:r>
          </w:p>
        </w:tc>
        <w:tc>
          <w:tcPr>
            <w:tcW w:w="8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E84A61">
            <w:pPr>
              <w:spacing w:before="120" w:after="120"/>
              <w:jc w:val="left"/>
              <w:rPr>
                <w:rFonts w:ascii="Calibri" w:hAnsi="Calibri"/>
                <w:szCs w:val="20"/>
              </w:rPr>
            </w:pPr>
          </w:p>
          <w:p w:rsidR="003E24B5" w:rsidRDefault="003E24B5" w:rsidP="00E84A61">
            <w:pPr>
              <w:spacing w:before="120" w:after="120"/>
              <w:jc w:val="left"/>
              <w:rPr>
                <w:rFonts w:ascii="Calibri" w:hAnsi="Calibri"/>
                <w:szCs w:val="20"/>
              </w:rPr>
            </w:pPr>
            <w:r>
              <w:rPr>
                <w:rFonts w:ascii="Calibri" w:hAnsi="Calibri"/>
                <w:szCs w:val="20"/>
              </w:rPr>
              <w:t>Implementation of auditing regime</w:t>
            </w:r>
          </w:p>
        </w:tc>
      </w:tr>
      <w:tr w:rsidR="003E24B5" w:rsidTr="008D5CBC">
        <w:trPr>
          <w:jc w:val="center"/>
        </w:trPr>
        <w:tc>
          <w:tcPr>
            <w:tcW w:w="1702" w:type="dxa"/>
            <w:shd w:val="clear" w:color="auto" w:fill="FFFF00"/>
          </w:tcPr>
          <w:p w:rsidR="003E24B5" w:rsidRDefault="003E24B5" w:rsidP="00E84A61">
            <w:pPr>
              <w:jc w:val="left"/>
              <w:rPr>
                <w:rFonts w:ascii="Calibri" w:hAnsi="Calibri" w:cs="Calibri"/>
                <w:b/>
                <w:bCs/>
                <w:i/>
                <w:iCs/>
                <w:color w:val="000000"/>
                <w:sz w:val="22"/>
              </w:rPr>
            </w:pPr>
            <w:r>
              <w:rPr>
                <w:rFonts w:ascii="Calibri" w:hAnsi="Calibri"/>
                <w:b/>
                <w:i/>
                <w:szCs w:val="20"/>
              </w:rPr>
              <w:lastRenderedPageBreak/>
              <w:t>( DIIS Section 4.)</w:t>
            </w:r>
          </w:p>
        </w:tc>
        <w:tc>
          <w:tcPr>
            <w:tcW w:w="1972" w:type="dxa"/>
            <w:shd w:val="clear" w:color="auto" w:fill="FFFF00"/>
          </w:tcPr>
          <w:p w:rsidR="003E24B5" w:rsidRDefault="003E24B5" w:rsidP="00E84A61">
            <w:pPr>
              <w:spacing w:before="120" w:after="120"/>
              <w:jc w:val="left"/>
              <w:rPr>
                <w:rFonts w:ascii="Calibri" w:hAnsi="Calibri"/>
                <w:i/>
                <w:szCs w:val="20"/>
              </w:rPr>
            </w:pPr>
            <w:r>
              <w:rPr>
                <w:rFonts w:ascii="Calibri" w:hAnsi="Calibri"/>
                <w:i/>
                <w:szCs w:val="20"/>
              </w:rPr>
              <w:t xml:space="preserve">Potential for pollution of stormwater where runoff passes through goods stored inappropriately and exposed to weather. </w:t>
            </w:r>
          </w:p>
        </w:tc>
        <w:tc>
          <w:tcPr>
            <w:tcW w:w="2110" w:type="dxa"/>
            <w:shd w:val="clear" w:color="auto" w:fill="FFFF00"/>
          </w:tcPr>
          <w:p w:rsidR="003E24B5" w:rsidRPr="00796ABF" w:rsidRDefault="003E24B5" w:rsidP="00162446">
            <w:pPr>
              <w:pStyle w:val="ListParagraph"/>
              <w:numPr>
                <w:ilvl w:val="0"/>
                <w:numId w:val="40"/>
              </w:numPr>
              <w:spacing w:before="120" w:after="120"/>
              <w:jc w:val="left"/>
              <w:rPr>
                <w:rFonts w:ascii="Calibri" w:hAnsi="Calibri"/>
                <w:szCs w:val="20"/>
              </w:rPr>
            </w:pPr>
            <w:r>
              <w:rPr>
                <w:rFonts w:ascii="Calibri" w:hAnsi="Calibri"/>
                <w:szCs w:val="20"/>
              </w:rPr>
              <w:t>EOL product stored at an unlicensed/inappropriate location and product is exposed to the elements.</w:t>
            </w:r>
          </w:p>
        </w:tc>
        <w:tc>
          <w:tcPr>
            <w:tcW w:w="2000" w:type="dxa"/>
            <w:shd w:val="clear" w:color="auto" w:fill="FFFF00"/>
          </w:tcPr>
          <w:p w:rsidR="003E24B5" w:rsidRPr="00796ABF" w:rsidRDefault="003E24B5" w:rsidP="00162446">
            <w:pPr>
              <w:pStyle w:val="ListParagraph"/>
              <w:numPr>
                <w:ilvl w:val="0"/>
                <w:numId w:val="40"/>
              </w:numPr>
              <w:spacing w:before="120" w:after="120"/>
              <w:jc w:val="left"/>
              <w:rPr>
                <w:rFonts w:ascii="Calibri" w:hAnsi="Calibri"/>
                <w:szCs w:val="20"/>
              </w:rPr>
            </w:pPr>
            <w:r>
              <w:rPr>
                <w:rFonts w:ascii="Calibri" w:hAnsi="Calibri"/>
                <w:szCs w:val="20"/>
              </w:rPr>
              <w:t>Potential to cause pollution to adjacent water ways</w:t>
            </w:r>
          </w:p>
        </w:tc>
        <w:tc>
          <w:tcPr>
            <w:tcW w:w="3082" w:type="dxa"/>
            <w:shd w:val="clear" w:color="auto" w:fill="FFFF00"/>
          </w:tcPr>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 xml:space="preserve">Section 4.4 Receiving Handling and Storage requires EOL product and separated components to be stored and handled in a manner that provides protection from </w:t>
            </w:r>
            <w:r w:rsidRPr="003C5935">
              <w:rPr>
                <w:rFonts w:ascii="Calibri" w:hAnsi="Calibri"/>
                <w:i/>
                <w:szCs w:val="20"/>
              </w:rPr>
              <w:t>“(b)” Exposure to the elements eg; because of leaching risk</w:t>
            </w:r>
            <w:r>
              <w:rPr>
                <w:rFonts w:ascii="Calibri" w:hAnsi="Calibri"/>
                <w:szCs w:val="20"/>
              </w:rPr>
              <w:t>.”</w:t>
            </w:r>
          </w:p>
        </w:tc>
        <w:tc>
          <w:tcPr>
            <w:tcW w:w="1118"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 xml:space="preserve">Adequate </w:t>
            </w:r>
          </w:p>
        </w:tc>
        <w:tc>
          <w:tcPr>
            <w:tcW w:w="10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Unlikely</w:t>
            </w:r>
          </w:p>
        </w:tc>
        <w:tc>
          <w:tcPr>
            <w:tcW w:w="900" w:type="dxa"/>
            <w:shd w:val="clear" w:color="auto" w:fill="FFFF00"/>
          </w:tcPr>
          <w:p w:rsidR="003E24B5" w:rsidRDefault="003E24B5" w:rsidP="00E84A61">
            <w:pPr>
              <w:spacing w:before="120" w:after="120"/>
              <w:ind w:firstLine="3"/>
              <w:jc w:val="left"/>
              <w:rPr>
                <w:rFonts w:ascii="Calibri" w:hAnsi="Calibri"/>
                <w:szCs w:val="20"/>
              </w:rPr>
            </w:pPr>
            <w:r>
              <w:rPr>
                <w:rFonts w:ascii="Calibri" w:hAnsi="Calibri"/>
                <w:szCs w:val="20"/>
              </w:rPr>
              <w:t>Moderate</w:t>
            </w:r>
          </w:p>
        </w:tc>
        <w:tc>
          <w:tcPr>
            <w:tcW w:w="8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E84A61">
            <w:pPr>
              <w:spacing w:before="120" w:after="120"/>
              <w:jc w:val="left"/>
              <w:rPr>
                <w:rFonts w:ascii="Calibri" w:hAnsi="Calibri"/>
                <w:szCs w:val="20"/>
              </w:rPr>
            </w:pPr>
          </w:p>
          <w:p w:rsidR="003E24B5" w:rsidRDefault="003E24B5" w:rsidP="00E84A61">
            <w:pPr>
              <w:spacing w:before="120" w:after="120"/>
              <w:jc w:val="left"/>
              <w:rPr>
                <w:rFonts w:ascii="Calibri" w:hAnsi="Calibri"/>
                <w:szCs w:val="20"/>
              </w:rPr>
            </w:pPr>
            <w:r>
              <w:rPr>
                <w:rFonts w:ascii="Calibri" w:hAnsi="Calibri"/>
                <w:szCs w:val="20"/>
              </w:rPr>
              <w:t>Implementation of auditing regime</w:t>
            </w:r>
          </w:p>
        </w:tc>
      </w:tr>
      <w:tr w:rsidR="003E24B5" w:rsidTr="008D5CBC">
        <w:trPr>
          <w:jc w:val="center"/>
        </w:trPr>
        <w:tc>
          <w:tcPr>
            <w:tcW w:w="1702" w:type="dxa"/>
            <w:shd w:val="clear" w:color="auto" w:fill="FFC000"/>
          </w:tcPr>
          <w:p w:rsidR="003E24B5" w:rsidRDefault="003E24B5" w:rsidP="00E84A61">
            <w:pPr>
              <w:spacing w:before="120" w:after="120"/>
              <w:jc w:val="left"/>
              <w:rPr>
                <w:rFonts w:ascii="Calibri" w:hAnsi="Calibri"/>
                <w:b/>
                <w:i/>
                <w:szCs w:val="20"/>
              </w:rPr>
            </w:pPr>
            <w:r w:rsidRPr="002C5E72">
              <w:rPr>
                <w:rFonts w:ascii="Calibri" w:hAnsi="Calibri"/>
                <w:b/>
                <w:i/>
                <w:szCs w:val="20"/>
              </w:rPr>
              <w:t xml:space="preserve">General Requirements </w:t>
            </w:r>
          </w:p>
          <w:p w:rsidR="003E24B5" w:rsidRPr="002C5E72" w:rsidRDefault="003E24B5" w:rsidP="00E84A61">
            <w:pPr>
              <w:spacing w:before="120" w:after="120"/>
              <w:jc w:val="left"/>
              <w:rPr>
                <w:rFonts w:ascii="Calibri" w:hAnsi="Calibri"/>
                <w:b/>
                <w:i/>
                <w:szCs w:val="20"/>
              </w:rPr>
            </w:pPr>
            <w:r>
              <w:rPr>
                <w:rFonts w:ascii="Calibri" w:hAnsi="Calibri"/>
                <w:b/>
                <w:i/>
                <w:szCs w:val="20"/>
              </w:rPr>
              <w:t>(Section 4.1 DIIS)</w:t>
            </w:r>
          </w:p>
        </w:tc>
        <w:tc>
          <w:tcPr>
            <w:tcW w:w="1972" w:type="dxa"/>
            <w:shd w:val="clear" w:color="auto" w:fill="FFC000"/>
          </w:tcPr>
          <w:p w:rsidR="003E24B5" w:rsidRDefault="003E24B5" w:rsidP="00E84A61">
            <w:pPr>
              <w:spacing w:before="120" w:after="120"/>
              <w:jc w:val="left"/>
              <w:rPr>
                <w:rFonts w:ascii="Calibri" w:hAnsi="Calibri"/>
                <w:i/>
                <w:szCs w:val="20"/>
              </w:rPr>
            </w:pPr>
            <w:r>
              <w:rPr>
                <w:rFonts w:ascii="Calibri" w:hAnsi="Calibri"/>
                <w:i/>
                <w:szCs w:val="20"/>
              </w:rPr>
              <w:t xml:space="preserve">Operator fails to develop and implement </w:t>
            </w:r>
            <w:r w:rsidRPr="007860F3">
              <w:rPr>
                <w:rFonts w:ascii="Calibri" w:hAnsi="Calibri"/>
                <w:i/>
                <w:szCs w:val="20"/>
              </w:rPr>
              <w:t>documented work methods describing safe and environmentally sound practices</w:t>
            </w:r>
          </w:p>
        </w:tc>
        <w:tc>
          <w:tcPr>
            <w:tcW w:w="2110" w:type="dxa"/>
            <w:shd w:val="clear" w:color="auto" w:fill="FFC000"/>
          </w:tcPr>
          <w:p w:rsidR="003E24B5" w:rsidRDefault="003E24B5" w:rsidP="00162446">
            <w:pPr>
              <w:pStyle w:val="ListParagraph"/>
              <w:numPr>
                <w:ilvl w:val="0"/>
                <w:numId w:val="15"/>
              </w:numPr>
              <w:spacing w:before="120" w:after="120"/>
              <w:jc w:val="left"/>
              <w:rPr>
                <w:rFonts w:ascii="Calibri" w:hAnsi="Calibri"/>
                <w:szCs w:val="20"/>
              </w:rPr>
            </w:pPr>
            <w:r>
              <w:rPr>
                <w:rFonts w:ascii="Calibri" w:hAnsi="Calibri"/>
                <w:szCs w:val="20"/>
              </w:rPr>
              <w:t xml:space="preserve">Untrained operator doesn’t understand the operational risks and requirements. </w:t>
            </w:r>
          </w:p>
          <w:p w:rsidR="003E24B5" w:rsidRPr="00092BA7" w:rsidRDefault="003E24B5" w:rsidP="00162446">
            <w:pPr>
              <w:pStyle w:val="ListParagraph"/>
              <w:numPr>
                <w:ilvl w:val="0"/>
                <w:numId w:val="15"/>
              </w:numPr>
              <w:spacing w:before="120" w:after="120"/>
              <w:jc w:val="left"/>
              <w:rPr>
                <w:rFonts w:ascii="Calibri" w:hAnsi="Calibri"/>
                <w:szCs w:val="20"/>
              </w:rPr>
            </w:pPr>
            <w:r>
              <w:rPr>
                <w:rFonts w:ascii="Calibri" w:hAnsi="Calibri"/>
                <w:szCs w:val="20"/>
              </w:rPr>
              <w:t>Lack of industry standard requirement and/or enforcement.</w:t>
            </w:r>
          </w:p>
        </w:tc>
        <w:tc>
          <w:tcPr>
            <w:tcW w:w="2000" w:type="dxa"/>
            <w:shd w:val="clear" w:color="auto" w:fill="FFC000"/>
          </w:tcPr>
          <w:p w:rsidR="003E24B5" w:rsidRPr="00092BA7" w:rsidRDefault="003E24B5" w:rsidP="00162446">
            <w:pPr>
              <w:pStyle w:val="ListParagraph"/>
              <w:numPr>
                <w:ilvl w:val="0"/>
                <w:numId w:val="15"/>
              </w:numPr>
              <w:spacing w:before="120" w:after="120"/>
              <w:jc w:val="left"/>
              <w:rPr>
                <w:rFonts w:ascii="Calibri" w:hAnsi="Calibri"/>
                <w:szCs w:val="20"/>
              </w:rPr>
            </w:pPr>
            <w:r>
              <w:rPr>
                <w:rFonts w:ascii="Calibri" w:hAnsi="Calibri"/>
                <w:szCs w:val="20"/>
              </w:rPr>
              <w:t>Potential harm to employees and the environment as a result of unsafe work practices.</w:t>
            </w:r>
          </w:p>
        </w:tc>
        <w:tc>
          <w:tcPr>
            <w:tcW w:w="3082" w:type="dxa"/>
            <w:shd w:val="clear" w:color="auto" w:fill="FFC000"/>
          </w:tcPr>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 xml:space="preserve">Section 4.1 of the DIIS requires collection locations, transporters and recyclers to have documented work methods describing safe and environmentally sound practices. </w:t>
            </w:r>
          </w:p>
        </w:tc>
        <w:tc>
          <w:tcPr>
            <w:tcW w:w="1118"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Adequate</w:t>
            </w:r>
          </w:p>
        </w:tc>
        <w:tc>
          <w:tcPr>
            <w:tcW w:w="1000"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possible</w:t>
            </w:r>
          </w:p>
        </w:tc>
        <w:tc>
          <w:tcPr>
            <w:tcW w:w="900" w:type="dxa"/>
            <w:shd w:val="clear" w:color="auto" w:fill="FFC000"/>
          </w:tcPr>
          <w:p w:rsidR="003E24B5" w:rsidRDefault="003E24B5" w:rsidP="00E84A61">
            <w:pPr>
              <w:spacing w:before="120" w:after="120"/>
              <w:ind w:firstLine="3"/>
              <w:jc w:val="left"/>
              <w:rPr>
                <w:rFonts w:ascii="Calibri" w:hAnsi="Calibri"/>
                <w:szCs w:val="20"/>
              </w:rPr>
            </w:pPr>
            <w:r>
              <w:rPr>
                <w:rFonts w:ascii="Calibri" w:hAnsi="Calibri"/>
                <w:szCs w:val="20"/>
              </w:rPr>
              <w:t>Moderate</w:t>
            </w:r>
          </w:p>
        </w:tc>
        <w:tc>
          <w:tcPr>
            <w:tcW w:w="800"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High</w:t>
            </w:r>
          </w:p>
        </w:tc>
        <w:tc>
          <w:tcPr>
            <w:tcW w:w="1222"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Refer to risk treatment plan</w:t>
            </w:r>
          </w:p>
        </w:tc>
      </w:tr>
      <w:tr w:rsidR="003E24B5" w:rsidTr="008D5CBC">
        <w:trPr>
          <w:jc w:val="center"/>
        </w:trPr>
        <w:tc>
          <w:tcPr>
            <w:tcW w:w="1702" w:type="dxa"/>
            <w:shd w:val="clear" w:color="auto" w:fill="FFFF00"/>
          </w:tcPr>
          <w:p w:rsidR="003E24B5" w:rsidRDefault="003E24B5" w:rsidP="00E84A61">
            <w:pPr>
              <w:spacing w:before="120" w:after="120"/>
              <w:jc w:val="left"/>
              <w:rPr>
                <w:rFonts w:ascii="Calibri" w:hAnsi="Calibri"/>
                <w:szCs w:val="20"/>
              </w:rPr>
            </w:pPr>
            <w:r>
              <w:rPr>
                <w:rFonts w:ascii="Calibri" w:hAnsi="Calibri"/>
                <w:b/>
                <w:i/>
                <w:szCs w:val="20"/>
              </w:rPr>
              <w:t>(Section 4.1 DIIS)</w:t>
            </w:r>
          </w:p>
        </w:tc>
        <w:tc>
          <w:tcPr>
            <w:tcW w:w="1972" w:type="dxa"/>
            <w:shd w:val="clear" w:color="auto" w:fill="FFFF00"/>
          </w:tcPr>
          <w:p w:rsidR="003E24B5" w:rsidRPr="00C91A39" w:rsidRDefault="003E24B5" w:rsidP="00E84A61">
            <w:pPr>
              <w:spacing w:before="120" w:after="120"/>
              <w:jc w:val="left"/>
              <w:rPr>
                <w:rFonts w:ascii="Calibri" w:hAnsi="Calibri"/>
                <w:i/>
                <w:szCs w:val="20"/>
              </w:rPr>
            </w:pPr>
            <w:r w:rsidRPr="00C91A39">
              <w:rPr>
                <w:rFonts w:ascii="Calibri" w:hAnsi="Calibri"/>
                <w:i/>
                <w:szCs w:val="20"/>
              </w:rPr>
              <w:t>Inadequate training and assessment of competence of staff.</w:t>
            </w:r>
          </w:p>
          <w:p w:rsidR="003E24B5" w:rsidRPr="00C91A39" w:rsidRDefault="003E24B5" w:rsidP="00E84A61">
            <w:pPr>
              <w:spacing w:before="120" w:after="120"/>
              <w:jc w:val="left"/>
              <w:rPr>
                <w:rFonts w:ascii="Calibri" w:hAnsi="Calibri"/>
                <w:i/>
                <w:szCs w:val="20"/>
              </w:rPr>
            </w:pPr>
            <w:r w:rsidRPr="00C91A39">
              <w:rPr>
                <w:rFonts w:ascii="Calibri" w:hAnsi="Calibri"/>
                <w:i/>
                <w:szCs w:val="20"/>
              </w:rPr>
              <w:t xml:space="preserve">Staff not appropriately trained to handle, dismantle, </w:t>
            </w:r>
            <w:r w:rsidRPr="00C91A39">
              <w:rPr>
                <w:rFonts w:ascii="Calibri" w:hAnsi="Calibri"/>
                <w:i/>
                <w:szCs w:val="20"/>
              </w:rPr>
              <w:lastRenderedPageBreak/>
              <w:t>recycle and treat goods.</w:t>
            </w:r>
          </w:p>
        </w:tc>
        <w:tc>
          <w:tcPr>
            <w:tcW w:w="2110" w:type="dxa"/>
            <w:shd w:val="clear" w:color="auto" w:fill="FFFF00"/>
          </w:tcPr>
          <w:p w:rsidR="003E24B5" w:rsidRPr="00092BA7" w:rsidRDefault="003E24B5" w:rsidP="00162446">
            <w:pPr>
              <w:pStyle w:val="ListParagraph"/>
              <w:numPr>
                <w:ilvl w:val="0"/>
                <w:numId w:val="16"/>
              </w:numPr>
              <w:spacing w:before="120" w:after="120"/>
              <w:jc w:val="left"/>
              <w:rPr>
                <w:rFonts w:ascii="Calibri" w:hAnsi="Calibri"/>
                <w:szCs w:val="20"/>
              </w:rPr>
            </w:pPr>
            <w:r>
              <w:rPr>
                <w:rFonts w:ascii="Calibri" w:hAnsi="Calibri"/>
                <w:szCs w:val="20"/>
              </w:rPr>
              <w:lastRenderedPageBreak/>
              <w:t>Operator tries to save money by employing untrained staff.</w:t>
            </w:r>
          </w:p>
        </w:tc>
        <w:tc>
          <w:tcPr>
            <w:tcW w:w="2000" w:type="dxa"/>
            <w:shd w:val="clear" w:color="auto" w:fill="FFFF00"/>
          </w:tcPr>
          <w:p w:rsidR="003E24B5" w:rsidRPr="00092BA7" w:rsidRDefault="003E24B5" w:rsidP="00162446">
            <w:pPr>
              <w:pStyle w:val="ListParagraph"/>
              <w:numPr>
                <w:ilvl w:val="0"/>
                <w:numId w:val="16"/>
              </w:numPr>
              <w:spacing w:before="120" w:after="120"/>
              <w:jc w:val="left"/>
              <w:rPr>
                <w:rFonts w:ascii="Calibri" w:hAnsi="Calibri"/>
                <w:szCs w:val="20"/>
              </w:rPr>
            </w:pPr>
            <w:r>
              <w:rPr>
                <w:rFonts w:ascii="Calibri" w:hAnsi="Calibri"/>
                <w:szCs w:val="20"/>
              </w:rPr>
              <w:t xml:space="preserve">Employees inadequately equipped to perform the necessary tasks. </w:t>
            </w:r>
          </w:p>
        </w:tc>
        <w:tc>
          <w:tcPr>
            <w:tcW w:w="3082" w:type="dxa"/>
            <w:shd w:val="clear" w:color="auto" w:fill="FFFF00"/>
          </w:tcPr>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 xml:space="preserve">Section 4.1 (b) of the DIIS requires management to conduct training and assessment of all people involved in carrying out the identified activities. </w:t>
            </w:r>
          </w:p>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 xml:space="preserve">Sub clause (e) requires records of </w:t>
            </w:r>
            <w:r>
              <w:rPr>
                <w:rFonts w:ascii="Calibri" w:hAnsi="Calibri"/>
                <w:szCs w:val="20"/>
              </w:rPr>
              <w:lastRenderedPageBreak/>
              <w:t>training, assessment and monitoring to be maintained.</w:t>
            </w:r>
          </w:p>
        </w:tc>
        <w:tc>
          <w:tcPr>
            <w:tcW w:w="1118"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lastRenderedPageBreak/>
              <w:t>Strong (once enforced)</w:t>
            </w:r>
          </w:p>
        </w:tc>
        <w:tc>
          <w:tcPr>
            <w:tcW w:w="10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Unlikely</w:t>
            </w:r>
          </w:p>
        </w:tc>
        <w:tc>
          <w:tcPr>
            <w:tcW w:w="900" w:type="dxa"/>
            <w:shd w:val="clear" w:color="auto" w:fill="FFFF00"/>
          </w:tcPr>
          <w:p w:rsidR="003E24B5" w:rsidRDefault="003E24B5" w:rsidP="00E84A61">
            <w:pPr>
              <w:spacing w:before="120" w:after="120"/>
              <w:ind w:firstLine="3"/>
              <w:jc w:val="left"/>
              <w:rPr>
                <w:rFonts w:ascii="Calibri" w:hAnsi="Calibri"/>
                <w:szCs w:val="20"/>
              </w:rPr>
            </w:pPr>
            <w:r>
              <w:rPr>
                <w:rFonts w:ascii="Calibri" w:hAnsi="Calibri"/>
                <w:szCs w:val="20"/>
              </w:rPr>
              <w:t>Moderate</w:t>
            </w:r>
          </w:p>
        </w:tc>
        <w:tc>
          <w:tcPr>
            <w:tcW w:w="8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Enforcement of the Standard requirements</w:t>
            </w:r>
          </w:p>
        </w:tc>
      </w:tr>
      <w:tr w:rsidR="003E24B5" w:rsidTr="008D5CBC">
        <w:trPr>
          <w:jc w:val="center"/>
        </w:trPr>
        <w:tc>
          <w:tcPr>
            <w:tcW w:w="1702" w:type="dxa"/>
            <w:shd w:val="clear" w:color="auto" w:fill="FFFF00"/>
          </w:tcPr>
          <w:p w:rsidR="003E24B5" w:rsidRDefault="003E24B5" w:rsidP="00E84A61">
            <w:pPr>
              <w:spacing w:before="120" w:after="120"/>
              <w:jc w:val="left"/>
              <w:rPr>
                <w:rFonts w:ascii="Calibri" w:hAnsi="Calibri"/>
                <w:szCs w:val="20"/>
              </w:rPr>
            </w:pPr>
            <w:r>
              <w:rPr>
                <w:rFonts w:ascii="Calibri" w:hAnsi="Calibri"/>
                <w:b/>
                <w:i/>
                <w:szCs w:val="20"/>
              </w:rPr>
              <w:lastRenderedPageBreak/>
              <w:t>(Section 4.1(c) DIIS)</w:t>
            </w:r>
          </w:p>
        </w:tc>
        <w:tc>
          <w:tcPr>
            <w:tcW w:w="1972" w:type="dxa"/>
            <w:shd w:val="clear" w:color="auto" w:fill="FFFF00"/>
          </w:tcPr>
          <w:p w:rsidR="003E24B5" w:rsidRDefault="003E24B5" w:rsidP="00E84A61">
            <w:pPr>
              <w:spacing w:before="120" w:after="120"/>
              <w:jc w:val="left"/>
              <w:rPr>
                <w:rFonts w:ascii="Calibri" w:hAnsi="Calibri"/>
                <w:i/>
                <w:szCs w:val="20"/>
              </w:rPr>
            </w:pPr>
          </w:p>
          <w:p w:rsidR="003E24B5" w:rsidRPr="007860F3" w:rsidRDefault="003E24B5" w:rsidP="00E84A61">
            <w:pPr>
              <w:spacing w:before="120" w:after="120"/>
              <w:jc w:val="left"/>
              <w:rPr>
                <w:rFonts w:ascii="Calibri" w:hAnsi="Calibri"/>
                <w:i/>
                <w:szCs w:val="20"/>
              </w:rPr>
            </w:pPr>
            <w:r w:rsidRPr="007860F3">
              <w:rPr>
                <w:rFonts w:ascii="Calibri" w:hAnsi="Calibri"/>
                <w:i/>
                <w:szCs w:val="20"/>
              </w:rPr>
              <w:t>Lack of monitoring systems eg; site inspections or audits</w:t>
            </w:r>
            <w:r>
              <w:rPr>
                <w:rFonts w:ascii="Calibri" w:hAnsi="Calibri"/>
                <w:i/>
                <w:szCs w:val="20"/>
              </w:rPr>
              <w:t xml:space="preserve"> to ensure adoption/implementation of safe work methods.</w:t>
            </w:r>
          </w:p>
        </w:tc>
        <w:tc>
          <w:tcPr>
            <w:tcW w:w="2110" w:type="dxa"/>
            <w:shd w:val="clear" w:color="auto" w:fill="FFFF00"/>
          </w:tcPr>
          <w:p w:rsidR="003E24B5" w:rsidRPr="005F194F" w:rsidRDefault="003E24B5" w:rsidP="00162446">
            <w:pPr>
              <w:pStyle w:val="ListParagraph"/>
              <w:numPr>
                <w:ilvl w:val="0"/>
                <w:numId w:val="17"/>
              </w:numPr>
              <w:spacing w:before="120" w:after="120"/>
              <w:jc w:val="left"/>
              <w:rPr>
                <w:rFonts w:ascii="Calibri" w:hAnsi="Calibri"/>
                <w:szCs w:val="20"/>
              </w:rPr>
            </w:pPr>
            <w:r w:rsidRPr="005F194F">
              <w:rPr>
                <w:rFonts w:ascii="Calibri" w:hAnsi="Calibri"/>
                <w:szCs w:val="20"/>
              </w:rPr>
              <w:t>Unregulated industry/operations</w:t>
            </w:r>
          </w:p>
        </w:tc>
        <w:tc>
          <w:tcPr>
            <w:tcW w:w="2000" w:type="dxa"/>
            <w:shd w:val="clear" w:color="auto" w:fill="FFFF00"/>
          </w:tcPr>
          <w:p w:rsidR="003E24B5" w:rsidRDefault="003E24B5" w:rsidP="00162446">
            <w:pPr>
              <w:pStyle w:val="ListParagraph"/>
              <w:numPr>
                <w:ilvl w:val="0"/>
                <w:numId w:val="17"/>
              </w:numPr>
              <w:spacing w:before="120" w:after="120"/>
              <w:jc w:val="left"/>
              <w:rPr>
                <w:rFonts w:ascii="Calibri" w:hAnsi="Calibri"/>
                <w:szCs w:val="20"/>
              </w:rPr>
            </w:pPr>
            <w:r>
              <w:rPr>
                <w:rFonts w:ascii="Calibri" w:hAnsi="Calibri"/>
                <w:szCs w:val="20"/>
              </w:rPr>
              <w:t xml:space="preserve">Environmental damage </w:t>
            </w:r>
          </w:p>
          <w:p w:rsidR="003E24B5" w:rsidRPr="00092BA7" w:rsidRDefault="003E24B5" w:rsidP="00162446">
            <w:pPr>
              <w:pStyle w:val="ListParagraph"/>
              <w:numPr>
                <w:ilvl w:val="0"/>
                <w:numId w:val="17"/>
              </w:numPr>
              <w:spacing w:before="120" w:after="120"/>
              <w:jc w:val="left"/>
              <w:rPr>
                <w:rFonts w:ascii="Calibri" w:hAnsi="Calibri"/>
                <w:szCs w:val="20"/>
              </w:rPr>
            </w:pPr>
            <w:r>
              <w:rPr>
                <w:rFonts w:ascii="Calibri" w:hAnsi="Calibri"/>
                <w:szCs w:val="20"/>
              </w:rPr>
              <w:t>Employees unnecessarily exposed to harmful substances</w:t>
            </w:r>
          </w:p>
        </w:tc>
        <w:tc>
          <w:tcPr>
            <w:tcW w:w="3082" w:type="dxa"/>
            <w:shd w:val="clear" w:color="auto" w:fill="FFFF00"/>
          </w:tcPr>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 xml:space="preserve">Section 4.1 (d) of the DIIS requires collection locations, transporters and recyclers to monitor worker exposure or air emissions if potential exposure above safe limits is identified as a potential risk. </w:t>
            </w:r>
          </w:p>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The notes attached to Section 2 – Application, of the DIIS state that it is expected that an auditing regime will need to be established under the National Television and Computer Product Stewardship Scheme to monitor compliance of collection locations.</w:t>
            </w:r>
          </w:p>
        </w:tc>
        <w:tc>
          <w:tcPr>
            <w:tcW w:w="1118"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Adequate</w:t>
            </w:r>
          </w:p>
        </w:tc>
        <w:tc>
          <w:tcPr>
            <w:tcW w:w="10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Unlikely</w:t>
            </w:r>
          </w:p>
        </w:tc>
        <w:tc>
          <w:tcPr>
            <w:tcW w:w="900" w:type="dxa"/>
            <w:shd w:val="clear" w:color="auto" w:fill="FFFF00"/>
          </w:tcPr>
          <w:p w:rsidR="003E24B5" w:rsidRDefault="003E24B5" w:rsidP="00E84A61">
            <w:pPr>
              <w:spacing w:before="120" w:after="120"/>
              <w:ind w:firstLine="3"/>
              <w:jc w:val="left"/>
              <w:rPr>
                <w:rFonts w:ascii="Calibri" w:hAnsi="Calibri"/>
                <w:szCs w:val="20"/>
              </w:rPr>
            </w:pPr>
            <w:r>
              <w:rPr>
                <w:rFonts w:ascii="Calibri" w:hAnsi="Calibri"/>
                <w:szCs w:val="20"/>
              </w:rPr>
              <w:t>Moderate</w:t>
            </w:r>
          </w:p>
        </w:tc>
        <w:tc>
          <w:tcPr>
            <w:tcW w:w="8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Implementation of auditing regime</w:t>
            </w:r>
          </w:p>
        </w:tc>
      </w:tr>
      <w:tr w:rsidR="003E24B5" w:rsidTr="008D5CBC">
        <w:trPr>
          <w:jc w:val="center"/>
        </w:trPr>
        <w:tc>
          <w:tcPr>
            <w:tcW w:w="1702" w:type="dxa"/>
            <w:shd w:val="clear" w:color="auto" w:fill="FFFF00"/>
          </w:tcPr>
          <w:p w:rsidR="003E24B5" w:rsidRDefault="003E24B5" w:rsidP="00E84A61">
            <w:pPr>
              <w:spacing w:before="120" w:after="120"/>
              <w:jc w:val="left"/>
              <w:rPr>
                <w:rFonts w:ascii="Calibri" w:hAnsi="Calibri"/>
                <w:szCs w:val="20"/>
              </w:rPr>
            </w:pPr>
            <w:r>
              <w:rPr>
                <w:rFonts w:ascii="Calibri" w:hAnsi="Calibri"/>
                <w:b/>
                <w:i/>
                <w:szCs w:val="20"/>
              </w:rPr>
              <w:t>(Section 4.1(c) DIIS)</w:t>
            </w:r>
          </w:p>
        </w:tc>
        <w:tc>
          <w:tcPr>
            <w:tcW w:w="1972" w:type="dxa"/>
            <w:shd w:val="clear" w:color="auto" w:fill="FFFF00"/>
          </w:tcPr>
          <w:p w:rsidR="003E24B5" w:rsidRPr="007860F3" w:rsidRDefault="003E24B5" w:rsidP="00E84A61">
            <w:pPr>
              <w:spacing w:before="120" w:after="120"/>
              <w:jc w:val="left"/>
              <w:rPr>
                <w:rFonts w:ascii="Calibri" w:hAnsi="Calibri"/>
                <w:i/>
                <w:szCs w:val="20"/>
              </w:rPr>
            </w:pPr>
            <w:r w:rsidRPr="007860F3">
              <w:rPr>
                <w:rFonts w:ascii="Calibri" w:hAnsi="Calibri"/>
                <w:i/>
                <w:szCs w:val="20"/>
              </w:rPr>
              <w:t>Failure to maintain records of training, assessment and monitoring</w:t>
            </w:r>
          </w:p>
        </w:tc>
        <w:tc>
          <w:tcPr>
            <w:tcW w:w="2110" w:type="dxa"/>
            <w:shd w:val="clear" w:color="auto" w:fill="FFFF00"/>
          </w:tcPr>
          <w:p w:rsidR="003E24B5" w:rsidRPr="002C4CA5" w:rsidRDefault="003E24B5" w:rsidP="00162446">
            <w:pPr>
              <w:pStyle w:val="ListParagraph"/>
              <w:numPr>
                <w:ilvl w:val="0"/>
                <w:numId w:val="19"/>
              </w:numPr>
              <w:spacing w:before="120" w:after="120"/>
              <w:jc w:val="left"/>
              <w:rPr>
                <w:rFonts w:ascii="Calibri" w:hAnsi="Calibri"/>
                <w:szCs w:val="20"/>
              </w:rPr>
            </w:pPr>
            <w:r w:rsidRPr="002C4CA5">
              <w:rPr>
                <w:rFonts w:ascii="Calibri" w:hAnsi="Calibri"/>
                <w:szCs w:val="20"/>
              </w:rPr>
              <w:t>Unregulated industry/operations</w:t>
            </w:r>
          </w:p>
        </w:tc>
        <w:tc>
          <w:tcPr>
            <w:tcW w:w="2000" w:type="dxa"/>
            <w:shd w:val="clear" w:color="auto" w:fill="FFFF00"/>
          </w:tcPr>
          <w:p w:rsidR="003E24B5" w:rsidRPr="002C4CA5" w:rsidRDefault="003E24B5" w:rsidP="00162446">
            <w:pPr>
              <w:pStyle w:val="ListParagraph"/>
              <w:numPr>
                <w:ilvl w:val="0"/>
                <w:numId w:val="18"/>
              </w:numPr>
              <w:spacing w:before="120" w:after="120"/>
              <w:jc w:val="left"/>
              <w:rPr>
                <w:rFonts w:ascii="Calibri" w:hAnsi="Calibri"/>
                <w:szCs w:val="20"/>
              </w:rPr>
            </w:pPr>
            <w:r>
              <w:rPr>
                <w:rFonts w:ascii="Calibri" w:hAnsi="Calibri"/>
                <w:szCs w:val="20"/>
              </w:rPr>
              <w:t>No ability to audit staff capability and identify future training needs</w:t>
            </w:r>
          </w:p>
        </w:tc>
        <w:tc>
          <w:tcPr>
            <w:tcW w:w="3082" w:type="dxa"/>
            <w:shd w:val="clear" w:color="auto" w:fill="FFFF00"/>
          </w:tcPr>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 xml:space="preserve">Section 4.1 (e) of the DIIS requires collection locations, transporters and recyclers to maintain records of training, assessment and monitoring. </w:t>
            </w:r>
          </w:p>
        </w:tc>
        <w:tc>
          <w:tcPr>
            <w:tcW w:w="1118"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Strong</w:t>
            </w:r>
          </w:p>
        </w:tc>
        <w:tc>
          <w:tcPr>
            <w:tcW w:w="10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Unlikely</w:t>
            </w:r>
          </w:p>
        </w:tc>
        <w:tc>
          <w:tcPr>
            <w:tcW w:w="900" w:type="dxa"/>
            <w:shd w:val="clear" w:color="auto" w:fill="FFFF00"/>
          </w:tcPr>
          <w:p w:rsidR="003E24B5" w:rsidRDefault="003E24B5" w:rsidP="00E84A61">
            <w:pPr>
              <w:spacing w:before="120" w:after="120"/>
              <w:ind w:firstLine="3"/>
              <w:jc w:val="left"/>
              <w:rPr>
                <w:rFonts w:ascii="Calibri" w:hAnsi="Calibri"/>
                <w:szCs w:val="20"/>
              </w:rPr>
            </w:pPr>
            <w:r>
              <w:rPr>
                <w:rFonts w:ascii="Calibri" w:hAnsi="Calibri"/>
                <w:szCs w:val="20"/>
              </w:rPr>
              <w:t>Minor</w:t>
            </w:r>
          </w:p>
        </w:tc>
        <w:tc>
          <w:tcPr>
            <w:tcW w:w="8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Implementation of auditing regime</w:t>
            </w:r>
          </w:p>
        </w:tc>
      </w:tr>
      <w:tr w:rsidR="003E24B5" w:rsidTr="008D5CBC">
        <w:trPr>
          <w:jc w:val="center"/>
        </w:trPr>
        <w:tc>
          <w:tcPr>
            <w:tcW w:w="1702" w:type="dxa"/>
            <w:shd w:val="clear" w:color="auto" w:fill="FFFF00"/>
          </w:tcPr>
          <w:p w:rsidR="003E24B5" w:rsidRDefault="003E24B5" w:rsidP="00E84A61">
            <w:pPr>
              <w:jc w:val="left"/>
              <w:rPr>
                <w:rFonts w:ascii="Calibri" w:hAnsi="Calibri"/>
                <w:b/>
                <w:i/>
                <w:szCs w:val="20"/>
              </w:rPr>
            </w:pPr>
          </w:p>
          <w:p w:rsidR="003E24B5" w:rsidRPr="00C109AE" w:rsidRDefault="003E24B5" w:rsidP="00E84A61">
            <w:pPr>
              <w:jc w:val="left"/>
              <w:rPr>
                <w:rFonts w:ascii="Calibri" w:hAnsi="Calibri"/>
                <w:b/>
                <w:i/>
                <w:szCs w:val="20"/>
              </w:rPr>
            </w:pPr>
            <w:r w:rsidRPr="00C109AE">
              <w:rPr>
                <w:rFonts w:ascii="Calibri" w:hAnsi="Calibri"/>
                <w:b/>
                <w:i/>
                <w:szCs w:val="20"/>
              </w:rPr>
              <w:t xml:space="preserve">Requirements for </w:t>
            </w:r>
            <w:r w:rsidRPr="00C109AE">
              <w:rPr>
                <w:rFonts w:ascii="Calibri" w:hAnsi="Calibri"/>
                <w:b/>
                <w:i/>
                <w:szCs w:val="20"/>
              </w:rPr>
              <w:lastRenderedPageBreak/>
              <w:t>Recyclers</w:t>
            </w:r>
          </w:p>
          <w:p w:rsidR="003E24B5" w:rsidRDefault="003E24B5" w:rsidP="00E84A61">
            <w:pPr>
              <w:jc w:val="left"/>
              <w:rPr>
                <w:rFonts w:ascii="Calibri" w:hAnsi="Calibri" w:cs="Calibri"/>
                <w:b/>
                <w:bCs/>
                <w:i/>
                <w:iCs/>
                <w:color w:val="000000"/>
                <w:sz w:val="22"/>
              </w:rPr>
            </w:pPr>
            <w:r w:rsidRPr="00C109AE">
              <w:rPr>
                <w:rFonts w:ascii="Calibri" w:hAnsi="Calibri"/>
                <w:b/>
                <w:i/>
                <w:szCs w:val="20"/>
              </w:rPr>
              <w:t>(DIIS – Section 4.2)</w:t>
            </w:r>
          </w:p>
        </w:tc>
        <w:tc>
          <w:tcPr>
            <w:tcW w:w="1972" w:type="dxa"/>
            <w:shd w:val="clear" w:color="auto" w:fill="FFFF00"/>
          </w:tcPr>
          <w:p w:rsidR="003E24B5" w:rsidRPr="005D4BEC" w:rsidRDefault="003E24B5" w:rsidP="00E84A61">
            <w:pPr>
              <w:spacing w:before="120" w:after="120"/>
              <w:jc w:val="left"/>
              <w:rPr>
                <w:rFonts w:ascii="Calibri" w:hAnsi="Calibri"/>
                <w:i/>
                <w:szCs w:val="20"/>
              </w:rPr>
            </w:pPr>
            <w:r w:rsidRPr="005D4BEC">
              <w:rPr>
                <w:rFonts w:ascii="Calibri" w:hAnsi="Calibri"/>
                <w:i/>
                <w:szCs w:val="20"/>
              </w:rPr>
              <w:lastRenderedPageBreak/>
              <w:t xml:space="preserve">Failure to accurately track hazardous waste to its ultimate </w:t>
            </w:r>
            <w:r w:rsidRPr="005D4BEC">
              <w:rPr>
                <w:rFonts w:ascii="Calibri" w:hAnsi="Calibri"/>
                <w:i/>
                <w:szCs w:val="20"/>
              </w:rPr>
              <w:lastRenderedPageBreak/>
              <w:t>point of disposal at licensed premises.</w:t>
            </w:r>
          </w:p>
          <w:p w:rsidR="003E24B5" w:rsidRPr="005D4BEC" w:rsidRDefault="003E24B5" w:rsidP="00E84A61">
            <w:pPr>
              <w:spacing w:before="120" w:after="120"/>
              <w:jc w:val="left"/>
              <w:rPr>
                <w:rFonts w:ascii="Calibri" w:hAnsi="Calibri"/>
                <w:i/>
                <w:szCs w:val="20"/>
              </w:rPr>
            </w:pPr>
          </w:p>
        </w:tc>
        <w:tc>
          <w:tcPr>
            <w:tcW w:w="2110" w:type="dxa"/>
            <w:shd w:val="clear" w:color="auto" w:fill="FFFF00"/>
          </w:tcPr>
          <w:p w:rsidR="003E24B5" w:rsidRDefault="003E24B5" w:rsidP="00162446">
            <w:pPr>
              <w:pStyle w:val="ListParagraph"/>
              <w:numPr>
                <w:ilvl w:val="0"/>
                <w:numId w:val="29"/>
              </w:numPr>
              <w:spacing w:before="120" w:after="120"/>
              <w:jc w:val="left"/>
              <w:rPr>
                <w:rFonts w:ascii="Calibri" w:hAnsi="Calibri"/>
                <w:szCs w:val="20"/>
              </w:rPr>
            </w:pPr>
            <w:r>
              <w:rPr>
                <w:rFonts w:ascii="Calibri" w:hAnsi="Calibri"/>
                <w:szCs w:val="20"/>
              </w:rPr>
              <w:lastRenderedPageBreak/>
              <w:t xml:space="preserve">Lack of regulatory requirements </w:t>
            </w:r>
          </w:p>
          <w:p w:rsidR="003E24B5" w:rsidRPr="00D11CEF" w:rsidRDefault="003E24B5" w:rsidP="00162446">
            <w:pPr>
              <w:pStyle w:val="ListParagraph"/>
              <w:numPr>
                <w:ilvl w:val="0"/>
                <w:numId w:val="29"/>
              </w:numPr>
              <w:spacing w:before="120" w:after="120"/>
              <w:jc w:val="left"/>
              <w:rPr>
                <w:rFonts w:ascii="Calibri" w:hAnsi="Calibri"/>
                <w:szCs w:val="20"/>
              </w:rPr>
            </w:pPr>
            <w:r>
              <w:rPr>
                <w:rFonts w:ascii="Calibri" w:hAnsi="Calibri"/>
                <w:szCs w:val="20"/>
              </w:rPr>
              <w:t xml:space="preserve">Failure to adhere </w:t>
            </w:r>
            <w:r>
              <w:rPr>
                <w:rFonts w:ascii="Calibri" w:hAnsi="Calibri"/>
                <w:szCs w:val="20"/>
              </w:rPr>
              <w:lastRenderedPageBreak/>
              <w:t>to regulatory requirements</w:t>
            </w:r>
          </w:p>
        </w:tc>
        <w:tc>
          <w:tcPr>
            <w:tcW w:w="2000" w:type="dxa"/>
            <w:shd w:val="clear" w:color="auto" w:fill="FFFF00"/>
          </w:tcPr>
          <w:p w:rsidR="003E24B5" w:rsidRPr="00D11CEF" w:rsidRDefault="003E24B5" w:rsidP="00162446">
            <w:pPr>
              <w:pStyle w:val="ListParagraph"/>
              <w:numPr>
                <w:ilvl w:val="0"/>
                <w:numId w:val="29"/>
              </w:numPr>
              <w:spacing w:before="120" w:after="120"/>
              <w:jc w:val="left"/>
              <w:rPr>
                <w:rFonts w:ascii="Calibri" w:hAnsi="Calibri"/>
                <w:szCs w:val="20"/>
              </w:rPr>
            </w:pPr>
            <w:r>
              <w:rPr>
                <w:rFonts w:ascii="Calibri" w:hAnsi="Calibri"/>
                <w:szCs w:val="20"/>
              </w:rPr>
              <w:lastRenderedPageBreak/>
              <w:t xml:space="preserve">Contaminated waste is disposed of at an unlicensed or </w:t>
            </w:r>
            <w:r>
              <w:rPr>
                <w:rFonts w:ascii="Calibri" w:hAnsi="Calibri"/>
                <w:szCs w:val="20"/>
              </w:rPr>
              <w:lastRenderedPageBreak/>
              <w:t>inappropriate facility</w:t>
            </w:r>
          </w:p>
        </w:tc>
        <w:tc>
          <w:tcPr>
            <w:tcW w:w="3082" w:type="dxa"/>
            <w:shd w:val="clear" w:color="auto" w:fill="FFFF00"/>
          </w:tcPr>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lastRenderedPageBreak/>
              <w:t xml:space="preserve">Section 7.5 of the DIIS – Traceability requires recyclers to fully account and report by weight </w:t>
            </w:r>
            <w:r>
              <w:rPr>
                <w:rFonts w:ascii="Calibri" w:hAnsi="Calibri"/>
                <w:szCs w:val="20"/>
              </w:rPr>
              <w:lastRenderedPageBreak/>
              <w:t>the downstream flow and handling of materials and components from EOL product. This section requires Substances of Concern to be tracked through each Downstream Processor to the “Point of Final Disposition.”</w:t>
            </w:r>
          </w:p>
        </w:tc>
        <w:tc>
          <w:tcPr>
            <w:tcW w:w="1118"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lastRenderedPageBreak/>
              <w:t>Strong</w:t>
            </w:r>
          </w:p>
        </w:tc>
        <w:tc>
          <w:tcPr>
            <w:tcW w:w="10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Unlikely</w:t>
            </w:r>
          </w:p>
        </w:tc>
        <w:tc>
          <w:tcPr>
            <w:tcW w:w="900" w:type="dxa"/>
            <w:shd w:val="clear" w:color="auto" w:fill="FFFF00"/>
          </w:tcPr>
          <w:p w:rsidR="003E24B5" w:rsidRDefault="003E24B5" w:rsidP="00E84A61">
            <w:pPr>
              <w:spacing w:before="120" w:after="120"/>
              <w:ind w:firstLine="3"/>
              <w:jc w:val="left"/>
              <w:rPr>
                <w:rFonts w:ascii="Calibri" w:hAnsi="Calibri"/>
                <w:szCs w:val="20"/>
              </w:rPr>
            </w:pPr>
            <w:r>
              <w:rPr>
                <w:rFonts w:ascii="Calibri" w:hAnsi="Calibri"/>
                <w:szCs w:val="20"/>
              </w:rPr>
              <w:t>Moderate</w:t>
            </w:r>
          </w:p>
        </w:tc>
        <w:tc>
          <w:tcPr>
            <w:tcW w:w="8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Maintain existing controls</w:t>
            </w:r>
          </w:p>
        </w:tc>
      </w:tr>
      <w:tr w:rsidR="003E24B5" w:rsidTr="008D5CBC">
        <w:trPr>
          <w:jc w:val="center"/>
        </w:trPr>
        <w:tc>
          <w:tcPr>
            <w:tcW w:w="1702" w:type="dxa"/>
            <w:shd w:val="clear" w:color="auto" w:fill="FFFF00"/>
          </w:tcPr>
          <w:p w:rsidR="003E24B5" w:rsidRPr="00C74B06" w:rsidRDefault="003E24B5" w:rsidP="00E84A61">
            <w:pPr>
              <w:spacing w:before="120" w:after="120"/>
              <w:jc w:val="left"/>
              <w:rPr>
                <w:rFonts w:ascii="Calibri" w:hAnsi="Calibri"/>
                <w:b/>
                <w:i/>
                <w:szCs w:val="20"/>
              </w:rPr>
            </w:pPr>
            <w:r w:rsidRPr="00C74B06">
              <w:rPr>
                <w:rFonts w:ascii="Calibri" w:hAnsi="Calibri"/>
                <w:b/>
                <w:i/>
                <w:szCs w:val="20"/>
              </w:rPr>
              <w:lastRenderedPageBreak/>
              <w:t>Requirements for Collection Locations</w:t>
            </w:r>
          </w:p>
          <w:p w:rsidR="003E24B5" w:rsidRPr="00C74B06" w:rsidRDefault="003E24B5" w:rsidP="00E84A61">
            <w:pPr>
              <w:spacing w:before="120" w:after="120"/>
              <w:jc w:val="left"/>
              <w:rPr>
                <w:rFonts w:ascii="Calibri" w:hAnsi="Calibri"/>
                <w:b/>
                <w:i/>
                <w:szCs w:val="20"/>
              </w:rPr>
            </w:pPr>
            <w:r w:rsidRPr="00C74B06">
              <w:rPr>
                <w:rFonts w:ascii="Calibri" w:hAnsi="Calibri"/>
                <w:b/>
                <w:i/>
                <w:szCs w:val="20"/>
              </w:rPr>
              <w:t>(DIIS Section 4.4)</w:t>
            </w:r>
          </w:p>
          <w:p w:rsidR="003E24B5" w:rsidRDefault="003E24B5" w:rsidP="00E84A61">
            <w:pPr>
              <w:spacing w:before="120" w:after="120"/>
              <w:jc w:val="left"/>
              <w:rPr>
                <w:rFonts w:ascii="Calibri" w:hAnsi="Calibri"/>
                <w:szCs w:val="20"/>
              </w:rPr>
            </w:pPr>
          </w:p>
        </w:tc>
        <w:tc>
          <w:tcPr>
            <w:tcW w:w="1972" w:type="dxa"/>
            <w:shd w:val="clear" w:color="auto" w:fill="FFFF00"/>
          </w:tcPr>
          <w:p w:rsidR="003E24B5" w:rsidRPr="005D4BEC" w:rsidRDefault="003E24B5" w:rsidP="00E84A61">
            <w:pPr>
              <w:spacing w:before="120" w:after="120"/>
              <w:jc w:val="left"/>
              <w:rPr>
                <w:rFonts w:ascii="Calibri" w:hAnsi="Calibri"/>
                <w:i/>
                <w:szCs w:val="20"/>
              </w:rPr>
            </w:pPr>
            <w:r w:rsidRPr="005D4BEC">
              <w:rPr>
                <w:rFonts w:ascii="Calibri" w:hAnsi="Calibri"/>
                <w:i/>
                <w:szCs w:val="20"/>
              </w:rPr>
              <w:t>EOL goods received at an unsuitable premises/location that is opera</w:t>
            </w:r>
            <w:r>
              <w:rPr>
                <w:rFonts w:ascii="Calibri" w:hAnsi="Calibri"/>
                <w:i/>
                <w:szCs w:val="20"/>
              </w:rPr>
              <w:t xml:space="preserve">ted by an unauthorised recycler. </w:t>
            </w:r>
          </w:p>
          <w:p w:rsidR="003E24B5" w:rsidRPr="007860F3" w:rsidRDefault="003E24B5" w:rsidP="00E84A61">
            <w:pPr>
              <w:spacing w:before="120" w:after="120"/>
              <w:jc w:val="left"/>
              <w:rPr>
                <w:rFonts w:ascii="Calibri" w:hAnsi="Calibri"/>
                <w:i/>
                <w:szCs w:val="20"/>
              </w:rPr>
            </w:pPr>
          </w:p>
        </w:tc>
        <w:tc>
          <w:tcPr>
            <w:tcW w:w="2110" w:type="dxa"/>
            <w:shd w:val="clear" w:color="auto" w:fill="FFFF00"/>
          </w:tcPr>
          <w:p w:rsidR="003E24B5" w:rsidRDefault="003E24B5" w:rsidP="00162446">
            <w:pPr>
              <w:pStyle w:val="ListParagraph"/>
              <w:numPr>
                <w:ilvl w:val="0"/>
                <w:numId w:val="28"/>
              </w:numPr>
              <w:spacing w:before="120" w:after="120"/>
              <w:jc w:val="left"/>
              <w:rPr>
                <w:rFonts w:ascii="Calibri" w:hAnsi="Calibri"/>
                <w:szCs w:val="20"/>
              </w:rPr>
            </w:pPr>
            <w:r>
              <w:rPr>
                <w:rFonts w:ascii="Calibri" w:hAnsi="Calibri"/>
                <w:szCs w:val="20"/>
              </w:rPr>
              <w:t>Failure to uphold licensing requirements</w:t>
            </w:r>
          </w:p>
          <w:p w:rsidR="003E24B5" w:rsidRPr="00D11CEF" w:rsidRDefault="003E24B5" w:rsidP="00162446">
            <w:pPr>
              <w:pStyle w:val="ListParagraph"/>
              <w:numPr>
                <w:ilvl w:val="0"/>
                <w:numId w:val="28"/>
              </w:numPr>
              <w:spacing w:before="120" w:after="120"/>
              <w:jc w:val="left"/>
              <w:rPr>
                <w:rFonts w:ascii="Calibri" w:hAnsi="Calibri"/>
                <w:szCs w:val="20"/>
              </w:rPr>
            </w:pPr>
            <w:r>
              <w:rPr>
                <w:rFonts w:ascii="Calibri" w:hAnsi="Calibri"/>
                <w:szCs w:val="20"/>
              </w:rPr>
              <w:t xml:space="preserve">Insufficient/inadequate audit/regulatory system in place. </w:t>
            </w:r>
          </w:p>
        </w:tc>
        <w:tc>
          <w:tcPr>
            <w:tcW w:w="2000" w:type="dxa"/>
            <w:shd w:val="clear" w:color="auto" w:fill="FFFF00"/>
          </w:tcPr>
          <w:p w:rsidR="003E24B5" w:rsidRPr="00D11CEF" w:rsidRDefault="003E24B5" w:rsidP="00162446">
            <w:pPr>
              <w:pStyle w:val="ListParagraph"/>
              <w:numPr>
                <w:ilvl w:val="0"/>
                <w:numId w:val="28"/>
              </w:numPr>
              <w:spacing w:before="120" w:after="120"/>
              <w:jc w:val="left"/>
              <w:rPr>
                <w:rFonts w:ascii="Calibri" w:hAnsi="Calibri"/>
                <w:szCs w:val="20"/>
              </w:rPr>
            </w:pPr>
            <w:r>
              <w:rPr>
                <w:rFonts w:ascii="Calibri" w:hAnsi="Calibri"/>
                <w:szCs w:val="20"/>
              </w:rPr>
              <w:t>Unsafe storage and/or disassembly of EOL product.</w:t>
            </w:r>
          </w:p>
        </w:tc>
        <w:tc>
          <w:tcPr>
            <w:tcW w:w="3082" w:type="dxa"/>
            <w:shd w:val="clear" w:color="auto" w:fill="FFFF00"/>
          </w:tcPr>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The notes attached to Section 2 – Application, of the DIIS state that it is expected that an auditing regime will need to be established under the National Television and Computer Product Stewardship Scheme to monitor compliance of collection locations.</w:t>
            </w:r>
          </w:p>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Section 4.2 Legal Compliance, requires operators to maintain a documented process to identify, assess and ensure compliance with this standard and all applicable regulatory requirements.</w:t>
            </w:r>
          </w:p>
        </w:tc>
        <w:tc>
          <w:tcPr>
            <w:tcW w:w="1118"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Incomplete</w:t>
            </w:r>
          </w:p>
        </w:tc>
        <w:tc>
          <w:tcPr>
            <w:tcW w:w="10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Possible</w:t>
            </w:r>
          </w:p>
        </w:tc>
        <w:tc>
          <w:tcPr>
            <w:tcW w:w="900" w:type="dxa"/>
            <w:shd w:val="clear" w:color="auto" w:fill="FFFF00"/>
          </w:tcPr>
          <w:p w:rsidR="003E24B5" w:rsidRDefault="003E24B5" w:rsidP="00E84A61">
            <w:pPr>
              <w:spacing w:before="120" w:after="120"/>
              <w:ind w:firstLine="3"/>
              <w:jc w:val="left"/>
              <w:rPr>
                <w:rFonts w:ascii="Calibri" w:hAnsi="Calibri"/>
                <w:szCs w:val="20"/>
              </w:rPr>
            </w:pPr>
            <w:r>
              <w:rPr>
                <w:rFonts w:ascii="Calibri" w:hAnsi="Calibri"/>
                <w:szCs w:val="20"/>
              </w:rPr>
              <w:t>Moderate</w:t>
            </w:r>
          </w:p>
        </w:tc>
        <w:tc>
          <w:tcPr>
            <w:tcW w:w="8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Implementation of auditing regime</w:t>
            </w:r>
          </w:p>
        </w:tc>
      </w:tr>
      <w:tr w:rsidR="003E24B5" w:rsidTr="0047452A">
        <w:trPr>
          <w:jc w:val="center"/>
        </w:trPr>
        <w:tc>
          <w:tcPr>
            <w:tcW w:w="15906" w:type="dxa"/>
            <w:gridSpan w:val="10"/>
            <w:shd w:val="clear" w:color="auto" w:fill="FFC000"/>
          </w:tcPr>
          <w:p w:rsidR="003E24B5" w:rsidRPr="004D3812" w:rsidRDefault="003E24B5" w:rsidP="004D3812">
            <w:pPr>
              <w:spacing w:before="120" w:after="120"/>
              <w:jc w:val="left"/>
              <w:rPr>
                <w:rFonts w:ascii="Calibri" w:hAnsi="Calibri"/>
                <w:szCs w:val="20"/>
              </w:rPr>
            </w:pPr>
            <w:r>
              <w:rPr>
                <w:rFonts w:ascii="Calibri" w:hAnsi="Calibri"/>
                <w:szCs w:val="20"/>
              </w:rPr>
              <w:t xml:space="preserve">The following three risks can be summarised as </w:t>
            </w:r>
            <w:r w:rsidRPr="004D3812">
              <w:rPr>
                <w:rFonts w:ascii="Calibri" w:hAnsi="Calibri"/>
                <w:b/>
                <w:szCs w:val="20"/>
              </w:rPr>
              <w:t>“Improper dismantling/separation results in the release of hazardous substances to which employees are exposed.”</w:t>
            </w:r>
            <w:r>
              <w:rPr>
                <w:rFonts w:ascii="Calibri" w:hAnsi="Calibri"/>
                <w:b/>
                <w:szCs w:val="20"/>
              </w:rPr>
              <w:t xml:space="preserve"> </w:t>
            </w:r>
            <w:r>
              <w:rPr>
                <w:rFonts w:ascii="Calibri" w:hAnsi="Calibri"/>
                <w:szCs w:val="20"/>
              </w:rPr>
              <w:t xml:space="preserve">Full details of each risk are presented as the impacts, controls and treatment vary. </w:t>
            </w:r>
          </w:p>
        </w:tc>
      </w:tr>
      <w:tr w:rsidR="003E24B5" w:rsidTr="008D5CBC">
        <w:trPr>
          <w:jc w:val="center"/>
        </w:trPr>
        <w:tc>
          <w:tcPr>
            <w:tcW w:w="1702" w:type="dxa"/>
            <w:shd w:val="clear" w:color="auto" w:fill="FFC000"/>
          </w:tcPr>
          <w:p w:rsidR="003E24B5" w:rsidRPr="00C109AE" w:rsidRDefault="003E24B5" w:rsidP="00E84A61">
            <w:pPr>
              <w:jc w:val="left"/>
              <w:rPr>
                <w:rFonts w:ascii="Calibri" w:hAnsi="Calibri" w:cs="Calibri"/>
                <w:b/>
                <w:bCs/>
                <w:i/>
                <w:iCs/>
                <w:color w:val="000000"/>
                <w:szCs w:val="20"/>
              </w:rPr>
            </w:pPr>
            <w:r w:rsidRPr="00C109AE">
              <w:rPr>
                <w:rFonts w:ascii="Calibri" w:hAnsi="Calibri" w:cs="Calibri"/>
                <w:b/>
                <w:bCs/>
                <w:i/>
                <w:iCs/>
                <w:color w:val="000000"/>
                <w:szCs w:val="20"/>
              </w:rPr>
              <w:t>Requirements for Recyclers</w:t>
            </w:r>
          </w:p>
          <w:p w:rsidR="003E24B5" w:rsidRDefault="003E24B5" w:rsidP="00E84A61">
            <w:pPr>
              <w:jc w:val="left"/>
              <w:rPr>
                <w:rFonts w:ascii="Calibri" w:hAnsi="Calibri" w:cs="Calibri"/>
                <w:b/>
                <w:bCs/>
                <w:i/>
                <w:iCs/>
                <w:color w:val="000000"/>
                <w:sz w:val="22"/>
              </w:rPr>
            </w:pPr>
            <w:r w:rsidRPr="00C109AE">
              <w:rPr>
                <w:rFonts w:ascii="Calibri" w:hAnsi="Calibri" w:cs="Calibri"/>
                <w:b/>
                <w:bCs/>
                <w:i/>
                <w:iCs/>
                <w:color w:val="000000"/>
                <w:szCs w:val="20"/>
              </w:rPr>
              <w:lastRenderedPageBreak/>
              <w:t>DIIS – Section 7 and Appendix 1</w:t>
            </w:r>
          </w:p>
        </w:tc>
        <w:tc>
          <w:tcPr>
            <w:tcW w:w="1972" w:type="dxa"/>
            <w:shd w:val="clear" w:color="auto" w:fill="FFC000"/>
          </w:tcPr>
          <w:p w:rsidR="003E24B5" w:rsidRPr="004D3812" w:rsidRDefault="003E24B5" w:rsidP="00162446">
            <w:pPr>
              <w:pStyle w:val="ListParagraph"/>
              <w:numPr>
                <w:ilvl w:val="0"/>
                <w:numId w:val="58"/>
              </w:numPr>
              <w:spacing w:before="120" w:after="120"/>
              <w:ind w:left="374" w:hanging="270"/>
              <w:jc w:val="left"/>
              <w:rPr>
                <w:rFonts w:ascii="Calibri" w:hAnsi="Calibri"/>
                <w:i/>
                <w:szCs w:val="20"/>
              </w:rPr>
            </w:pPr>
            <w:r w:rsidRPr="004D3812">
              <w:rPr>
                <w:rFonts w:ascii="Calibri" w:hAnsi="Calibri"/>
                <w:i/>
                <w:szCs w:val="20"/>
              </w:rPr>
              <w:lastRenderedPageBreak/>
              <w:t xml:space="preserve">Employees are exposed to </w:t>
            </w:r>
            <w:r w:rsidRPr="004D3812">
              <w:rPr>
                <w:rFonts w:ascii="Calibri" w:hAnsi="Calibri"/>
                <w:i/>
                <w:szCs w:val="20"/>
              </w:rPr>
              <w:lastRenderedPageBreak/>
              <w:t>mercury contamination due to failure to remove lamps and bulbs prior to shredding or mechanical processing</w:t>
            </w:r>
          </w:p>
        </w:tc>
        <w:tc>
          <w:tcPr>
            <w:tcW w:w="2110" w:type="dxa"/>
            <w:shd w:val="clear" w:color="auto" w:fill="FFC000"/>
          </w:tcPr>
          <w:p w:rsidR="003E24B5" w:rsidRDefault="003E24B5" w:rsidP="00162446">
            <w:pPr>
              <w:pStyle w:val="ListParagraph"/>
              <w:numPr>
                <w:ilvl w:val="0"/>
                <w:numId w:val="35"/>
              </w:numPr>
              <w:spacing w:before="120" w:after="120"/>
              <w:jc w:val="left"/>
              <w:rPr>
                <w:rFonts w:ascii="Calibri" w:hAnsi="Calibri"/>
                <w:szCs w:val="20"/>
              </w:rPr>
            </w:pPr>
            <w:r>
              <w:rPr>
                <w:rFonts w:ascii="Calibri" w:hAnsi="Calibri"/>
                <w:szCs w:val="20"/>
              </w:rPr>
              <w:lastRenderedPageBreak/>
              <w:t xml:space="preserve">Materials deposited at an Inappropriate </w:t>
            </w:r>
            <w:r>
              <w:rPr>
                <w:rFonts w:ascii="Calibri" w:hAnsi="Calibri"/>
                <w:szCs w:val="20"/>
              </w:rPr>
              <w:lastRenderedPageBreak/>
              <w:t>facility</w:t>
            </w:r>
          </w:p>
          <w:p w:rsidR="003E24B5" w:rsidRDefault="003E24B5" w:rsidP="00162446">
            <w:pPr>
              <w:pStyle w:val="ListParagraph"/>
              <w:numPr>
                <w:ilvl w:val="0"/>
                <w:numId w:val="35"/>
              </w:numPr>
              <w:spacing w:before="120" w:after="120"/>
              <w:jc w:val="left"/>
              <w:rPr>
                <w:rFonts w:ascii="Calibri" w:hAnsi="Calibri"/>
                <w:szCs w:val="20"/>
              </w:rPr>
            </w:pPr>
            <w:r>
              <w:rPr>
                <w:rFonts w:ascii="Calibri" w:hAnsi="Calibri"/>
                <w:szCs w:val="20"/>
              </w:rPr>
              <w:t>Operator fails to adhere to regulatory operating requirements</w:t>
            </w:r>
          </w:p>
          <w:p w:rsidR="003E24B5" w:rsidRPr="00123767" w:rsidRDefault="003E24B5" w:rsidP="00162446">
            <w:pPr>
              <w:pStyle w:val="ListParagraph"/>
              <w:numPr>
                <w:ilvl w:val="0"/>
                <w:numId w:val="35"/>
              </w:numPr>
              <w:spacing w:before="120" w:after="120"/>
              <w:jc w:val="left"/>
              <w:rPr>
                <w:rFonts w:ascii="Calibri" w:hAnsi="Calibri"/>
                <w:szCs w:val="20"/>
              </w:rPr>
            </w:pPr>
            <w:r>
              <w:rPr>
                <w:rFonts w:ascii="Calibri" w:hAnsi="Calibri"/>
                <w:szCs w:val="20"/>
              </w:rPr>
              <w:t xml:space="preserve">Regulatory requirements not enforced </w:t>
            </w:r>
          </w:p>
        </w:tc>
        <w:tc>
          <w:tcPr>
            <w:tcW w:w="2000" w:type="dxa"/>
            <w:shd w:val="clear" w:color="auto" w:fill="FFC000"/>
          </w:tcPr>
          <w:p w:rsidR="003E24B5" w:rsidRPr="00123767" w:rsidRDefault="003E24B5" w:rsidP="00162446">
            <w:pPr>
              <w:pStyle w:val="ListParagraph"/>
              <w:numPr>
                <w:ilvl w:val="0"/>
                <w:numId w:val="35"/>
              </w:numPr>
              <w:spacing w:before="120" w:after="120"/>
              <w:jc w:val="left"/>
              <w:rPr>
                <w:rFonts w:ascii="Calibri" w:hAnsi="Calibri"/>
                <w:szCs w:val="20"/>
              </w:rPr>
            </w:pPr>
            <w:r>
              <w:rPr>
                <w:rFonts w:ascii="Calibri" w:hAnsi="Calibri"/>
                <w:szCs w:val="20"/>
              </w:rPr>
              <w:lastRenderedPageBreak/>
              <w:t xml:space="preserve">Workplace becomes hazardous to </w:t>
            </w:r>
            <w:r>
              <w:rPr>
                <w:rFonts w:ascii="Calibri" w:hAnsi="Calibri"/>
                <w:szCs w:val="20"/>
              </w:rPr>
              <w:lastRenderedPageBreak/>
              <w:t>employees</w:t>
            </w:r>
          </w:p>
        </w:tc>
        <w:tc>
          <w:tcPr>
            <w:tcW w:w="3082" w:type="dxa"/>
            <w:shd w:val="clear" w:color="auto" w:fill="FFC000"/>
          </w:tcPr>
          <w:p w:rsidR="003E24B5" w:rsidRDefault="003E24B5" w:rsidP="00E84A61">
            <w:pPr>
              <w:autoSpaceDE w:val="0"/>
              <w:autoSpaceDN w:val="0"/>
              <w:adjustRightInd w:val="0"/>
              <w:spacing w:before="120" w:after="120"/>
              <w:jc w:val="left"/>
              <w:rPr>
                <w:rFonts w:ascii="Calibri" w:hAnsi="Calibri"/>
                <w:szCs w:val="20"/>
              </w:rPr>
            </w:pPr>
            <w:r w:rsidRPr="00A15F6B">
              <w:rPr>
                <w:rFonts w:ascii="Calibri" w:hAnsi="Calibri"/>
                <w:szCs w:val="20"/>
              </w:rPr>
              <w:lastRenderedPageBreak/>
              <w:t>Section 7.4 – Processing and Handling</w:t>
            </w:r>
            <w:r>
              <w:rPr>
                <w:rFonts w:ascii="Calibri" w:hAnsi="Calibri"/>
                <w:szCs w:val="20"/>
              </w:rPr>
              <w:t xml:space="preserve"> requires the removal of </w:t>
            </w:r>
            <w:r>
              <w:rPr>
                <w:rFonts w:ascii="Calibri" w:hAnsi="Calibri"/>
                <w:szCs w:val="20"/>
              </w:rPr>
              <w:lastRenderedPageBreak/>
              <w:t>components, prior to processing, likely to pose a health and safety risk. This section of the DIIS requires as a minimum the removal of;</w:t>
            </w:r>
          </w:p>
          <w:p w:rsidR="003E24B5" w:rsidRDefault="003E24B5" w:rsidP="00162446">
            <w:pPr>
              <w:pStyle w:val="ListParagraph"/>
              <w:numPr>
                <w:ilvl w:val="0"/>
                <w:numId w:val="42"/>
              </w:numPr>
              <w:autoSpaceDE w:val="0"/>
              <w:autoSpaceDN w:val="0"/>
              <w:adjustRightInd w:val="0"/>
              <w:spacing w:before="120" w:after="120"/>
              <w:jc w:val="left"/>
              <w:rPr>
                <w:rFonts w:ascii="Calibri" w:hAnsi="Calibri"/>
                <w:szCs w:val="20"/>
              </w:rPr>
            </w:pPr>
            <w:r w:rsidRPr="00C333B1">
              <w:rPr>
                <w:rFonts w:ascii="Calibri" w:hAnsi="Calibri"/>
                <w:b/>
                <w:szCs w:val="20"/>
              </w:rPr>
              <w:t>Mercury</w:t>
            </w:r>
            <w:r>
              <w:rPr>
                <w:rFonts w:ascii="Calibri" w:hAnsi="Calibri"/>
                <w:szCs w:val="20"/>
              </w:rPr>
              <w:t xml:space="preserve"> bearing lamps</w:t>
            </w:r>
          </w:p>
          <w:p w:rsidR="003E24B5" w:rsidRDefault="003E24B5" w:rsidP="00162446">
            <w:pPr>
              <w:pStyle w:val="ListParagraph"/>
              <w:numPr>
                <w:ilvl w:val="0"/>
                <w:numId w:val="42"/>
              </w:numPr>
              <w:autoSpaceDE w:val="0"/>
              <w:autoSpaceDN w:val="0"/>
              <w:adjustRightInd w:val="0"/>
              <w:spacing w:before="120" w:after="120"/>
              <w:jc w:val="left"/>
              <w:rPr>
                <w:rFonts w:ascii="Calibri" w:hAnsi="Calibri"/>
                <w:szCs w:val="20"/>
              </w:rPr>
            </w:pPr>
            <w:r>
              <w:rPr>
                <w:rFonts w:ascii="Calibri" w:hAnsi="Calibri"/>
                <w:szCs w:val="20"/>
              </w:rPr>
              <w:t xml:space="preserve">Ink and toner cartridges </w:t>
            </w:r>
          </w:p>
          <w:p w:rsidR="003E24B5" w:rsidRDefault="003E24B5" w:rsidP="00162446">
            <w:pPr>
              <w:pStyle w:val="ListParagraph"/>
              <w:numPr>
                <w:ilvl w:val="0"/>
                <w:numId w:val="42"/>
              </w:numPr>
              <w:autoSpaceDE w:val="0"/>
              <w:autoSpaceDN w:val="0"/>
              <w:adjustRightInd w:val="0"/>
              <w:spacing w:before="120" w:after="120"/>
              <w:jc w:val="left"/>
              <w:rPr>
                <w:rFonts w:ascii="Calibri" w:hAnsi="Calibri"/>
                <w:szCs w:val="20"/>
              </w:rPr>
            </w:pPr>
            <w:r>
              <w:rPr>
                <w:rFonts w:ascii="Calibri" w:hAnsi="Calibri"/>
                <w:szCs w:val="20"/>
              </w:rPr>
              <w:t>Batteries</w:t>
            </w:r>
          </w:p>
          <w:p w:rsidR="003E24B5" w:rsidRPr="00A15F6B" w:rsidRDefault="003E24B5" w:rsidP="00162446">
            <w:pPr>
              <w:pStyle w:val="ListParagraph"/>
              <w:numPr>
                <w:ilvl w:val="0"/>
                <w:numId w:val="42"/>
              </w:numPr>
              <w:autoSpaceDE w:val="0"/>
              <w:autoSpaceDN w:val="0"/>
              <w:adjustRightInd w:val="0"/>
              <w:spacing w:before="120" w:after="120"/>
              <w:jc w:val="left"/>
              <w:rPr>
                <w:rFonts w:ascii="Calibri" w:hAnsi="Calibri"/>
                <w:szCs w:val="20"/>
              </w:rPr>
            </w:pPr>
            <w:r>
              <w:rPr>
                <w:rFonts w:ascii="Calibri" w:hAnsi="Calibri"/>
                <w:szCs w:val="20"/>
              </w:rPr>
              <w:t xml:space="preserve">CRT and flat panel displays. </w:t>
            </w:r>
          </w:p>
        </w:tc>
        <w:tc>
          <w:tcPr>
            <w:tcW w:w="1118"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lastRenderedPageBreak/>
              <w:t>Adequate</w:t>
            </w:r>
          </w:p>
        </w:tc>
        <w:tc>
          <w:tcPr>
            <w:tcW w:w="1000"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Unlikely</w:t>
            </w:r>
          </w:p>
        </w:tc>
        <w:tc>
          <w:tcPr>
            <w:tcW w:w="900" w:type="dxa"/>
            <w:shd w:val="clear" w:color="auto" w:fill="FFC000"/>
          </w:tcPr>
          <w:p w:rsidR="003E24B5" w:rsidRDefault="003E24B5" w:rsidP="00E84A61">
            <w:pPr>
              <w:spacing w:before="120" w:after="120"/>
              <w:ind w:firstLine="3"/>
              <w:jc w:val="left"/>
              <w:rPr>
                <w:rFonts w:ascii="Calibri" w:hAnsi="Calibri"/>
                <w:szCs w:val="20"/>
              </w:rPr>
            </w:pPr>
            <w:r>
              <w:rPr>
                <w:rFonts w:ascii="Calibri" w:hAnsi="Calibri"/>
                <w:szCs w:val="20"/>
              </w:rPr>
              <w:t>Major</w:t>
            </w:r>
          </w:p>
        </w:tc>
        <w:tc>
          <w:tcPr>
            <w:tcW w:w="800"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High</w:t>
            </w:r>
          </w:p>
        </w:tc>
        <w:tc>
          <w:tcPr>
            <w:tcW w:w="1222"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 xml:space="preserve">Refer to risk treatment </w:t>
            </w:r>
            <w:r>
              <w:rPr>
                <w:rFonts w:ascii="Calibri" w:hAnsi="Calibri"/>
                <w:szCs w:val="20"/>
              </w:rPr>
              <w:lastRenderedPageBreak/>
              <w:t>plan</w:t>
            </w:r>
          </w:p>
        </w:tc>
      </w:tr>
      <w:tr w:rsidR="003E24B5" w:rsidTr="008D5CBC">
        <w:trPr>
          <w:jc w:val="center"/>
        </w:trPr>
        <w:tc>
          <w:tcPr>
            <w:tcW w:w="1702" w:type="dxa"/>
            <w:shd w:val="clear" w:color="auto" w:fill="FFFF00"/>
          </w:tcPr>
          <w:p w:rsidR="003E24B5" w:rsidRPr="00C109AE" w:rsidRDefault="003E24B5" w:rsidP="0047452A">
            <w:pPr>
              <w:jc w:val="left"/>
              <w:rPr>
                <w:rFonts w:ascii="Calibri" w:hAnsi="Calibri" w:cs="Calibri"/>
                <w:b/>
                <w:bCs/>
                <w:i/>
                <w:iCs/>
                <w:color w:val="000000"/>
                <w:szCs w:val="20"/>
              </w:rPr>
            </w:pPr>
            <w:r w:rsidRPr="00C109AE">
              <w:rPr>
                <w:rFonts w:ascii="Calibri" w:hAnsi="Calibri" w:cs="Calibri"/>
                <w:b/>
                <w:bCs/>
                <w:i/>
                <w:iCs/>
                <w:color w:val="000000"/>
                <w:szCs w:val="20"/>
              </w:rPr>
              <w:lastRenderedPageBreak/>
              <w:t>DIIS – Section 7</w:t>
            </w:r>
          </w:p>
        </w:tc>
        <w:tc>
          <w:tcPr>
            <w:tcW w:w="1972" w:type="dxa"/>
            <w:shd w:val="clear" w:color="auto" w:fill="FFFF00"/>
          </w:tcPr>
          <w:p w:rsidR="003E24B5" w:rsidRDefault="003E24B5" w:rsidP="0047452A">
            <w:pPr>
              <w:spacing w:before="120" w:after="120"/>
              <w:jc w:val="left"/>
              <w:rPr>
                <w:rFonts w:ascii="Calibri" w:hAnsi="Calibri"/>
                <w:i/>
                <w:szCs w:val="20"/>
              </w:rPr>
            </w:pPr>
          </w:p>
          <w:p w:rsidR="003E24B5" w:rsidRPr="004D3812" w:rsidRDefault="003E24B5" w:rsidP="00162446">
            <w:pPr>
              <w:pStyle w:val="ListParagraph"/>
              <w:numPr>
                <w:ilvl w:val="0"/>
                <w:numId w:val="58"/>
              </w:numPr>
              <w:spacing w:before="120" w:after="120"/>
              <w:ind w:left="374" w:hanging="270"/>
              <w:jc w:val="left"/>
              <w:rPr>
                <w:rFonts w:ascii="Calibri" w:hAnsi="Calibri"/>
                <w:i/>
                <w:szCs w:val="20"/>
              </w:rPr>
            </w:pPr>
            <w:r w:rsidRPr="004D3812">
              <w:rPr>
                <w:rFonts w:ascii="Calibri" w:hAnsi="Calibri"/>
                <w:i/>
                <w:szCs w:val="20"/>
              </w:rPr>
              <w:t>Inappropriate separation techniques are applied to recover resources.</w:t>
            </w:r>
          </w:p>
        </w:tc>
        <w:tc>
          <w:tcPr>
            <w:tcW w:w="2110" w:type="dxa"/>
            <w:shd w:val="clear" w:color="auto" w:fill="FFFF00"/>
          </w:tcPr>
          <w:p w:rsidR="003E24B5" w:rsidRPr="001301FC" w:rsidRDefault="003E24B5" w:rsidP="0047452A">
            <w:pPr>
              <w:spacing w:before="120" w:after="120"/>
              <w:jc w:val="left"/>
              <w:rPr>
                <w:rFonts w:ascii="Calibri" w:hAnsi="Calibri"/>
                <w:szCs w:val="20"/>
              </w:rPr>
            </w:pPr>
          </w:p>
          <w:p w:rsidR="003E24B5" w:rsidRPr="007A72E0" w:rsidRDefault="003E24B5" w:rsidP="00162446">
            <w:pPr>
              <w:pStyle w:val="ListParagraph"/>
              <w:numPr>
                <w:ilvl w:val="0"/>
                <w:numId w:val="37"/>
              </w:numPr>
              <w:spacing w:before="120" w:after="120"/>
              <w:jc w:val="left"/>
              <w:rPr>
                <w:rFonts w:ascii="Calibri" w:hAnsi="Calibri"/>
                <w:szCs w:val="20"/>
              </w:rPr>
            </w:pPr>
            <w:r w:rsidRPr="007A72E0">
              <w:rPr>
                <w:rFonts w:ascii="Calibri" w:hAnsi="Calibri"/>
                <w:szCs w:val="20"/>
              </w:rPr>
              <w:t>Inexperienced operator adopts unsafe separation techniques</w:t>
            </w:r>
          </w:p>
        </w:tc>
        <w:tc>
          <w:tcPr>
            <w:tcW w:w="2000" w:type="dxa"/>
            <w:shd w:val="clear" w:color="auto" w:fill="FFFF00"/>
          </w:tcPr>
          <w:p w:rsidR="003E24B5" w:rsidRPr="001301FC" w:rsidRDefault="003E24B5" w:rsidP="0047452A">
            <w:pPr>
              <w:spacing w:before="120" w:after="120"/>
              <w:jc w:val="left"/>
              <w:rPr>
                <w:rFonts w:ascii="Calibri" w:hAnsi="Calibri"/>
                <w:szCs w:val="20"/>
              </w:rPr>
            </w:pPr>
          </w:p>
          <w:p w:rsidR="003E24B5" w:rsidRPr="007A72E0" w:rsidRDefault="003E24B5" w:rsidP="00162446">
            <w:pPr>
              <w:pStyle w:val="ListParagraph"/>
              <w:numPr>
                <w:ilvl w:val="0"/>
                <w:numId w:val="37"/>
              </w:numPr>
              <w:spacing w:before="120" w:after="120"/>
              <w:jc w:val="left"/>
              <w:rPr>
                <w:rFonts w:ascii="Calibri" w:hAnsi="Calibri"/>
                <w:szCs w:val="20"/>
              </w:rPr>
            </w:pPr>
            <w:r w:rsidRPr="007A72E0">
              <w:rPr>
                <w:rFonts w:ascii="Calibri" w:hAnsi="Calibri"/>
                <w:szCs w:val="20"/>
              </w:rPr>
              <w:t>Potential for harm to the environment and employees</w:t>
            </w:r>
          </w:p>
        </w:tc>
        <w:tc>
          <w:tcPr>
            <w:tcW w:w="3082" w:type="dxa"/>
            <w:shd w:val="clear" w:color="auto" w:fill="FFFF00"/>
          </w:tcPr>
          <w:p w:rsidR="003E24B5" w:rsidRDefault="003E24B5" w:rsidP="0047452A">
            <w:pPr>
              <w:autoSpaceDE w:val="0"/>
              <w:autoSpaceDN w:val="0"/>
              <w:adjustRightInd w:val="0"/>
              <w:spacing w:before="120" w:after="120"/>
              <w:jc w:val="left"/>
              <w:rPr>
                <w:rFonts w:ascii="Calibri" w:hAnsi="Calibri"/>
                <w:szCs w:val="20"/>
              </w:rPr>
            </w:pPr>
            <w:r>
              <w:rPr>
                <w:rFonts w:ascii="Calibri" w:hAnsi="Calibri"/>
                <w:szCs w:val="20"/>
              </w:rPr>
              <w:t>Appendix 1 – Smelting, Energy Recovery and Disposal recommends the facility seek an air emission control permit specifically authorize the processing of electronic scrap. These guidelines recommend the complete thermal destruction of hydrocarbons to reduce dioxin emissions. The guidelines also recommend the removal of all plastic prior to smelting.</w:t>
            </w:r>
          </w:p>
        </w:tc>
        <w:tc>
          <w:tcPr>
            <w:tcW w:w="1118" w:type="dxa"/>
            <w:shd w:val="clear" w:color="auto" w:fill="FFFF00"/>
          </w:tcPr>
          <w:p w:rsidR="003E24B5" w:rsidRDefault="003E24B5" w:rsidP="0047452A">
            <w:pPr>
              <w:spacing w:before="120" w:after="120"/>
              <w:jc w:val="left"/>
              <w:rPr>
                <w:rFonts w:ascii="Calibri" w:hAnsi="Calibri"/>
                <w:szCs w:val="20"/>
              </w:rPr>
            </w:pPr>
          </w:p>
          <w:p w:rsidR="003E24B5" w:rsidRDefault="003E24B5" w:rsidP="0047452A">
            <w:pPr>
              <w:spacing w:before="120" w:after="120"/>
              <w:jc w:val="left"/>
              <w:rPr>
                <w:rFonts w:ascii="Calibri" w:hAnsi="Calibri"/>
                <w:szCs w:val="20"/>
              </w:rPr>
            </w:pPr>
            <w:r>
              <w:rPr>
                <w:rFonts w:ascii="Calibri" w:hAnsi="Calibri"/>
                <w:szCs w:val="20"/>
              </w:rPr>
              <w:t>Incomplete</w:t>
            </w:r>
          </w:p>
        </w:tc>
        <w:tc>
          <w:tcPr>
            <w:tcW w:w="1000" w:type="dxa"/>
            <w:shd w:val="clear" w:color="auto" w:fill="FFFF00"/>
          </w:tcPr>
          <w:p w:rsidR="003E24B5" w:rsidRDefault="003E24B5" w:rsidP="0047452A">
            <w:pPr>
              <w:spacing w:before="120" w:after="120"/>
              <w:jc w:val="left"/>
              <w:rPr>
                <w:rFonts w:ascii="Calibri" w:hAnsi="Calibri"/>
                <w:szCs w:val="20"/>
              </w:rPr>
            </w:pPr>
          </w:p>
          <w:p w:rsidR="003E24B5" w:rsidRDefault="003E24B5" w:rsidP="0047452A">
            <w:pPr>
              <w:spacing w:before="120" w:after="120"/>
              <w:jc w:val="left"/>
              <w:rPr>
                <w:rFonts w:ascii="Calibri" w:hAnsi="Calibri"/>
                <w:szCs w:val="20"/>
              </w:rPr>
            </w:pPr>
            <w:r>
              <w:rPr>
                <w:rFonts w:ascii="Calibri" w:hAnsi="Calibri"/>
                <w:szCs w:val="20"/>
              </w:rPr>
              <w:t xml:space="preserve">Possible </w:t>
            </w:r>
          </w:p>
        </w:tc>
        <w:tc>
          <w:tcPr>
            <w:tcW w:w="900" w:type="dxa"/>
            <w:shd w:val="clear" w:color="auto" w:fill="FFFF00"/>
          </w:tcPr>
          <w:p w:rsidR="003E24B5" w:rsidRDefault="003E24B5" w:rsidP="0047452A">
            <w:pPr>
              <w:spacing w:before="120" w:after="120"/>
              <w:ind w:firstLine="3"/>
              <w:jc w:val="left"/>
              <w:rPr>
                <w:rFonts w:ascii="Calibri" w:hAnsi="Calibri"/>
                <w:szCs w:val="20"/>
              </w:rPr>
            </w:pPr>
          </w:p>
          <w:p w:rsidR="003E24B5" w:rsidRDefault="003E24B5" w:rsidP="0047452A">
            <w:pPr>
              <w:spacing w:before="120" w:after="120"/>
              <w:ind w:firstLine="3"/>
              <w:jc w:val="left"/>
              <w:rPr>
                <w:rFonts w:ascii="Calibri" w:hAnsi="Calibri"/>
                <w:szCs w:val="20"/>
              </w:rPr>
            </w:pPr>
            <w:r>
              <w:rPr>
                <w:rFonts w:ascii="Calibri" w:hAnsi="Calibri"/>
                <w:szCs w:val="20"/>
              </w:rPr>
              <w:t>Moderate</w:t>
            </w:r>
          </w:p>
        </w:tc>
        <w:tc>
          <w:tcPr>
            <w:tcW w:w="800" w:type="dxa"/>
            <w:shd w:val="clear" w:color="auto" w:fill="FFFF00"/>
          </w:tcPr>
          <w:p w:rsidR="003E24B5" w:rsidRDefault="003E24B5" w:rsidP="0047452A">
            <w:pPr>
              <w:spacing w:before="120" w:after="120"/>
              <w:jc w:val="left"/>
              <w:rPr>
                <w:rFonts w:ascii="Calibri" w:hAnsi="Calibri"/>
                <w:szCs w:val="20"/>
              </w:rPr>
            </w:pPr>
          </w:p>
          <w:p w:rsidR="003E24B5" w:rsidRDefault="003E24B5" w:rsidP="0047452A">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47452A">
            <w:pPr>
              <w:spacing w:before="120" w:after="120"/>
              <w:jc w:val="left"/>
              <w:rPr>
                <w:rFonts w:ascii="Calibri" w:hAnsi="Calibri"/>
                <w:szCs w:val="20"/>
              </w:rPr>
            </w:pPr>
          </w:p>
          <w:p w:rsidR="003E24B5" w:rsidRDefault="003E24B5" w:rsidP="0047452A">
            <w:pPr>
              <w:spacing w:before="120" w:after="120"/>
              <w:jc w:val="left"/>
              <w:rPr>
                <w:rFonts w:ascii="Calibri" w:hAnsi="Calibri"/>
                <w:szCs w:val="20"/>
              </w:rPr>
            </w:pPr>
            <w:r>
              <w:rPr>
                <w:rFonts w:ascii="Calibri" w:hAnsi="Calibri"/>
                <w:szCs w:val="20"/>
              </w:rPr>
              <w:t>Information contained in Appendix 1 needs to be more prescriptive and included in the body of the Standard.</w:t>
            </w:r>
          </w:p>
        </w:tc>
      </w:tr>
      <w:tr w:rsidR="003E24B5" w:rsidTr="008D5CBC">
        <w:trPr>
          <w:jc w:val="center"/>
        </w:trPr>
        <w:tc>
          <w:tcPr>
            <w:tcW w:w="1702" w:type="dxa"/>
            <w:shd w:val="clear" w:color="auto" w:fill="FFFF00"/>
          </w:tcPr>
          <w:p w:rsidR="003E24B5" w:rsidRPr="00C109AE" w:rsidRDefault="003E24B5" w:rsidP="0047452A">
            <w:pPr>
              <w:jc w:val="left"/>
              <w:rPr>
                <w:rFonts w:ascii="Calibri" w:hAnsi="Calibri" w:cs="Calibri"/>
                <w:b/>
                <w:bCs/>
                <w:i/>
                <w:iCs/>
                <w:color w:val="000000"/>
                <w:szCs w:val="20"/>
              </w:rPr>
            </w:pPr>
            <w:r w:rsidRPr="00C109AE">
              <w:rPr>
                <w:rFonts w:ascii="Calibri" w:hAnsi="Calibri" w:cs="Calibri"/>
                <w:b/>
                <w:bCs/>
                <w:i/>
                <w:iCs/>
                <w:color w:val="000000"/>
                <w:szCs w:val="20"/>
              </w:rPr>
              <w:t>DIIS- Section 7.4</w:t>
            </w:r>
          </w:p>
        </w:tc>
        <w:tc>
          <w:tcPr>
            <w:tcW w:w="1972" w:type="dxa"/>
            <w:shd w:val="clear" w:color="auto" w:fill="FFFF00"/>
          </w:tcPr>
          <w:p w:rsidR="003E24B5" w:rsidRPr="004D3812" w:rsidRDefault="003E24B5" w:rsidP="00162446">
            <w:pPr>
              <w:pStyle w:val="ListParagraph"/>
              <w:numPr>
                <w:ilvl w:val="0"/>
                <w:numId w:val="58"/>
              </w:numPr>
              <w:spacing w:before="120" w:after="120"/>
              <w:ind w:left="464"/>
              <w:jc w:val="left"/>
              <w:rPr>
                <w:rFonts w:ascii="Calibri" w:hAnsi="Calibri"/>
                <w:i/>
                <w:szCs w:val="20"/>
              </w:rPr>
            </w:pPr>
            <w:r w:rsidRPr="004D3812">
              <w:rPr>
                <w:rFonts w:ascii="Calibri" w:hAnsi="Calibri"/>
                <w:i/>
                <w:szCs w:val="20"/>
              </w:rPr>
              <w:t xml:space="preserve">Failure to appropriately separate materials for </w:t>
            </w:r>
            <w:r w:rsidRPr="004D3812">
              <w:rPr>
                <w:rFonts w:ascii="Calibri" w:hAnsi="Calibri"/>
                <w:i/>
                <w:szCs w:val="20"/>
              </w:rPr>
              <w:lastRenderedPageBreak/>
              <w:t>recycling.</w:t>
            </w:r>
          </w:p>
        </w:tc>
        <w:tc>
          <w:tcPr>
            <w:tcW w:w="2110" w:type="dxa"/>
            <w:shd w:val="clear" w:color="auto" w:fill="FFFF00"/>
          </w:tcPr>
          <w:p w:rsidR="003E24B5" w:rsidRPr="00C63714" w:rsidRDefault="003E24B5" w:rsidP="00162446">
            <w:pPr>
              <w:pStyle w:val="ListParagraph"/>
              <w:numPr>
                <w:ilvl w:val="0"/>
                <w:numId w:val="33"/>
              </w:numPr>
              <w:spacing w:before="120" w:after="120"/>
              <w:jc w:val="left"/>
              <w:rPr>
                <w:rFonts w:ascii="Calibri" w:hAnsi="Calibri"/>
                <w:szCs w:val="20"/>
              </w:rPr>
            </w:pPr>
            <w:r>
              <w:rPr>
                <w:rFonts w:ascii="Calibri" w:hAnsi="Calibri"/>
                <w:szCs w:val="20"/>
              </w:rPr>
              <w:lastRenderedPageBreak/>
              <w:t>Insufficient guidelines</w:t>
            </w:r>
          </w:p>
        </w:tc>
        <w:tc>
          <w:tcPr>
            <w:tcW w:w="2000" w:type="dxa"/>
            <w:shd w:val="clear" w:color="auto" w:fill="FFFF00"/>
          </w:tcPr>
          <w:p w:rsidR="003E24B5" w:rsidRDefault="003E24B5" w:rsidP="00162446">
            <w:pPr>
              <w:pStyle w:val="ListParagraph"/>
              <w:numPr>
                <w:ilvl w:val="0"/>
                <w:numId w:val="33"/>
              </w:numPr>
              <w:spacing w:before="120" w:after="120"/>
              <w:jc w:val="left"/>
              <w:rPr>
                <w:rFonts w:ascii="Calibri" w:hAnsi="Calibri"/>
                <w:szCs w:val="20"/>
              </w:rPr>
            </w:pPr>
            <w:r>
              <w:rPr>
                <w:rFonts w:ascii="Calibri" w:hAnsi="Calibri"/>
                <w:szCs w:val="20"/>
              </w:rPr>
              <w:t>Exposure to hazardous materials</w:t>
            </w:r>
          </w:p>
          <w:p w:rsidR="003E24B5" w:rsidRDefault="003E24B5" w:rsidP="00162446">
            <w:pPr>
              <w:pStyle w:val="ListParagraph"/>
              <w:numPr>
                <w:ilvl w:val="0"/>
                <w:numId w:val="33"/>
              </w:numPr>
              <w:spacing w:before="120" w:after="120"/>
              <w:jc w:val="left"/>
              <w:rPr>
                <w:rFonts w:ascii="Calibri" w:hAnsi="Calibri"/>
                <w:szCs w:val="20"/>
              </w:rPr>
            </w:pPr>
            <w:r>
              <w:rPr>
                <w:rFonts w:ascii="Calibri" w:hAnsi="Calibri"/>
                <w:szCs w:val="20"/>
              </w:rPr>
              <w:t xml:space="preserve">Contamination of </w:t>
            </w:r>
            <w:r>
              <w:rPr>
                <w:rFonts w:ascii="Calibri" w:hAnsi="Calibri"/>
                <w:szCs w:val="20"/>
              </w:rPr>
              <w:lastRenderedPageBreak/>
              <w:t>recovered materials</w:t>
            </w:r>
          </w:p>
          <w:p w:rsidR="003E24B5" w:rsidRPr="00C63714" w:rsidRDefault="003E24B5" w:rsidP="00162446">
            <w:pPr>
              <w:pStyle w:val="ListParagraph"/>
              <w:numPr>
                <w:ilvl w:val="0"/>
                <w:numId w:val="33"/>
              </w:numPr>
              <w:spacing w:before="120" w:after="120"/>
              <w:jc w:val="left"/>
              <w:rPr>
                <w:rFonts w:ascii="Calibri" w:hAnsi="Calibri"/>
                <w:szCs w:val="20"/>
              </w:rPr>
            </w:pPr>
            <w:r>
              <w:rPr>
                <w:rFonts w:ascii="Calibri" w:hAnsi="Calibri"/>
                <w:szCs w:val="20"/>
              </w:rPr>
              <w:t>Environmental damage from incorrect disposal</w:t>
            </w:r>
          </w:p>
        </w:tc>
        <w:tc>
          <w:tcPr>
            <w:tcW w:w="3082" w:type="dxa"/>
            <w:shd w:val="clear" w:color="auto" w:fill="FFFF00"/>
          </w:tcPr>
          <w:p w:rsidR="003E24B5" w:rsidRDefault="003E24B5" w:rsidP="0047452A">
            <w:pPr>
              <w:autoSpaceDE w:val="0"/>
              <w:autoSpaceDN w:val="0"/>
              <w:adjustRightInd w:val="0"/>
              <w:spacing w:before="120" w:after="120"/>
              <w:jc w:val="left"/>
              <w:rPr>
                <w:rFonts w:ascii="Calibri" w:hAnsi="Calibri"/>
                <w:szCs w:val="20"/>
                <w:lang w:val="en-US"/>
              </w:rPr>
            </w:pPr>
            <w:r>
              <w:rPr>
                <w:rFonts w:ascii="Calibri" w:hAnsi="Calibri"/>
                <w:szCs w:val="20"/>
                <w:lang w:val="en-US"/>
              </w:rPr>
              <w:lastRenderedPageBreak/>
              <w:t xml:space="preserve">Section 7.4 requires “Substances of Concern” to be kept separate to ensure integrity and traceability of </w:t>
            </w:r>
            <w:r>
              <w:rPr>
                <w:rFonts w:ascii="Calibri" w:hAnsi="Calibri"/>
                <w:szCs w:val="20"/>
                <w:lang w:val="en-US"/>
              </w:rPr>
              <w:lastRenderedPageBreak/>
              <w:t>the material stream.</w:t>
            </w:r>
          </w:p>
          <w:p w:rsidR="003E24B5" w:rsidRDefault="003E24B5" w:rsidP="0047452A">
            <w:pPr>
              <w:autoSpaceDE w:val="0"/>
              <w:autoSpaceDN w:val="0"/>
              <w:adjustRightInd w:val="0"/>
              <w:spacing w:before="120" w:after="120"/>
              <w:jc w:val="left"/>
              <w:rPr>
                <w:rFonts w:ascii="Calibri" w:hAnsi="Calibri"/>
                <w:szCs w:val="20"/>
              </w:rPr>
            </w:pPr>
            <w:r>
              <w:rPr>
                <w:rFonts w:ascii="Calibri" w:hAnsi="Calibri"/>
                <w:szCs w:val="20"/>
              </w:rPr>
              <w:t>Appendix 1 of the DIIS provides guidance on the environmentally sound recycling of electronics including material separation.</w:t>
            </w:r>
          </w:p>
        </w:tc>
        <w:tc>
          <w:tcPr>
            <w:tcW w:w="1118" w:type="dxa"/>
            <w:shd w:val="clear" w:color="auto" w:fill="FFFF00"/>
          </w:tcPr>
          <w:p w:rsidR="003E24B5" w:rsidRDefault="003E24B5" w:rsidP="0047452A">
            <w:pPr>
              <w:spacing w:before="120" w:after="120"/>
              <w:jc w:val="left"/>
              <w:rPr>
                <w:rFonts w:ascii="Calibri" w:hAnsi="Calibri"/>
                <w:szCs w:val="20"/>
              </w:rPr>
            </w:pPr>
            <w:r>
              <w:rPr>
                <w:rFonts w:ascii="Calibri" w:hAnsi="Calibri"/>
                <w:szCs w:val="20"/>
              </w:rPr>
              <w:lastRenderedPageBreak/>
              <w:t>Incomplete</w:t>
            </w:r>
          </w:p>
        </w:tc>
        <w:tc>
          <w:tcPr>
            <w:tcW w:w="1000" w:type="dxa"/>
            <w:shd w:val="clear" w:color="auto" w:fill="FFFF00"/>
          </w:tcPr>
          <w:p w:rsidR="003E24B5" w:rsidRDefault="003E24B5" w:rsidP="0047452A">
            <w:pPr>
              <w:spacing w:before="120" w:after="120"/>
              <w:jc w:val="left"/>
              <w:rPr>
                <w:rFonts w:ascii="Calibri" w:hAnsi="Calibri"/>
                <w:szCs w:val="20"/>
              </w:rPr>
            </w:pPr>
            <w:r>
              <w:rPr>
                <w:rFonts w:ascii="Calibri" w:hAnsi="Calibri"/>
                <w:szCs w:val="20"/>
              </w:rPr>
              <w:t>Possible</w:t>
            </w:r>
          </w:p>
        </w:tc>
        <w:tc>
          <w:tcPr>
            <w:tcW w:w="900" w:type="dxa"/>
            <w:shd w:val="clear" w:color="auto" w:fill="FFFF00"/>
          </w:tcPr>
          <w:p w:rsidR="003E24B5" w:rsidRDefault="003E24B5" w:rsidP="0047452A">
            <w:pPr>
              <w:spacing w:before="120" w:after="120"/>
              <w:ind w:firstLine="3"/>
              <w:jc w:val="left"/>
              <w:rPr>
                <w:rFonts w:ascii="Calibri" w:hAnsi="Calibri"/>
                <w:szCs w:val="20"/>
              </w:rPr>
            </w:pPr>
            <w:r>
              <w:rPr>
                <w:rFonts w:ascii="Calibri" w:hAnsi="Calibri"/>
                <w:szCs w:val="20"/>
              </w:rPr>
              <w:t>Moderate</w:t>
            </w:r>
          </w:p>
        </w:tc>
        <w:tc>
          <w:tcPr>
            <w:tcW w:w="800" w:type="dxa"/>
            <w:shd w:val="clear" w:color="auto" w:fill="FFFF00"/>
          </w:tcPr>
          <w:p w:rsidR="003E24B5" w:rsidRDefault="003E24B5" w:rsidP="0047452A">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47452A">
            <w:pPr>
              <w:spacing w:before="120" w:after="120"/>
              <w:jc w:val="left"/>
              <w:rPr>
                <w:rFonts w:ascii="Calibri" w:hAnsi="Calibri"/>
                <w:szCs w:val="20"/>
              </w:rPr>
            </w:pPr>
            <w:r>
              <w:rPr>
                <w:rFonts w:ascii="Calibri" w:hAnsi="Calibri"/>
                <w:szCs w:val="20"/>
              </w:rPr>
              <w:t xml:space="preserve">The guidelines provided in Appendix 1 </w:t>
            </w:r>
            <w:r>
              <w:rPr>
                <w:rFonts w:ascii="Calibri" w:hAnsi="Calibri"/>
                <w:szCs w:val="20"/>
              </w:rPr>
              <w:lastRenderedPageBreak/>
              <w:t xml:space="preserve">are an extract from another set of Guidelines from Canada. These should be more formally adopted and prescribed as apart of the Standard rather than a reference to an Appendix that then refers to another set of guidelines. </w:t>
            </w:r>
          </w:p>
        </w:tc>
      </w:tr>
      <w:tr w:rsidR="003E24B5" w:rsidTr="008D5CBC">
        <w:trPr>
          <w:jc w:val="center"/>
        </w:trPr>
        <w:tc>
          <w:tcPr>
            <w:tcW w:w="1702" w:type="dxa"/>
            <w:shd w:val="clear" w:color="auto" w:fill="FFFF00"/>
          </w:tcPr>
          <w:p w:rsidR="003E24B5" w:rsidRPr="00C109AE" w:rsidRDefault="003E24B5" w:rsidP="0047452A">
            <w:pPr>
              <w:jc w:val="left"/>
              <w:rPr>
                <w:rFonts w:ascii="Calibri" w:hAnsi="Calibri" w:cs="Calibri"/>
                <w:b/>
                <w:bCs/>
                <w:i/>
                <w:iCs/>
                <w:color w:val="000000"/>
                <w:szCs w:val="20"/>
              </w:rPr>
            </w:pPr>
            <w:r w:rsidRPr="00C109AE">
              <w:rPr>
                <w:rFonts w:ascii="Calibri" w:hAnsi="Calibri" w:cs="Calibri"/>
                <w:b/>
                <w:bCs/>
                <w:i/>
                <w:iCs/>
                <w:color w:val="000000"/>
                <w:szCs w:val="20"/>
              </w:rPr>
              <w:lastRenderedPageBreak/>
              <w:t>DIIS – Appendix 1</w:t>
            </w:r>
          </w:p>
        </w:tc>
        <w:tc>
          <w:tcPr>
            <w:tcW w:w="1972" w:type="dxa"/>
            <w:shd w:val="clear" w:color="auto" w:fill="FFFF00"/>
          </w:tcPr>
          <w:p w:rsidR="003E24B5" w:rsidRPr="00B257B8" w:rsidRDefault="003E24B5" w:rsidP="0047452A">
            <w:pPr>
              <w:spacing w:before="120" w:after="120"/>
              <w:jc w:val="left"/>
              <w:rPr>
                <w:rFonts w:ascii="Calibri" w:hAnsi="Calibri"/>
                <w:i/>
                <w:szCs w:val="20"/>
              </w:rPr>
            </w:pPr>
            <w:r w:rsidRPr="00B257B8">
              <w:rPr>
                <w:rFonts w:ascii="Calibri" w:hAnsi="Calibri"/>
                <w:i/>
                <w:szCs w:val="20"/>
              </w:rPr>
              <w:t>Improper mechanical or manual dismantling results in the release of hazardous substances</w:t>
            </w:r>
            <w:r>
              <w:rPr>
                <w:rFonts w:ascii="Calibri" w:hAnsi="Calibri"/>
                <w:i/>
                <w:szCs w:val="20"/>
              </w:rPr>
              <w:t xml:space="preserve"> to which employees are exposed.</w:t>
            </w:r>
          </w:p>
        </w:tc>
        <w:tc>
          <w:tcPr>
            <w:tcW w:w="2110" w:type="dxa"/>
            <w:shd w:val="clear" w:color="auto" w:fill="FFFF00"/>
          </w:tcPr>
          <w:p w:rsidR="003E24B5" w:rsidRDefault="003E24B5" w:rsidP="00162446">
            <w:pPr>
              <w:pStyle w:val="ListParagraph"/>
              <w:numPr>
                <w:ilvl w:val="0"/>
                <w:numId w:val="35"/>
              </w:numPr>
              <w:spacing w:before="120" w:after="120"/>
              <w:jc w:val="left"/>
              <w:rPr>
                <w:rFonts w:ascii="Calibri" w:hAnsi="Calibri"/>
                <w:szCs w:val="20"/>
              </w:rPr>
            </w:pPr>
            <w:r>
              <w:rPr>
                <w:rFonts w:ascii="Calibri" w:hAnsi="Calibri"/>
                <w:szCs w:val="20"/>
              </w:rPr>
              <w:t>Materials deposited at an Inappropriate facility</w:t>
            </w:r>
          </w:p>
          <w:p w:rsidR="003E24B5" w:rsidRDefault="003E24B5" w:rsidP="00162446">
            <w:pPr>
              <w:pStyle w:val="ListParagraph"/>
              <w:numPr>
                <w:ilvl w:val="0"/>
                <w:numId w:val="35"/>
              </w:numPr>
              <w:spacing w:before="120" w:after="120"/>
              <w:jc w:val="left"/>
              <w:rPr>
                <w:rFonts w:ascii="Calibri" w:hAnsi="Calibri"/>
                <w:szCs w:val="20"/>
              </w:rPr>
            </w:pPr>
            <w:r>
              <w:rPr>
                <w:rFonts w:ascii="Calibri" w:hAnsi="Calibri"/>
                <w:szCs w:val="20"/>
              </w:rPr>
              <w:t>Operator fails to adhere to regulatory requirements</w:t>
            </w:r>
          </w:p>
          <w:p w:rsidR="003E24B5" w:rsidRPr="00123767" w:rsidRDefault="003E24B5" w:rsidP="00162446">
            <w:pPr>
              <w:pStyle w:val="ListParagraph"/>
              <w:numPr>
                <w:ilvl w:val="0"/>
                <w:numId w:val="35"/>
              </w:numPr>
              <w:spacing w:before="120" w:after="120"/>
              <w:jc w:val="left"/>
              <w:rPr>
                <w:rFonts w:ascii="Calibri" w:hAnsi="Calibri"/>
                <w:szCs w:val="20"/>
              </w:rPr>
            </w:pPr>
            <w:r>
              <w:rPr>
                <w:rFonts w:ascii="Calibri" w:hAnsi="Calibri"/>
                <w:szCs w:val="20"/>
              </w:rPr>
              <w:t xml:space="preserve">Regulatory requirements not enforced </w:t>
            </w:r>
          </w:p>
        </w:tc>
        <w:tc>
          <w:tcPr>
            <w:tcW w:w="2000" w:type="dxa"/>
            <w:shd w:val="clear" w:color="auto" w:fill="FFFF00"/>
          </w:tcPr>
          <w:p w:rsidR="003E24B5" w:rsidRPr="00123767" w:rsidRDefault="003E24B5" w:rsidP="00162446">
            <w:pPr>
              <w:pStyle w:val="ListParagraph"/>
              <w:numPr>
                <w:ilvl w:val="0"/>
                <w:numId w:val="35"/>
              </w:numPr>
              <w:spacing w:before="120" w:after="120"/>
              <w:jc w:val="left"/>
              <w:rPr>
                <w:rFonts w:ascii="Calibri" w:hAnsi="Calibri"/>
                <w:szCs w:val="20"/>
              </w:rPr>
            </w:pPr>
            <w:r>
              <w:rPr>
                <w:rFonts w:ascii="Calibri" w:hAnsi="Calibri"/>
                <w:szCs w:val="20"/>
              </w:rPr>
              <w:t>Workplace becomes hazardous to employees</w:t>
            </w:r>
          </w:p>
        </w:tc>
        <w:tc>
          <w:tcPr>
            <w:tcW w:w="3082" w:type="dxa"/>
            <w:shd w:val="clear" w:color="auto" w:fill="FFFF00"/>
          </w:tcPr>
          <w:p w:rsidR="003E24B5" w:rsidRDefault="003E24B5" w:rsidP="0047452A">
            <w:pPr>
              <w:autoSpaceDE w:val="0"/>
              <w:autoSpaceDN w:val="0"/>
              <w:adjustRightInd w:val="0"/>
              <w:spacing w:before="120" w:after="120"/>
              <w:jc w:val="left"/>
              <w:rPr>
                <w:rFonts w:ascii="Calibri" w:hAnsi="Calibri"/>
                <w:szCs w:val="20"/>
                <w:lang w:val="en-US"/>
              </w:rPr>
            </w:pPr>
            <w:r>
              <w:rPr>
                <w:rFonts w:ascii="Calibri" w:hAnsi="Calibri"/>
                <w:szCs w:val="20"/>
                <w:lang w:val="en-US"/>
              </w:rPr>
              <w:t>Section 7.4 requires “Substances of Concern” to be kept separate to ensure integrity and traceability of the material stream.</w:t>
            </w:r>
          </w:p>
          <w:p w:rsidR="003E24B5" w:rsidRDefault="003E24B5" w:rsidP="0047452A">
            <w:pPr>
              <w:autoSpaceDE w:val="0"/>
              <w:autoSpaceDN w:val="0"/>
              <w:adjustRightInd w:val="0"/>
              <w:spacing w:before="120" w:after="120"/>
              <w:jc w:val="left"/>
              <w:rPr>
                <w:rFonts w:ascii="Calibri" w:hAnsi="Calibri"/>
                <w:szCs w:val="20"/>
              </w:rPr>
            </w:pPr>
            <w:r>
              <w:rPr>
                <w:rFonts w:ascii="Calibri" w:hAnsi="Calibri"/>
                <w:szCs w:val="20"/>
              </w:rPr>
              <w:t xml:space="preserve">Appendix 1 of the DIIS requires appropriate controls to prevent worker exposure to be implemented and maintained. </w:t>
            </w:r>
          </w:p>
        </w:tc>
        <w:tc>
          <w:tcPr>
            <w:tcW w:w="1118" w:type="dxa"/>
            <w:shd w:val="clear" w:color="auto" w:fill="FFFF00"/>
          </w:tcPr>
          <w:p w:rsidR="003E24B5" w:rsidRDefault="003E24B5" w:rsidP="0047452A">
            <w:pPr>
              <w:spacing w:before="120" w:after="120"/>
              <w:jc w:val="left"/>
              <w:rPr>
                <w:rFonts w:ascii="Calibri" w:hAnsi="Calibri"/>
                <w:szCs w:val="20"/>
              </w:rPr>
            </w:pPr>
            <w:r>
              <w:rPr>
                <w:rFonts w:ascii="Calibri" w:hAnsi="Calibri"/>
                <w:szCs w:val="20"/>
              </w:rPr>
              <w:t xml:space="preserve">Incomplete </w:t>
            </w:r>
          </w:p>
        </w:tc>
        <w:tc>
          <w:tcPr>
            <w:tcW w:w="1000" w:type="dxa"/>
            <w:shd w:val="clear" w:color="auto" w:fill="FFFF00"/>
          </w:tcPr>
          <w:p w:rsidR="003E24B5" w:rsidRDefault="003E24B5" w:rsidP="0047452A">
            <w:pPr>
              <w:spacing w:before="120" w:after="120"/>
              <w:jc w:val="left"/>
              <w:rPr>
                <w:rFonts w:ascii="Calibri" w:hAnsi="Calibri"/>
                <w:szCs w:val="20"/>
              </w:rPr>
            </w:pPr>
            <w:r>
              <w:rPr>
                <w:rFonts w:ascii="Calibri" w:hAnsi="Calibri"/>
                <w:szCs w:val="20"/>
              </w:rPr>
              <w:t>Possible</w:t>
            </w:r>
          </w:p>
        </w:tc>
        <w:tc>
          <w:tcPr>
            <w:tcW w:w="900" w:type="dxa"/>
            <w:shd w:val="clear" w:color="auto" w:fill="FFFF00"/>
          </w:tcPr>
          <w:p w:rsidR="003E24B5" w:rsidRDefault="003E24B5" w:rsidP="0047452A">
            <w:pPr>
              <w:spacing w:before="120" w:after="120"/>
              <w:ind w:firstLine="3"/>
              <w:jc w:val="left"/>
              <w:rPr>
                <w:rFonts w:ascii="Calibri" w:hAnsi="Calibri"/>
                <w:szCs w:val="20"/>
              </w:rPr>
            </w:pPr>
            <w:r>
              <w:rPr>
                <w:rFonts w:ascii="Calibri" w:hAnsi="Calibri"/>
                <w:szCs w:val="20"/>
              </w:rPr>
              <w:t>Moderate</w:t>
            </w:r>
          </w:p>
        </w:tc>
        <w:tc>
          <w:tcPr>
            <w:tcW w:w="800" w:type="dxa"/>
            <w:shd w:val="clear" w:color="auto" w:fill="FFFF00"/>
          </w:tcPr>
          <w:p w:rsidR="003E24B5" w:rsidRDefault="003E24B5" w:rsidP="0047452A">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47452A">
            <w:pPr>
              <w:spacing w:before="120" w:after="120"/>
              <w:jc w:val="left"/>
              <w:rPr>
                <w:rFonts w:ascii="Calibri" w:hAnsi="Calibri"/>
                <w:szCs w:val="20"/>
              </w:rPr>
            </w:pPr>
            <w:r>
              <w:rPr>
                <w:rFonts w:ascii="Calibri" w:hAnsi="Calibri"/>
                <w:szCs w:val="20"/>
              </w:rPr>
              <w:t>Information contained in Appendix 1 needs to be more prescriptive and included in the body of the Standard.</w:t>
            </w:r>
          </w:p>
        </w:tc>
      </w:tr>
      <w:tr w:rsidR="003E24B5" w:rsidTr="008D5CBC">
        <w:trPr>
          <w:jc w:val="center"/>
        </w:trPr>
        <w:tc>
          <w:tcPr>
            <w:tcW w:w="1702" w:type="dxa"/>
            <w:shd w:val="clear" w:color="auto" w:fill="FFFF00"/>
          </w:tcPr>
          <w:p w:rsidR="003E24B5" w:rsidRPr="00C109AE" w:rsidRDefault="003E24B5" w:rsidP="0047452A">
            <w:pPr>
              <w:jc w:val="left"/>
              <w:rPr>
                <w:rFonts w:ascii="Calibri" w:hAnsi="Calibri" w:cs="Calibri"/>
                <w:b/>
                <w:bCs/>
                <w:i/>
                <w:iCs/>
                <w:color w:val="000000"/>
                <w:szCs w:val="20"/>
              </w:rPr>
            </w:pPr>
            <w:r w:rsidRPr="00C109AE">
              <w:rPr>
                <w:rFonts w:ascii="Calibri" w:hAnsi="Calibri" w:cs="Calibri"/>
                <w:b/>
                <w:bCs/>
                <w:i/>
                <w:iCs/>
                <w:color w:val="000000"/>
                <w:szCs w:val="20"/>
              </w:rPr>
              <w:t>DIIS – Section 7</w:t>
            </w:r>
          </w:p>
        </w:tc>
        <w:tc>
          <w:tcPr>
            <w:tcW w:w="1972" w:type="dxa"/>
            <w:shd w:val="clear" w:color="auto" w:fill="FFFF00"/>
          </w:tcPr>
          <w:p w:rsidR="003E24B5" w:rsidRPr="00B257B8" w:rsidRDefault="003E24B5" w:rsidP="0047452A">
            <w:pPr>
              <w:spacing w:before="120" w:after="120"/>
              <w:jc w:val="left"/>
              <w:rPr>
                <w:rFonts w:ascii="Calibri" w:hAnsi="Calibri"/>
                <w:i/>
                <w:szCs w:val="20"/>
              </w:rPr>
            </w:pPr>
            <w:r w:rsidRPr="00B257B8">
              <w:rPr>
                <w:rFonts w:ascii="Calibri" w:hAnsi="Calibri"/>
                <w:i/>
                <w:szCs w:val="20"/>
              </w:rPr>
              <w:t xml:space="preserve">Failure to remove components from EOLE prior to mechanical processing. </w:t>
            </w:r>
          </w:p>
        </w:tc>
        <w:tc>
          <w:tcPr>
            <w:tcW w:w="2110" w:type="dxa"/>
            <w:shd w:val="clear" w:color="auto" w:fill="FFFF00"/>
          </w:tcPr>
          <w:p w:rsidR="003E24B5" w:rsidRDefault="003E24B5" w:rsidP="00162446">
            <w:pPr>
              <w:pStyle w:val="ListParagraph"/>
              <w:numPr>
                <w:ilvl w:val="0"/>
                <w:numId w:val="36"/>
              </w:numPr>
              <w:spacing w:before="120" w:after="120"/>
              <w:jc w:val="left"/>
              <w:rPr>
                <w:rFonts w:ascii="Calibri" w:hAnsi="Calibri"/>
                <w:szCs w:val="20"/>
              </w:rPr>
            </w:pPr>
            <w:r>
              <w:rPr>
                <w:rFonts w:ascii="Calibri" w:hAnsi="Calibri"/>
                <w:szCs w:val="20"/>
              </w:rPr>
              <w:t>Lack of identification of hazardous materials at time/point of receipt</w:t>
            </w:r>
          </w:p>
          <w:p w:rsidR="003E24B5" w:rsidRPr="00123767" w:rsidRDefault="003E24B5" w:rsidP="00162446">
            <w:pPr>
              <w:pStyle w:val="ListParagraph"/>
              <w:numPr>
                <w:ilvl w:val="0"/>
                <w:numId w:val="36"/>
              </w:numPr>
              <w:spacing w:before="120" w:after="120"/>
              <w:jc w:val="left"/>
              <w:rPr>
                <w:rFonts w:ascii="Calibri" w:hAnsi="Calibri"/>
                <w:szCs w:val="20"/>
              </w:rPr>
            </w:pPr>
            <w:r>
              <w:rPr>
                <w:rFonts w:ascii="Calibri" w:hAnsi="Calibri"/>
                <w:szCs w:val="20"/>
              </w:rPr>
              <w:t>Inexperienced operator fails to identify hazardous components and/or adopts unsafe separation techniques</w:t>
            </w:r>
          </w:p>
        </w:tc>
        <w:tc>
          <w:tcPr>
            <w:tcW w:w="2000" w:type="dxa"/>
            <w:shd w:val="clear" w:color="auto" w:fill="FFFF00"/>
          </w:tcPr>
          <w:p w:rsidR="003E24B5" w:rsidRPr="00123767" w:rsidRDefault="003E24B5" w:rsidP="00162446">
            <w:pPr>
              <w:pStyle w:val="ListParagraph"/>
              <w:numPr>
                <w:ilvl w:val="0"/>
                <w:numId w:val="36"/>
              </w:numPr>
              <w:spacing w:before="120" w:after="120"/>
              <w:jc w:val="left"/>
              <w:rPr>
                <w:rFonts w:ascii="Calibri" w:hAnsi="Calibri"/>
                <w:szCs w:val="20"/>
              </w:rPr>
            </w:pPr>
            <w:r>
              <w:rPr>
                <w:rFonts w:ascii="Calibri" w:hAnsi="Calibri"/>
                <w:szCs w:val="20"/>
              </w:rPr>
              <w:t>Potential for harm to the environment and employees</w:t>
            </w:r>
          </w:p>
        </w:tc>
        <w:tc>
          <w:tcPr>
            <w:tcW w:w="3082" w:type="dxa"/>
            <w:shd w:val="clear" w:color="auto" w:fill="FFFF00"/>
          </w:tcPr>
          <w:p w:rsidR="003E24B5" w:rsidRDefault="003E24B5" w:rsidP="0047452A">
            <w:pPr>
              <w:autoSpaceDE w:val="0"/>
              <w:autoSpaceDN w:val="0"/>
              <w:adjustRightInd w:val="0"/>
              <w:spacing w:before="120" w:after="120"/>
              <w:jc w:val="left"/>
              <w:rPr>
                <w:rFonts w:ascii="Calibri" w:hAnsi="Calibri"/>
                <w:szCs w:val="20"/>
              </w:rPr>
            </w:pPr>
            <w:r w:rsidRPr="00A15F6B">
              <w:rPr>
                <w:rFonts w:ascii="Calibri" w:hAnsi="Calibri"/>
                <w:szCs w:val="20"/>
              </w:rPr>
              <w:t>Section 7.4 – Processing and Handling</w:t>
            </w:r>
            <w:r>
              <w:rPr>
                <w:rFonts w:ascii="Calibri" w:hAnsi="Calibri"/>
                <w:szCs w:val="20"/>
              </w:rPr>
              <w:t xml:space="preserve"> requires the removal of components, prior to processing, likely to pose a health and safety risk. This section of the DIIS requires as a minimum the removal of;</w:t>
            </w:r>
          </w:p>
          <w:p w:rsidR="003E24B5" w:rsidRDefault="003E24B5" w:rsidP="00162446">
            <w:pPr>
              <w:pStyle w:val="ListParagraph"/>
              <w:numPr>
                <w:ilvl w:val="0"/>
                <w:numId w:val="42"/>
              </w:numPr>
              <w:autoSpaceDE w:val="0"/>
              <w:autoSpaceDN w:val="0"/>
              <w:adjustRightInd w:val="0"/>
              <w:spacing w:before="120" w:after="120"/>
              <w:jc w:val="left"/>
              <w:rPr>
                <w:rFonts w:ascii="Calibri" w:hAnsi="Calibri"/>
                <w:szCs w:val="20"/>
              </w:rPr>
            </w:pPr>
            <w:r>
              <w:rPr>
                <w:rFonts w:ascii="Calibri" w:hAnsi="Calibri"/>
                <w:szCs w:val="20"/>
              </w:rPr>
              <w:t>Mercury bearing lamps</w:t>
            </w:r>
          </w:p>
          <w:p w:rsidR="003E24B5" w:rsidRDefault="003E24B5" w:rsidP="00162446">
            <w:pPr>
              <w:pStyle w:val="ListParagraph"/>
              <w:numPr>
                <w:ilvl w:val="0"/>
                <w:numId w:val="42"/>
              </w:numPr>
              <w:autoSpaceDE w:val="0"/>
              <w:autoSpaceDN w:val="0"/>
              <w:adjustRightInd w:val="0"/>
              <w:spacing w:before="120" w:after="120"/>
              <w:jc w:val="left"/>
              <w:rPr>
                <w:rFonts w:ascii="Calibri" w:hAnsi="Calibri"/>
                <w:szCs w:val="20"/>
              </w:rPr>
            </w:pPr>
            <w:r>
              <w:rPr>
                <w:rFonts w:ascii="Calibri" w:hAnsi="Calibri"/>
                <w:szCs w:val="20"/>
              </w:rPr>
              <w:t xml:space="preserve">Ink and toner cartridges </w:t>
            </w:r>
          </w:p>
          <w:p w:rsidR="003E24B5" w:rsidRDefault="003E24B5" w:rsidP="00162446">
            <w:pPr>
              <w:pStyle w:val="ListParagraph"/>
              <w:numPr>
                <w:ilvl w:val="0"/>
                <w:numId w:val="42"/>
              </w:numPr>
              <w:autoSpaceDE w:val="0"/>
              <w:autoSpaceDN w:val="0"/>
              <w:adjustRightInd w:val="0"/>
              <w:spacing w:before="120" w:after="120"/>
              <w:jc w:val="left"/>
              <w:rPr>
                <w:rFonts w:ascii="Calibri" w:hAnsi="Calibri"/>
                <w:szCs w:val="20"/>
              </w:rPr>
            </w:pPr>
            <w:r>
              <w:rPr>
                <w:rFonts w:ascii="Calibri" w:hAnsi="Calibri"/>
                <w:szCs w:val="20"/>
              </w:rPr>
              <w:t>Batteries</w:t>
            </w:r>
          </w:p>
          <w:p w:rsidR="003E24B5" w:rsidRPr="00A15F6B" w:rsidRDefault="003E24B5" w:rsidP="00162446">
            <w:pPr>
              <w:pStyle w:val="ListParagraph"/>
              <w:numPr>
                <w:ilvl w:val="0"/>
                <w:numId w:val="42"/>
              </w:numPr>
              <w:autoSpaceDE w:val="0"/>
              <w:autoSpaceDN w:val="0"/>
              <w:adjustRightInd w:val="0"/>
              <w:spacing w:before="120" w:after="120"/>
              <w:jc w:val="left"/>
              <w:rPr>
                <w:rFonts w:ascii="Calibri" w:hAnsi="Calibri"/>
                <w:szCs w:val="20"/>
              </w:rPr>
            </w:pPr>
            <w:r>
              <w:rPr>
                <w:rFonts w:ascii="Calibri" w:hAnsi="Calibri"/>
                <w:szCs w:val="20"/>
              </w:rPr>
              <w:t xml:space="preserve">CRT and flat panel displays. </w:t>
            </w:r>
          </w:p>
        </w:tc>
        <w:tc>
          <w:tcPr>
            <w:tcW w:w="1118" w:type="dxa"/>
            <w:shd w:val="clear" w:color="auto" w:fill="FFFF00"/>
          </w:tcPr>
          <w:p w:rsidR="003E24B5" w:rsidRDefault="003E24B5" w:rsidP="0047452A">
            <w:pPr>
              <w:spacing w:before="120" w:after="120"/>
              <w:jc w:val="left"/>
              <w:rPr>
                <w:rFonts w:ascii="Calibri" w:hAnsi="Calibri"/>
                <w:szCs w:val="20"/>
              </w:rPr>
            </w:pPr>
            <w:r>
              <w:rPr>
                <w:rFonts w:ascii="Calibri" w:hAnsi="Calibri"/>
                <w:szCs w:val="20"/>
              </w:rPr>
              <w:t>Adequate</w:t>
            </w:r>
          </w:p>
        </w:tc>
        <w:tc>
          <w:tcPr>
            <w:tcW w:w="1000" w:type="dxa"/>
            <w:shd w:val="clear" w:color="auto" w:fill="FFFF00"/>
          </w:tcPr>
          <w:p w:rsidR="003E24B5" w:rsidRDefault="003E24B5" w:rsidP="0047452A">
            <w:pPr>
              <w:spacing w:before="120" w:after="120"/>
              <w:jc w:val="left"/>
              <w:rPr>
                <w:rFonts w:ascii="Calibri" w:hAnsi="Calibri"/>
                <w:szCs w:val="20"/>
              </w:rPr>
            </w:pPr>
            <w:r>
              <w:rPr>
                <w:rFonts w:ascii="Calibri" w:hAnsi="Calibri"/>
                <w:szCs w:val="20"/>
              </w:rPr>
              <w:t>Possible</w:t>
            </w:r>
          </w:p>
        </w:tc>
        <w:tc>
          <w:tcPr>
            <w:tcW w:w="900" w:type="dxa"/>
            <w:shd w:val="clear" w:color="auto" w:fill="FFFF00"/>
          </w:tcPr>
          <w:p w:rsidR="003E24B5" w:rsidRDefault="003E24B5" w:rsidP="0047452A">
            <w:pPr>
              <w:spacing w:before="120" w:after="120"/>
              <w:ind w:firstLine="3"/>
              <w:jc w:val="left"/>
              <w:rPr>
                <w:rFonts w:ascii="Calibri" w:hAnsi="Calibri"/>
                <w:szCs w:val="20"/>
              </w:rPr>
            </w:pPr>
            <w:r>
              <w:rPr>
                <w:rFonts w:ascii="Calibri" w:hAnsi="Calibri"/>
                <w:szCs w:val="20"/>
              </w:rPr>
              <w:t>Moderate</w:t>
            </w:r>
          </w:p>
        </w:tc>
        <w:tc>
          <w:tcPr>
            <w:tcW w:w="800" w:type="dxa"/>
            <w:shd w:val="clear" w:color="auto" w:fill="FFFF00"/>
          </w:tcPr>
          <w:p w:rsidR="003E24B5" w:rsidRDefault="003E24B5" w:rsidP="0047452A">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47452A">
            <w:pPr>
              <w:spacing w:before="120" w:after="120"/>
              <w:jc w:val="left"/>
              <w:rPr>
                <w:rFonts w:ascii="Calibri" w:hAnsi="Calibri"/>
                <w:szCs w:val="20"/>
              </w:rPr>
            </w:pPr>
          </w:p>
          <w:p w:rsidR="003E24B5" w:rsidRDefault="003E24B5" w:rsidP="0047452A">
            <w:pPr>
              <w:spacing w:before="120" w:after="120"/>
              <w:jc w:val="left"/>
              <w:rPr>
                <w:rFonts w:ascii="Calibri" w:hAnsi="Calibri"/>
                <w:szCs w:val="20"/>
              </w:rPr>
            </w:pPr>
            <w:r>
              <w:rPr>
                <w:rFonts w:ascii="Calibri" w:hAnsi="Calibri"/>
                <w:szCs w:val="20"/>
              </w:rPr>
              <w:t>Implementation of auditing regime</w:t>
            </w:r>
          </w:p>
        </w:tc>
      </w:tr>
      <w:tr w:rsidR="003E24B5" w:rsidTr="008D5CBC">
        <w:trPr>
          <w:jc w:val="center"/>
        </w:trPr>
        <w:tc>
          <w:tcPr>
            <w:tcW w:w="1702" w:type="dxa"/>
            <w:shd w:val="clear" w:color="auto" w:fill="FFFF00"/>
          </w:tcPr>
          <w:p w:rsidR="003E24B5" w:rsidRPr="00C109AE" w:rsidRDefault="003E24B5" w:rsidP="00E84A61">
            <w:pPr>
              <w:jc w:val="left"/>
              <w:rPr>
                <w:rFonts w:ascii="Calibri" w:hAnsi="Calibri" w:cs="Calibri"/>
                <w:b/>
                <w:bCs/>
                <w:i/>
                <w:iCs/>
                <w:color w:val="000000"/>
                <w:szCs w:val="20"/>
              </w:rPr>
            </w:pPr>
            <w:r w:rsidRPr="00C109AE">
              <w:rPr>
                <w:rFonts w:ascii="Calibri" w:hAnsi="Calibri" w:cs="Calibri"/>
                <w:b/>
                <w:bCs/>
                <w:i/>
                <w:iCs/>
                <w:color w:val="000000"/>
                <w:szCs w:val="20"/>
              </w:rPr>
              <w:t>DIIS – Section 7</w:t>
            </w:r>
          </w:p>
        </w:tc>
        <w:tc>
          <w:tcPr>
            <w:tcW w:w="1972" w:type="dxa"/>
            <w:shd w:val="clear" w:color="auto" w:fill="FFFF00"/>
          </w:tcPr>
          <w:p w:rsidR="003E24B5" w:rsidRPr="00B257B8" w:rsidRDefault="003E24B5" w:rsidP="00E84A61">
            <w:pPr>
              <w:spacing w:before="120" w:after="120"/>
              <w:jc w:val="left"/>
              <w:rPr>
                <w:rFonts w:ascii="Calibri" w:hAnsi="Calibri"/>
                <w:i/>
                <w:szCs w:val="20"/>
              </w:rPr>
            </w:pPr>
            <w:r>
              <w:rPr>
                <w:rFonts w:ascii="Calibri" w:hAnsi="Calibri"/>
                <w:i/>
                <w:szCs w:val="20"/>
              </w:rPr>
              <w:t xml:space="preserve">DIIS requirement for EMS </w:t>
            </w:r>
            <w:r w:rsidRPr="00B257B8">
              <w:rPr>
                <w:rFonts w:ascii="Calibri" w:hAnsi="Calibri"/>
                <w:i/>
                <w:szCs w:val="20"/>
              </w:rPr>
              <w:t xml:space="preserve">certification prevents otherwise </w:t>
            </w:r>
            <w:r w:rsidRPr="00B257B8">
              <w:rPr>
                <w:rFonts w:ascii="Calibri" w:hAnsi="Calibri"/>
                <w:i/>
                <w:szCs w:val="20"/>
              </w:rPr>
              <w:lastRenderedPageBreak/>
              <w:t>credible operators from receiving/</w:t>
            </w:r>
            <w:r>
              <w:rPr>
                <w:rFonts w:ascii="Calibri" w:hAnsi="Calibri"/>
                <w:i/>
                <w:szCs w:val="20"/>
              </w:rPr>
              <w:t xml:space="preserve"> </w:t>
            </w:r>
            <w:r w:rsidRPr="00B257B8">
              <w:rPr>
                <w:rFonts w:ascii="Calibri" w:hAnsi="Calibri"/>
                <w:i/>
                <w:szCs w:val="20"/>
              </w:rPr>
              <w:t>disassembling EOL stock.</w:t>
            </w:r>
          </w:p>
        </w:tc>
        <w:tc>
          <w:tcPr>
            <w:tcW w:w="2110" w:type="dxa"/>
            <w:shd w:val="clear" w:color="auto" w:fill="FFFF00"/>
          </w:tcPr>
          <w:p w:rsidR="003E24B5" w:rsidRDefault="003E24B5" w:rsidP="00162446">
            <w:pPr>
              <w:pStyle w:val="ListParagraph"/>
              <w:numPr>
                <w:ilvl w:val="0"/>
                <w:numId w:val="32"/>
              </w:numPr>
              <w:spacing w:before="120" w:after="120"/>
              <w:jc w:val="left"/>
              <w:rPr>
                <w:rFonts w:ascii="Calibri" w:hAnsi="Calibri"/>
                <w:szCs w:val="20"/>
              </w:rPr>
            </w:pPr>
            <w:r>
              <w:rPr>
                <w:rFonts w:ascii="Calibri" w:hAnsi="Calibri"/>
                <w:szCs w:val="20"/>
              </w:rPr>
              <w:lastRenderedPageBreak/>
              <w:t xml:space="preserve">Insufficient funds to undertake the necessary </w:t>
            </w:r>
            <w:r>
              <w:rPr>
                <w:rFonts w:ascii="Calibri" w:hAnsi="Calibri"/>
                <w:szCs w:val="20"/>
              </w:rPr>
              <w:lastRenderedPageBreak/>
              <w:t>requirements for certification</w:t>
            </w:r>
          </w:p>
          <w:p w:rsidR="003E24B5" w:rsidRPr="00C63714" w:rsidRDefault="003E24B5" w:rsidP="00162446">
            <w:pPr>
              <w:pStyle w:val="ListParagraph"/>
              <w:numPr>
                <w:ilvl w:val="0"/>
                <w:numId w:val="32"/>
              </w:numPr>
              <w:spacing w:before="120" w:after="120"/>
              <w:jc w:val="left"/>
              <w:rPr>
                <w:rFonts w:ascii="Calibri" w:hAnsi="Calibri"/>
                <w:szCs w:val="20"/>
              </w:rPr>
            </w:pPr>
            <w:r>
              <w:rPr>
                <w:rFonts w:ascii="Calibri" w:hAnsi="Calibri"/>
                <w:szCs w:val="20"/>
              </w:rPr>
              <w:t xml:space="preserve">Lack of understanding of the requirements </w:t>
            </w:r>
          </w:p>
        </w:tc>
        <w:tc>
          <w:tcPr>
            <w:tcW w:w="2000" w:type="dxa"/>
            <w:shd w:val="clear" w:color="auto" w:fill="FFFF00"/>
          </w:tcPr>
          <w:p w:rsidR="003E24B5" w:rsidRPr="00C63714" w:rsidRDefault="003E24B5" w:rsidP="00162446">
            <w:pPr>
              <w:pStyle w:val="ListParagraph"/>
              <w:numPr>
                <w:ilvl w:val="0"/>
                <w:numId w:val="32"/>
              </w:numPr>
              <w:spacing w:before="120" w:after="120"/>
              <w:jc w:val="left"/>
              <w:rPr>
                <w:rFonts w:ascii="Calibri" w:hAnsi="Calibri"/>
                <w:szCs w:val="20"/>
              </w:rPr>
            </w:pPr>
            <w:r>
              <w:rPr>
                <w:rFonts w:ascii="Calibri" w:hAnsi="Calibri"/>
                <w:szCs w:val="20"/>
              </w:rPr>
              <w:lastRenderedPageBreak/>
              <w:t xml:space="preserve">Lack of facilities to cope with demand leads to </w:t>
            </w:r>
            <w:r>
              <w:rPr>
                <w:rFonts w:ascii="Calibri" w:hAnsi="Calibri"/>
                <w:szCs w:val="20"/>
              </w:rPr>
              <w:lastRenderedPageBreak/>
              <w:t>below optimum disposal practices</w:t>
            </w:r>
          </w:p>
        </w:tc>
        <w:tc>
          <w:tcPr>
            <w:tcW w:w="3082" w:type="dxa"/>
            <w:shd w:val="clear" w:color="auto" w:fill="FFFF00"/>
          </w:tcPr>
          <w:p w:rsidR="003E24B5" w:rsidRDefault="003E24B5" w:rsidP="00E84A61">
            <w:pPr>
              <w:autoSpaceDE w:val="0"/>
              <w:autoSpaceDN w:val="0"/>
              <w:adjustRightInd w:val="0"/>
              <w:spacing w:before="120" w:after="120"/>
              <w:jc w:val="left"/>
              <w:rPr>
                <w:rFonts w:ascii="Calibri" w:hAnsi="Calibri"/>
                <w:szCs w:val="20"/>
              </w:rPr>
            </w:pPr>
          </w:p>
        </w:tc>
        <w:tc>
          <w:tcPr>
            <w:tcW w:w="1118" w:type="dxa"/>
            <w:shd w:val="clear" w:color="auto" w:fill="FFFF00"/>
          </w:tcPr>
          <w:p w:rsidR="003E24B5" w:rsidRDefault="003E24B5" w:rsidP="00E84A61">
            <w:pPr>
              <w:spacing w:before="120" w:after="120"/>
              <w:jc w:val="left"/>
              <w:rPr>
                <w:rFonts w:ascii="Calibri" w:hAnsi="Calibri"/>
                <w:szCs w:val="20"/>
              </w:rPr>
            </w:pPr>
          </w:p>
        </w:tc>
        <w:tc>
          <w:tcPr>
            <w:tcW w:w="10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Likely</w:t>
            </w:r>
          </w:p>
        </w:tc>
        <w:tc>
          <w:tcPr>
            <w:tcW w:w="900" w:type="dxa"/>
            <w:shd w:val="clear" w:color="auto" w:fill="FFFF00"/>
          </w:tcPr>
          <w:p w:rsidR="003E24B5" w:rsidRDefault="003E24B5" w:rsidP="00E84A61">
            <w:pPr>
              <w:spacing w:before="120" w:after="120"/>
              <w:ind w:firstLine="3"/>
              <w:jc w:val="left"/>
              <w:rPr>
                <w:rFonts w:ascii="Calibri" w:hAnsi="Calibri"/>
                <w:szCs w:val="20"/>
              </w:rPr>
            </w:pPr>
            <w:r>
              <w:rPr>
                <w:rFonts w:ascii="Calibri" w:hAnsi="Calibri"/>
                <w:szCs w:val="20"/>
              </w:rPr>
              <w:t>Minor</w:t>
            </w:r>
          </w:p>
        </w:tc>
        <w:tc>
          <w:tcPr>
            <w:tcW w:w="8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Establish sufficient infrastructu</w:t>
            </w:r>
            <w:r>
              <w:rPr>
                <w:rFonts w:ascii="Calibri" w:hAnsi="Calibri"/>
                <w:szCs w:val="20"/>
              </w:rPr>
              <w:lastRenderedPageBreak/>
              <w:t xml:space="preserve">re to meet demand. </w:t>
            </w:r>
          </w:p>
        </w:tc>
      </w:tr>
      <w:tr w:rsidR="003E24B5" w:rsidTr="008D5CBC">
        <w:trPr>
          <w:jc w:val="center"/>
        </w:trPr>
        <w:tc>
          <w:tcPr>
            <w:tcW w:w="1702" w:type="dxa"/>
            <w:shd w:val="clear" w:color="auto" w:fill="FFFF00"/>
          </w:tcPr>
          <w:p w:rsidR="003E24B5" w:rsidRPr="00C109AE" w:rsidRDefault="003E24B5" w:rsidP="00E84A61">
            <w:pPr>
              <w:jc w:val="left"/>
              <w:rPr>
                <w:rFonts w:ascii="Calibri" w:hAnsi="Calibri" w:cs="Calibri"/>
                <w:b/>
                <w:bCs/>
                <w:i/>
                <w:iCs/>
                <w:color w:val="000000"/>
                <w:szCs w:val="20"/>
              </w:rPr>
            </w:pPr>
            <w:r w:rsidRPr="00C109AE">
              <w:rPr>
                <w:rFonts w:ascii="Calibri" w:hAnsi="Calibri" w:cs="Calibri"/>
                <w:b/>
                <w:bCs/>
                <w:i/>
                <w:iCs/>
                <w:color w:val="000000"/>
                <w:szCs w:val="20"/>
              </w:rPr>
              <w:lastRenderedPageBreak/>
              <w:t>DIIS Section 7</w:t>
            </w:r>
          </w:p>
        </w:tc>
        <w:tc>
          <w:tcPr>
            <w:tcW w:w="1972" w:type="dxa"/>
            <w:shd w:val="clear" w:color="auto" w:fill="FFFF00"/>
          </w:tcPr>
          <w:p w:rsidR="003E24B5" w:rsidRPr="00565D1D" w:rsidRDefault="003E24B5" w:rsidP="00E84A61">
            <w:pPr>
              <w:spacing w:before="120" w:after="120"/>
              <w:jc w:val="left"/>
              <w:rPr>
                <w:rFonts w:ascii="Calibri" w:hAnsi="Calibri"/>
                <w:i/>
                <w:szCs w:val="20"/>
              </w:rPr>
            </w:pPr>
            <w:r w:rsidRPr="00565D1D">
              <w:rPr>
                <w:rFonts w:ascii="Calibri" w:hAnsi="Calibri"/>
                <w:i/>
                <w:szCs w:val="20"/>
              </w:rPr>
              <w:t>Insufficient funds available in the event of major pollutant releases, mismanagement or closure of the facility.</w:t>
            </w:r>
          </w:p>
        </w:tc>
        <w:tc>
          <w:tcPr>
            <w:tcW w:w="2110" w:type="dxa"/>
            <w:shd w:val="clear" w:color="auto" w:fill="FFFF00"/>
          </w:tcPr>
          <w:p w:rsidR="003E24B5" w:rsidRDefault="003E24B5" w:rsidP="00162446">
            <w:pPr>
              <w:pStyle w:val="ListParagraph"/>
              <w:numPr>
                <w:ilvl w:val="0"/>
                <w:numId w:val="38"/>
              </w:numPr>
              <w:spacing w:before="120" w:after="120"/>
              <w:jc w:val="left"/>
              <w:rPr>
                <w:rFonts w:ascii="Calibri" w:hAnsi="Calibri"/>
                <w:szCs w:val="20"/>
              </w:rPr>
            </w:pPr>
            <w:r>
              <w:rPr>
                <w:rFonts w:ascii="Calibri" w:hAnsi="Calibri"/>
                <w:szCs w:val="20"/>
              </w:rPr>
              <w:t>Lack of regulation</w:t>
            </w:r>
          </w:p>
          <w:p w:rsidR="003E24B5" w:rsidRPr="007A72E0" w:rsidRDefault="003E24B5" w:rsidP="00162446">
            <w:pPr>
              <w:pStyle w:val="ListParagraph"/>
              <w:numPr>
                <w:ilvl w:val="0"/>
                <w:numId w:val="38"/>
              </w:numPr>
              <w:spacing w:before="120" w:after="120"/>
              <w:jc w:val="left"/>
              <w:rPr>
                <w:rFonts w:ascii="Calibri" w:hAnsi="Calibri"/>
                <w:szCs w:val="20"/>
              </w:rPr>
            </w:pPr>
            <w:r>
              <w:rPr>
                <w:rFonts w:ascii="Calibri" w:hAnsi="Calibri"/>
                <w:szCs w:val="20"/>
              </w:rPr>
              <w:t>Operator goes out of business</w:t>
            </w:r>
          </w:p>
        </w:tc>
        <w:tc>
          <w:tcPr>
            <w:tcW w:w="2000" w:type="dxa"/>
            <w:shd w:val="clear" w:color="auto" w:fill="FFFF00"/>
          </w:tcPr>
          <w:p w:rsidR="003E24B5" w:rsidRPr="007A72E0" w:rsidRDefault="003E24B5" w:rsidP="00162446">
            <w:pPr>
              <w:pStyle w:val="ListParagraph"/>
              <w:numPr>
                <w:ilvl w:val="0"/>
                <w:numId w:val="38"/>
              </w:numPr>
              <w:spacing w:before="120" w:after="120"/>
              <w:jc w:val="left"/>
              <w:rPr>
                <w:rFonts w:ascii="Calibri" w:hAnsi="Calibri"/>
                <w:szCs w:val="20"/>
              </w:rPr>
            </w:pPr>
            <w:r>
              <w:rPr>
                <w:rFonts w:ascii="Calibri" w:hAnsi="Calibri"/>
                <w:szCs w:val="20"/>
              </w:rPr>
              <w:t xml:space="preserve">In the event of an environmental incident, the cost of cleanup would be borne by government </w:t>
            </w:r>
          </w:p>
        </w:tc>
        <w:tc>
          <w:tcPr>
            <w:tcW w:w="3082" w:type="dxa"/>
            <w:shd w:val="clear" w:color="auto" w:fill="FFFF00"/>
          </w:tcPr>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 xml:space="preserve">Section 7.2 – Insurance requires recyclers to have a documented closure plan that assures proper closure of the facility in the event of business failure or shutdown to ensure the avoidance of any abandonment of EOL products, components or materials. The closure plan must be supported by proof of a sufficient financial instrument to guarantee the execution of the closure plan. </w:t>
            </w:r>
          </w:p>
        </w:tc>
        <w:tc>
          <w:tcPr>
            <w:tcW w:w="1118"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Strong</w:t>
            </w:r>
          </w:p>
        </w:tc>
        <w:tc>
          <w:tcPr>
            <w:tcW w:w="10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Unlikely</w:t>
            </w:r>
          </w:p>
        </w:tc>
        <w:tc>
          <w:tcPr>
            <w:tcW w:w="900" w:type="dxa"/>
            <w:shd w:val="clear" w:color="auto" w:fill="FFFF00"/>
          </w:tcPr>
          <w:p w:rsidR="003E24B5" w:rsidRDefault="003E24B5" w:rsidP="00E84A61">
            <w:pPr>
              <w:spacing w:before="120" w:after="120"/>
              <w:ind w:firstLine="3"/>
              <w:jc w:val="left"/>
              <w:rPr>
                <w:rFonts w:ascii="Calibri" w:hAnsi="Calibri"/>
                <w:szCs w:val="20"/>
              </w:rPr>
            </w:pPr>
            <w:r>
              <w:rPr>
                <w:rFonts w:ascii="Calibri" w:hAnsi="Calibri"/>
                <w:szCs w:val="20"/>
              </w:rPr>
              <w:t>Moderate</w:t>
            </w:r>
          </w:p>
        </w:tc>
        <w:tc>
          <w:tcPr>
            <w:tcW w:w="8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Maintain existing controls</w:t>
            </w:r>
          </w:p>
        </w:tc>
      </w:tr>
      <w:tr w:rsidR="003E24B5" w:rsidTr="008D5CBC">
        <w:trPr>
          <w:jc w:val="center"/>
        </w:trPr>
        <w:tc>
          <w:tcPr>
            <w:tcW w:w="1702" w:type="dxa"/>
            <w:shd w:val="clear" w:color="auto" w:fill="FFFF00"/>
          </w:tcPr>
          <w:p w:rsidR="003E24B5" w:rsidRPr="00C109AE" w:rsidRDefault="003E24B5" w:rsidP="00E84A61">
            <w:pPr>
              <w:jc w:val="left"/>
              <w:rPr>
                <w:rFonts w:ascii="Calibri" w:hAnsi="Calibri" w:cs="Calibri"/>
                <w:b/>
                <w:bCs/>
                <w:i/>
                <w:iCs/>
                <w:color w:val="000000"/>
                <w:szCs w:val="20"/>
              </w:rPr>
            </w:pPr>
            <w:r w:rsidRPr="00C109AE">
              <w:rPr>
                <w:rFonts w:ascii="Calibri" w:hAnsi="Calibri" w:cs="Calibri"/>
                <w:b/>
                <w:bCs/>
                <w:i/>
                <w:iCs/>
                <w:color w:val="000000"/>
                <w:szCs w:val="20"/>
              </w:rPr>
              <w:t>DIIS – Section 7.4</w:t>
            </w:r>
          </w:p>
        </w:tc>
        <w:tc>
          <w:tcPr>
            <w:tcW w:w="1972" w:type="dxa"/>
            <w:shd w:val="clear" w:color="auto" w:fill="FFFF00"/>
          </w:tcPr>
          <w:p w:rsidR="003E24B5" w:rsidRPr="00B257B8" w:rsidRDefault="003E24B5" w:rsidP="00E84A61">
            <w:pPr>
              <w:spacing w:before="120" w:after="120"/>
              <w:jc w:val="left"/>
              <w:rPr>
                <w:rFonts w:ascii="Calibri" w:hAnsi="Calibri"/>
                <w:i/>
                <w:szCs w:val="20"/>
              </w:rPr>
            </w:pPr>
            <w:r w:rsidRPr="00B257B8">
              <w:rPr>
                <w:rFonts w:ascii="Calibri" w:hAnsi="Calibri"/>
                <w:i/>
                <w:szCs w:val="20"/>
              </w:rPr>
              <w:t>Failure to ensure staff are provided with necessary personal protective equipment.</w:t>
            </w:r>
          </w:p>
        </w:tc>
        <w:tc>
          <w:tcPr>
            <w:tcW w:w="2110" w:type="dxa"/>
            <w:shd w:val="clear" w:color="auto" w:fill="FFFF00"/>
          </w:tcPr>
          <w:p w:rsidR="003E24B5" w:rsidRDefault="003E24B5" w:rsidP="00162446">
            <w:pPr>
              <w:pStyle w:val="ListParagraph"/>
              <w:numPr>
                <w:ilvl w:val="0"/>
                <w:numId w:val="34"/>
              </w:numPr>
              <w:spacing w:before="120" w:after="120"/>
              <w:jc w:val="left"/>
              <w:rPr>
                <w:rFonts w:ascii="Calibri" w:hAnsi="Calibri"/>
                <w:szCs w:val="20"/>
              </w:rPr>
            </w:pPr>
            <w:r>
              <w:rPr>
                <w:rFonts w:ascii="Calibri" w:hAnsi="Calibri"/>
                <w:szCs w:val="20"/>
              </w:rPr>
              <w:t>Unlicensed operator</w:t>
            </w:r>
          </w:p>
          <w:p w:rsidR="003E24B5" w:rsidRPr="00123767" w:rsidRDefault="003E24B5" w:rsidP="00162446">
            <w:pPr>
              <w:pStyle w:val="ListParagraph"/>
              <w:numPr>
                <w:ilvl w:val="0"/>
                <w:numId w:val="34"/>
              </w:numPr>
              <w:spacing w:before="120" w:after="120"/>
              <w:jc w:val="left"/>
              <w:rPr>
                <w:rFonts w:ascii="Calibri" w:hAnsi="Calibri"/>
                <w:szCs w:val="20"/>
              </w:rPr>
            </w:pPr>
            <w:r>
              <w:rPr>
                <w:rFonts w:ascii="Calibri" w:hAnsi="Calibri"/>
                <w:szCs w:val="20"/>
              </w:rPr>
              <w:t>Lack of understanding of OH&amp;S risks</w:t>
            </w:r>
          </w:p>
        </w:tc>
        <w:tc>
          <w:tcPr>
            <w:tcW w:w="2000" w:type="dxa"/>
            <w:shd w:val="clear" w:color="auto" w:fill="FFFF00"/>
          </w:tcPr>
          <w:p w:rsidR="003E24B5" w:rsidRPr="00123767" w:rsidRDefault="003E24B5" w:rsidP="00162446">
            <w:pPr>
              <w:pStyle w:val="ListParagraph"/>
              <w:numPr>
                <w:ilvl w:val="0"/>
                <w:numId w:val="34"/>
              </w:numPr>
              <w:spacing w:before="120" w:after="120"/>
              <w:jc w:val="left"/>
              <w:rPr>
                <w:rFonts w:ascii="Calibri" w:hAnsi="Calibri"/>
                <w:szCs w:val="20"/>
              </w:rPr>
            </w:pPr>
            <w:r w:rsidRPr="00123767">
              <w:rPr>
                <w:rFonts w:ascii="Calibri" w:hAnsi="Calibri"/>
                <w:szCs w:val="20"/>
              </w:rPr>
              <w:t>Injury to employees</w:t>
            </w:r>
          </w:p>
        </w:tc>
        <w:tc>
          <w:tcPr>
            <w:tcW w:w="3082" w:type="dxa"/>
            <w:shd w:val="clear" w:color="auto" w:fill="FFFF00"/>
          </w:tcPr>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 xml:space="preserve">Appendix 5 of the DIIS provides a checklist of requirements for employees working in the facilities. This checklist includes provision and </w:t>
            </w:r>
            <w:r>
              <w:rPr>
                <w:rFonts w:ascii="Calibri" w:hAnsi="Calibri"/>
                <w:szCs w:val="20"/>
                <w:lang w:val="en-US"/>
              </w:rPr>
              <w:t>c</w:t>
            </w:r>
            <w:r w:rsidRPr="007D4E84">
              <w:rPr>
                <w:rFonts w:ascii="Calibri" w:hAnsi="Calibri"/>
                <w:szCs w:val="20"/>
                <w:lang w:val="en-US"/>
              </w:rPr>
              <w:t>orrect use of any personal protective equipment</w:t>
            </w:r>
          </w:p>
        </w:tc>
        <w:tc>
          <w:tcPr>
            <w:tcW w:w="1118"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Incomplete</w:t>
            </w:r>
          </w:p>
        </w:tc>
        <w:tc>
          <w:tcPr>
            <w:tcW w:w="10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Possible</w:t>
            </w:r>
          </w:p>
        </w:tc>
        <w:tc>
          <w:tcPr>
            <w:tcW w:w="900" w:type="dxa"/>
            <w:shd w:val="clear" w:color="auto" w:fill="FFFF00"/>
          </w:tcPr>
          <w:p w:rsidR="003E24B5" w:rsidRDefault="003E24B5" w:rsidP="00E84A61">
            <w:pPr>
              <w:spacing w:before="120" w:after="120"/>
              <w:ind w:firstLine="3"/>
              <w:jc w:val="left"/>
              <w:rPr>
                <w:rFonts w:ascii="Calibri" w:hAnsi="Calibri"/>
                <w:szCs w:val="20"/>
              </w:rPr>
            </w:pPr>
            <w:r>
              <w:rPr>
                <w:rFonts w:ascii="Calibri" w:hAnsi="Calibri"/>
                <w:szCs w:val="20"/>
              </w:rPr>
              <w:t>Moderate</w:t>
            </w:r>
          </w:p>
        </w:tc>
        <w:tc>
          <w:tcPr>
            <w:tcW w:w="8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 xml:space="preserve">Completion of checklist should be mandatory and included in the body of the Standard. </w:t>
            </w:r>
          </w:p>
        </w:tc>
      </w:tr>
      <w:tr w:rsidR="003E24B5" w:rsidTr="008D5CBC">
        <w:trPr>
          <w:jc w:val="center"/>
        </w:trPr>
        <w:tc>
          <w:tcPr>
            <w:tcW w:w="1702" w:type="dxa"/>
            <w:shd w:val="clear" w:color="auto" w:fill="FFFF00"/>
          </w:tcPr>
          <w:p w:rsidR="003E24B5" w:rsidRPr="00C109AE" w:rsidRDefault="003E24B5" w:rsidP="00E84A61">
            <w:pPr>
              <w:jc w:val="left"/>
              <w:rPr>
                <w:rFonts w:ascii="Calibri" w:hAnsi="Calibri" w:cs="Calibri"/>
                <w:b/>
                <w:bCs/>
                <w:i/>
                <w:iCs/>
                <w:color w:val="000000"/>
                <w:szCs w:val="20"/>
              </w:rPr>
            </w:pPr>
            <w:r w:rsidRPr="00C109AE">
              <w:rPr>
                <w:rFonts w:ascii="Calibri" w:hAnsi="Calibri" w:cs="Calibri"/>
                <w:b/>
                <w:bCs/>
                <w:i/>
                <w:iCs/>
                <w:color w:val="000000"/>
                <w:szCs w:val="20"/>
              </w:rPr>
              <w:lastRenderedPageBreak/>
              <w:t>DIIS – Section 7.4</w:t>
            </w:r>
          </w:p>
        </w:tc>
        <w:tc>
          <w:tcPr>
            <w:tcW w:w="1972" w:type="dxa"/>
            <w:shd w:val="clear" w:color="auto" w:fill="FFFF00"/>
          </w:tcPr>
          <w:p w:rsidR="003E24B5" w:rsidRPr="00B257B8" w:rsidRDefault="003E24B5" w:rsidP="00E84A61">
            <w:pPr>
              <w:spacing w:before="120" w:after="120"/>
              <w:jc w:val="left"/>
              <w:rPr>
                <w:rFonts w:ascii="Calibri" w:hAnsi="Calibri"/>
                <w:i/>
                <w:szCs w:val="20"/>
              </w:rPr>
            </w:pPr>
            <w:r w:rsidRPr="00B257B8">
              <w:rPr>
                <w:rFonts w:ascii="Calibri" w:hAnsi="Calibri"/>
                <w:i/>
                <w:szCs w:val="20"/>
              </w:rPr>
              <w:t>Mechanical material processing and separation facilities are not properly equipped with dust collection and other environmental control measures such as air emission control systems.</w:t>
            </w:r>
          </w:p>
        </w:tc>
        <w:tc>
          <w:tcPr>
            <w:tcW w:w="2110" w:type="dxa"/>
            <w:shd w:val="clear" w:color="auto" w:fill="FFFF00"/>
          </w:tcPr>
          <w:p w:rsidR="003E24B5" w:rsidRDefault="003E24B5" w:rsidP="00162446">
            <w:pPr>
              <w:pStyle w:val="ListParagraph"/>
              <w:numPr>
                <w:ilvl w:val="0"/>
                <w:numId w:val="35"/>
              </w:numPr>
              <w:spacing w:before="120" w:after="120"/>
              <w:jc w:val="left"/>
              <w:rPr>
                <w:rFonts w:ascii="Calibri" w:hAnsi="Calibri"/>
                <w:szCs w:val="20"/>
              </w:rPr>
            </w:pPr>
            <w:r>
              <w:rPr>
                <w:rFonts w:ascii="Calibri" w:hAnsi="Calibri"/>
                <w:szCs w:val="20"/>
              </w:rPr>
              <w:t>Materials deposited at an Inappropriate facility</w:t>
            </w:r>
          </w:p>
          <w:p w:rsidR="003E24B5" w:rsidRDefault="003E24B5" w:rsidP="00162446">
            <w:pPr>
              <w:pStyle w:val="ListParagraph"/>
              <w:numPr>
                <w:ilvl w:val="0"/>
                <w:numId w:val="35"/>
              </w:numPr>
              <w:spacing w:before="120" w:after="120"/>
              <w:jc w:val="left"/>
              <w:rPr>
                <w:rFonts w:ascii="Calibri" w:hAnsi="Calibri"/>
                <w:szCs w:val="20"/>
              </w:rPr>
            </w:pPr>
            <w:r>
              <w:rPr>
                <w:rFonts w:ascii="Calibri" w:hAnsi="Calibri"/>
                <w:szCs w:val="20"/>
              </w:rPr>
              <w:t>Operator fails to adhere to regulatory requirements</w:t>
            </w:r>
          </w:p>
          <w:p w:rsidR="003E24B5" w:rsidRPr="00123767" w:rsidRDefault="003E24B5" w:rsidP="00162446">
            <w:pPr>
              <w:pStyle w:val="ListParagraph"/>
              <w:numPr>
                <w:ilvl w:val="0"/>
                <w:numId w:val="35"/>
              </w:numPr>
              <w:spacing w:before="120" w:after="120"/>
              <w:jc w:val="left"/>
              <w:rPr>
                <w:rFonts w:ascii="Calibri" w:hAnsi="Calibri"/>
                <w:szCs w:val="20"/>
              </w:rPr>
            </w:pPr>
            <w:r>
              <w:rPr>
                <w:rFonts w:ascii="Calibri" w:hAnsi="Calibri"/>
                <w:szCs w:val="20"/>
              </w:rPr>
              <w:t xml:space="preserve">Regulatory requirements not enforced </w:t>
            </w:r>
          </w:p>
        </w:tc>
        <w:tc>
          <w:tcPr>
            <w:tcW w:w="2000" w:type="dxa"/>
            <w:shd w:val="clear" w:color="auto" w:fill="FFFF00"/>
          </w:tcPr>
          <w:p w:rsidR="003E24B5" w:rsidRPr="00123767" w:rsidRDefault="003E24B5" w:rsidP="00162446">
            <w:pPr>
              <w:pStyle w:val="ListParagraph"/>
              <w:numPr>
                <w:ilvl w:val="0"/>
                <w:numId w:val="35"/>
              </w:numPr>
              <w:spacing w:before="120" w:after="120"/>
              <w:jc w:val="left"/>
              <w:rPr>
                <w:rFonts w:ascii="Calibri" w:hAnsi="Calibri"/>
                <w:szCs w:val="20"/>
              </w:rPr>
            </w:pPr>
            <w:r>
              <w:rPr>
                <w:rFonts w:ascii="Calibri" w:hAnsi="Calibri"/>
                <w:szCs w:val="20"/>
              </w:rPr>
              <w:t>Workplace becomes hazardous to employees</w:t>
            </w:r>
          </w:p>
        </w:tc>
        <w:tc>
          <w:tcPr>
            <w:tcW w:w="3082" w:type="dxa"/>
            <w:shd w:val="clear" w:color="auto" w:fill="FFFF00"/>
          </w:tcPr>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 xml:space="preserve">Section 7.4 – Processing and Handling dictates the equipment required to be installed at the recycling facility. This includes a dust collection system, an emergency shut off system, adequate fire suppression equipment and other safety/environmental control equipment identified in the plan arising from the risk assessment. </w:t>
            </w:r>
          </w:p>
        </w:tc>
        <w:tc>
          <w:tcPr>
            <w:tcW w:w="1118" w:type="dxa"/>
            <w:shd w:val="clear" w:color="auto" w:fill="FFFF00"/>
          </w:tcPr>
          <w:p w:rsidR="003E24B5" w:rsidRDefault="003E24B5" w:rsidP="00E84A61">
            <w:pPr>
              <w:spacing w:before="120" w:after="120"/>
              <w:jc w:val="left"/>
              <w:rPr>
                <w:rFonts w:ascii="Calibri" w:hAnsi="Calibri"/>
                <w:szCs w:val="20"/>
              </w:rPr>
            </w:pPr>
          </w:p>
          <w:p w:rsidR="003E24B5" w:rsidRDefault="003E24B5" w:rsidP="00E84A61">
            <w:pPr>
              <w:spacing w:before="120" w:after="120"/>
              <w:jc w:val="left"/>
              <w:rPr>
                <w:rFonts w:ascii="Calibri" w:hAnsi="Calibri"/>
                <w:szCs w:val="20"/>
              </w:rPr>
            </w:pPr>
          </w:p>
          <w:p w:rsidR="003E24B5" w:rsidRDefault="003E24B5" w:rsidP="00E84A61">
            <w:pPr>
              <w:spacing w:before="120" w:after="120"/>
              <w:jc w:val="left"/>
              <w:rPr>
                <w:rFonts w:ascii="Calibri" w:hAnsi="Calibri"/>
                <w:szCs w:val="20"/>
              </w:rPr>
            </w:pPr>
            <w:r>
              <w:rPr>
                <w:rFonts w:ascii="Calibri" w:hAnsi="Calibri"/>
                <w:szCs w:val="20"/>
              </w:rPr>
              <w:t>Strong</w:t>
            </w:r>
          </w:p>
        </w:tc>
        <w:tc>
          <w:tcPr>
            <w:tcW w:w="1000" w:type="dxa"/>
            <w:shd w:val="clear" w:color="auto" w:fill="FFFF00"/>
          </w:tcPr>
          <w:p w:rsidR="003E24B5" w:rsidRDefault="003E24B5" w:rsidP="00E84A61">
            <w:pPr>
              <w:spacing w:before="120" w:after="120"/>
              <w:jc w:val="left"/>
              <w:rPr>
                <w:rFonts w:ascii="Calibri" w:hAnsi="Calibri"/>
                <w:szCs w:val="20"/>
              </w:rPr>
            </w:pPr>
          </w:p>
          <w:p w:rsidR="003E24B5" w:rsidRDefault="003E24B5" w:rsidP="00E84A61">
            <w:pPr>
              <w:spacing w:before="120" w:after="120"/>
              <w:jc w:val="left"/>
              <w:rPr>
                <w:rFonts w:ascii="Calibri" w:hAnsi="Calibri"/>
                <w:szCs w:val="20"/>
              </w:rPr>
            </w:pPr>
          </w:p>
          <w:p w:rsidR="003E24B5" w:rsidRDefault="003E24B5" w:rsidP="00E84A61">
            <w:pPr>
              <w:spacing w:before="120" w:after="120"/>
              <w:jc w:val="left"/>
              <w:rPr>
                <w:rFonts w:ascii="Calibri" w:hAnsi="Calibri"/>
                <w:szCs w:val="20"/>
              </w:rPr>
            </w:pPr>
            <w:r>
              <w:rPr>
                <w:rFonts w:ascii="Calibri" w:hAnsi="Calibri"/>
                <w:szCs w:val="20"/>
              </w:rPr>
              <w:t>Possible</w:t>
            </w:r>
          </w:p>
        </w:tc>
        <w:tc>
          <w:tcPr>
            <w:tcW w:w="900" w:type="dxa"/>
            <w:shd w:val="clear" w:color="auto" w:fill="FFFF00"/>
          </w:tcPr>
          <w:p w:rsidR="003E24B5" w:rsidRDefault="003E24B5" w:rsidP="00E84A61">
            <w:pPr>
              <w:spacing w:before="120" w:after="120"/>
              <w:ind w:firstLine="3"/>
              <w:jc w:val="left"/>
              <w:rPr>
                <w:rFonts w:ascii="Calibri" w:hAnsi="Calibri"/>
                <w:szCs w:val="20"/>
              </w:rPr>
            </w:pPr>
          </w:p>
          <w:p w:rsidR="003E24B5" w:rsidRDefault="003E24B5" w:rsidP="00E84A61">
            <w:pPr>
              <w:spacing w:before="120" w:after="120"/>
              <w:ind w:firstLine="3"/>
              <w:jc w:val="left"/>
              <w:rPr>
                <w:rFonts w:ascii="Calibri" w:hAnsi="Calibri"/>
                <w:szCs w:val="20"/>
              </w:rPr>
            </w:pPr>
          </w:p>
          <w:p w:rsidR="003E24B5" w:rsidRDefault="003E24B5" w:rsidP="00E84A61">
            <w:pPr>
              <w:spacing w:before="120" w:after="120"/>
              <w:ind w:firstLine="3"/>
              <w:jc w:val="left"/>
              <w:rPr>
                <w:rFonts w:ascii="Calibri" w:hAnsi="Calibri"/>
                <w:szCs w:val="20"/>
              </w:rPr>
            </w:pPr>
            <w:r>
              <w:rPr>
                <w:rFonts w:ascii="Calibri" w:hAnsi="Calibri"/>
                <w:szCs w:val="20"/>
              </w:rPr>
              <w:t>Moderate</w:t>
            </w:r>
          </w:p>
        </w:tc>
        <w:tc>
          <w:tcPr>
            <w:tcW w:w="800" w:type="dxa"/>
            <w:shd w:val="clear" w:color="auto" w:fill="FFFF00"/>
          </w:tcPr>
          <w:p w:rsidR="003E24B5" w:rsidRDefault="003E24B5" w:rsidP="00E84A61">
            <w:pPr>
              <w:spacing w:before="120" w:after="120"/>
              <w:jc w:val="left"/>
              <w:rPr>
                <w:rFonts w:ascii="Calibri" w:hAnsi="Calibri"/>
                <w:szCs w:val="20"/>
              </w:rPr>
            </w:pPr>
          </w:p>
          <w:p w:rsidR="003E24B5" w:rsidRDefault="003E24B5" w:rsidP="00E84A61">
            <w:pPr>
              <w:spacing w:before="120" w:after="120"/>
              <w:jc w:val="left"/>
              <w:rPr>
                <w:rFonts w:ascii="Calibri" w:hAnsi="Calibri"/>
                <w:szCs w:val="20"/>
              </w:rPr>
            </w:pPr>
          </w:p>
          <w:p w:rsidR="003E24B5" w:rsidRDefault="003E24B5" w:rsidP="00E84A61">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Maintain existing controls</w:t>
            </w:r>
          </w:p>
        </w:tc>
      </w:tr>
      <w:tr w:rsidR="003E24B5" w:rsidTr="008D5CBC">
        <w:trPr>
          <w:jc w:val="center"/>
        </w:trPr>
        <w:tc>
          <w:tcPr>
            <w:tcW w:w="1702" w:type="dxa"/>
            <w:shd w:val="clear" w:color="auto" w:fill="FFC000"/>
          </w:tcPr>
          <w:p w:rsidR="003E24B5" w:rsidRPr="00C109AE" w:rsidRDefault="003E24B5" w:rsidP="00E84A61">
            <w:pPr>
              <w:jc w:val="left"/>
              <w:rPr>
                <w:rFonts w:ascii="Calibri" w:hAnsi="Calibri" w:cs="Calibri"/>
                <w:b/>
                <w:bCs/>
                <w:i/>
                <w:iCs/>
                <w:color w:val="000000"/>
                <w:szCs w:val="20"/>
              </w:rPr>
            </w:pPr>
            <w:r w:rsidRPr="00C109AE">
              <w:rPr>
                <w:rFonts w:ascii="Calibri" w:hAnsi="Calibri" w:cs="Calibri"/>
                <w:b/>
                <w:bCs/>
                <w:i/>
                <w:iCs/>
                <w:color w:val="000000"/>
                <w:szCs w:val="20"/>
              </w:rPr>
              <w:t>Requirements for Recyclers</w:t>
            </w:r>
          </w:p>
          <w:p w:rsidR="003E24B5" w:rsidRPr="00C109AE" w:rsidRDefault="003E24B5" w:rsidP="00E84A61">
            <w:pPr>
              <w:jc w:val="left"/>
              <w:rPr>
                <w:rFonts w:ascii="Calibri" w:hAnsi="Calibri" w:cs="Calibri"/>
                <w:b/>
                <w:bCs/>
                <w:i/>
                <w:iCs/>
                <w:color w:val="000000"/>
                <w:szCs w:val="20"/>
              </w:rPr>
            </w:pPr>
            <w:r w:rsidRPr="00C109AE">
              <w:rPr>
                <w:rFonts w:ascii="Calibri" w:hAnsi="Calibri" w:cs="Calibri"/>
                <w:b/>
                <w:bCs/>
                <w:i/>
                <w:iCs/>
                <w:color w:val="000000"/>
                <w:szCs w:val="20"/>
              </w:rPr>
              <w:t>DIIS – Appendix 1</w:t>
            </w:r>
          </w:p>
        </w:tc>
        <w:tc>
          <w:tcPr>
            <w:tcW w:w="1972" w:type="dxa"/>
            <w:shd w:val="clear" w:color="auto" w:fill="FFC000"/>
          </w:tcPr>
          <w:p w:rsidR="003E24B5" w:rsidRPr="00B257B8" w:rsidRDefault="003E24B5" w:rsidP="00E84A61">
            <w:pPr>
              <w:spacing w:before="120" w:after="120"/>
              <w:jc w:val="left"/>
              <w:rPr>
                <w:rFonts w:ascii="Calibri" w:hAnsi="Calibri"/>
                <w:i/>
                <w:szCs w:val="20"/>
              </w:rPr>
            </w:pPr>
            <w:r w:rsidRPr="00EB1105">
              <w:rPr>
                <w:rFonts w:ascii="Calibri" w:hAnsi="Calibri"/>
                <w:i/>
                <w:szCs w:val="20"/>
              </w:rPr>
              <w:t>Risk of fire resulting from failure to remove batteries from motherboards prior to shredding.</w:t>
            </w:r>
          </w:p>
        </w:tc>
        <w:tc>
          <w:tcPr>
            <w:tcW w:w="2110" w:type="dxa"/>
            <w:shd w:val="clear" w:color="auto" w:fill="FFC000"/>
          </w:tcPr>
          <w:p w:rsidR="003E24B5" w:rsidRDefault="003E24B5" w:rsidP="00162446">
            <w:pPr>
              <w:pStyle w:val="ListParagraph"/>
              <w:numPr>
                <w:ilvl w:val="0"/>
                <w:numId w:val="36"/>
              </w:numPr>
              <w:spacing w:before="120" w:after="120"/>
              <w:jc w:val="left"/>
              <w:rPr>
                <w:rFonts w:ascii="Calibri" w:hAnsi="Calibri"/>
                <w:szCs w:val="20"/>
              </w:rPr>
            </w:pPr>
            <w:r>
              <w:rPr>
                <w:rFonts w:ascii="Calibri" w:hAnsi="Calibri"/>
                <w:szCs w:val="20"/>
              </w:rPr>
              <w:t>Failure to identify presence of batteries</w:t>
            </w:r>
          </w:p>
          <w:p w:rsidR="003E24B5" w:rsidRPr="00123767" w:rsidRDefault="003E24B5" w:rsidP="00162446">
            <w:pPr>
              <w:pStyle w:val="ListParagraph"/>
              <w:numPr>
                <w:ilvl w:val="0"/>
                <w:numId w:val="36"/>
              </w:numPr>
              <w:spacing w:before="120" w:after="120"/>
              <w:jc w:val="left"/>
              <w:rPr>
                <w:rFonts w:ascii="Calibri" w:hAnsi="Calibri"/>
                <w:szCs w:val="20"/>
              </w:rPr>
            </w:pPr>
            <w:r w:rsidRPr="00123767">
              <w:rPr>
                <w:rFonts w:ascii="Calibri" w:hAnsi="Calibri"/>
                <w:szCs w:val="20"/>
              </w:rPr>
              <w:t xml:space="preserve">Inexperienced operator </w:t>
            </w:r>
            <w:r>
              <w:rPr>
                <w:rFonts w:ascii="Calibri" w:hAnsi="Calibri"/>
                <w:szCs w:val="20"/>
              </w:rPr>
              <w:t xml:space="preserve">fails to remove batteries </w:t>
            </w:r>
          </w:p>
        </w:tc>
        <w:tc>
          <w:tcPr>
            <w:tcW w:w="2000" w:type="dxa"/>
            <w:shd w:val="clear" w:color="auto" w:fill="FFC000"/>
          </w:tcPr>
          <w:p w:rsidR="003E24B5" w:rsidRPr="007A72E0" w:rsidRDefault="003E24B5" w:rsidP="00162446">
            <w:pPr>
              <w:pStyle w:val="ListParagraph"/>
              <w:numPr>
                <w:ilvl w:val="0"/>
                <w:numId w:val="36"/>
              </w:numPr>
              <w:spacing w:before="120" w:after="120"/>
              <w:jc w:val="left"/>
              <w:rPr>
                <w:rFonts w:ascii="Calibri" w:hAnsi="Calibri"/>
                <w:szCs w:val="20"/>
              </w:rPr>
            </w:pPr>
            <w:r>
              <w:rPr>
                <w:rFonts w:ascii="Calibri" w:hAnsi="Calibri"/>
                <w:szCs w:val="20"/>
              </w:rPr>
              <w:t>Fire causing damage to life and property</w:t>
            </w:r>
          </w:p>
        </w:tc>
        <w:tc>
          <w:tcPr>
            <w:tcW w:w="3082" w:type="dxa"/>
            <w:shd w:val="clear" w:color="auto" w:fill="FFC000"/>
          </w:tcPr>
          <w:p w:rsidR="003E24B5" w:rsidRDefault="003E24B5" w:rsidP="00E84A61">
            <w:pPr>
              <w:autoSpaceDE w:val="0"/>
              <w:autoSpaceDN w:val="0"/>
              <w:adjustRightInd w:val="0"/>
              <w:spacing w:before="120" w:after="120"/>
              <w:jc w:val="left"/>
              <w:rPr>
                <w:rFonts w:ascii="Calibri" w:hAnsi="Calibri"/>
                <w:szCs w:val="20"/>
              </w:rPr>
            </w:pPr>
            <w:r w:rsidRPr="00A15F6B">
              <w:rPr>
                <w:rFonts w:ascii="Calibri" w:hAnsi="Calibri"/>
                <w:szCs w:val="20"/>
              </w:rPr>
              <w:t>Section 7.4 – Processing and Handling</w:t>
            </w:r>
            <w:r>
              <w:rPr>
                <w:rFonts w:ascii="Calibri" w:hAnsi="Calibri"/>
                <w:szCs w:val="20"/>
              </w:rPr>
              <w:t xml:space="preserve"> requires the removal of components, prior to processing, likely to pose a health and safety risk. This section of the DIIS requires as a minimum the removal of;</w:t>
            </w:r>
          </w:p>
          <w:p w:rsidR="003E24B5" w:rsidRDefault="003E24B5" w:rsidP="00162446">
            <w:pPr>
              <w:pStyle w:val="ListParagraph"/>
              <w:numPr>
                <w:ilvl w:val="0"/>
                <w:numId w:val="42"/>
              </w:numPr>
              <w:autoSpaceDE w:val="0"/>
              <w:autoSpaceDN w:val="0"/>
              <w:adjustRightInd w:val="0"/>
              <w:spacing w:before="120" w:after="120"/>
              <w:jc w:val="left"/>
              <w:rPr>
                <w:rFonts w:ascii="Calibri" w:hAnsi="Calibri"/>
                <w:szCs w:val="20"/>
              </w:rPr>
            </w:pPr>
            <w:r>
              <w:rPr>
                <w:rFonts w:ascii="Calibri" w:hAnsi="Calibri"/>
                <w:szCs w:val="20"/>
              </w:rPr>
              <w:t>Mecury bearing lamps</w:t>
            </w:r>
          </w:p>
          <w:p w:rsidR="003E24B5" w:rsidRDefault="003E24B5" w:rsidP="00162446">
            <w:pPr>
              <w:pStyle w:val="ListParagraph"/>
              <w:numPr>
                <w:ilvl w:val="0"/>
                <w:numId w:val="42"/>
              </w:numPr>
              <w:autoSpaceDE w:val="0"/>
              <w:autoSpaceDN w:val="0"/>
              <w:adjustRightInd w:val="0"/>
              <w:spacing w:before="120" w:after="120"/>
              <w:jc w:val="left"/>
              <w:rPr>
                <w:rFonts w:ascii="Calibri" w:hAnsi="Calibri"/>
                <w:szCs w:val="20"/>
              </w:rPr>
            </w:pPr>
            <w:r>
              <w:rPr>
                <w:rFonts w:ascii="Calibri" w:hAnsi="Calibri"/>
                <w:szCs w:val="20"/>
              </w:rPr>
              <w:t xml:space="preserve">Ink and toner cartridges </w:t>
            </w:r>
          </w:p>
          <w:p w:rsidR="003E24B5" w:rsidRPr="000118D6" w:rsidRDefault="003E24B5" w:rsidP="00162446">
            <w:pPr>
              <w:pStyle w:val="ListParagraph"/>
              <w:numPr>
                <w:ilvl w:val="0"/>
                <w:numId w:val="42"/>
              </w:numPr>
              <w:autoSpaceDE w:val="0"/>
              <w:autoSpaceDN w:val="0"/>
              <w:adjustRightInd w:val="0"/>
              <w:spacing w:before="120" w:after="120"/>
              <w:jc w:val="left"/>
              <w:rPr>
                <w:rFonts w:ascii="Calibri" w:hAnsi="Calibri"/>
                <w:b/>
                <w:szCs w:val="20"/>
              </w:rPr>
            </w:pPr>
            <w:r w:rsidRPr="000118D6">
              <w:rPr>
                <w:rFonts w:ascii="Calibri" w:hAnsi="Calibri"/>
                <w:b/>
                <w:szCs w:val="20"/>
              </w:rPr>
              <w:t>Batteries</w:t>
            </w:r>
          </w:p>
          <w:p w:rsidR="003E24B5" w:rsidRPr="00A15F6B" w:rsidRDefault="003E24B5" w:rsidP="00162446">
            <w:pPr>
              <w:pStyle w:val="ListParagraph"/>
              <w:numPr>
                <w:ilvl w:val="0"/>
                <w:numId w:val="42"/>
              </w:numPr>
              <w:autoSpaceDE w:val="0"/>
              <w:autoSpaceDN w:val="0"/>
              <w:adjustRightInd w:val="0"/>
              <w:spacing w:before="120" w:after="120"/>
              <w:jc w:val="left"/>
              <w:rPr>
                <w:rFonts w:ascii="Calibri" w:hAnsi="Calibri"/>
                <w:szCs w:val="20"/>
              </w:rPr>
            </w:pPr>
            <w:r>
              <w:rPr>
                <w:rFonts w:ascii="Calibri" w:hAnsi="Calibri"/>
                <w:szCs w:val="20"/>
              </w:rPr>
              <w:t xml:space="preserve">CRT and flat panel displays. </w:t>
            </w:r>
          </w:p>
        </w:tc>
        <w:tc>
          <w:tcPr>
            <w:tcW w:w="1118"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Adequate</w:t>
            </w:r>
          </w:p>
        </w:tc>
        <w:tc>
          <w:tcPr>
            <w:tcW w:w="1000"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Possible</w:t>
            </w:r>
          </w:p>
        </w:tc>
        <w:tc>
          <w:tcPr>
            <w:tcW w:w="900" w:type="dxa"/>
            <w:shd w:val="clear" w:color="auto" w:fill="FFC000"/>
          </w:tcPr>
          <w:p w:rsidR="003E24B5" w:rsidRDefault="003E24B5" w:rsidP="00E84A61">
            <w:pPr>
              <w:spacing w:before="120" w:after="120"/>
              <w:ind w:firstLine="3"/>
              <w:jc w:val="left"/>
              <w:rPr>
                <w:rFonts w:ascii="Calibri" w:hAnsi="Calibri"/>
                <w:szCs w:val="20"/>
              </w:rPr>
            </w:pPr>
            <w:r>
              <w:rPr>
                <w:rFonts w:ascii="Calibri" w:hAnsi="Calibri"/>
                <w:szCs w:val="20"/>
              </w:rPr>
              <w:t>Major</w:t>
            </w:r>
          </w:p>
        </w:tc>
        <w:tc>
          <w:tcPr>
            <w:tcW w:w="800"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High</w:t>
            </w:r>
          </w:p>
        </w:tc>
        <w:tc>
          <w:tcPr>
            <w:tcW w:w="1222"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Refer to risk treatment plan</w:t>
            </w:r>
          </w:p>
        </w:tc>
      </w:tr>
      <w:tr w:rsidR="003E24B5" w:rsidTr="008D5CBC">
        <w:trPr>
          <w:jc w:val="center"/>
        </w:trPr>
        <w:tc>
          <w:tcPr>
            <w:tcW w:w="1702" w:type="dxa"/>
            <w:shd w:val="clear" w:color="auto" w:fill="FFFF00"/>
          </w:tcPr>
          <w:p w:rsidR="003E24B5" w:rsidRPr="00C109AE" w:rsidRDefault="003E24B5" w:rsidP="00E84A61">
            <w:pPr>
              <w:jc w:val="left"/>
              <w:rPr>
                <w:rFonts w:ascii="Calibri" w:hAnsi="Calibri" w:cs="Calibri"/>
                <w:b/>
                <w:bCs/>
                <w:i/>
                <w:iCs/>
                <w:color w:val="000000"/>
                <w:szCs w:val="20"/>
              </w:rPr>
            </w:pPr>
            <w:r w:rsidRPr="00C109AE">
              <w:rPr>
                <w:rFonts w:ascii="Calibri" w:hAnsi="Calibri" w:cs="Calibri"/>
                <w:b/>
                <w:bCs/>
                <w:i/>
                <w:iCs/>
                <w:color w:val="000000"/>
                <w:szCs w:val="20"/>
              </w:rPr>
              <w:t>Reuse Applications</w:t>
            </w:r>
          </w:p>
          <w:p w:rsidR="003E24B5" w:rsidRDefault="003E24B5" w:rsidP="00E84A61">
            <w:pPr>
              <w:jc w:val="left"/>
              <w:rPr>
                <w:rFonts w:ascii="Calibri" w:hAnsi="Calibri" w:cs="Calibri"/>
                <w:b/>
                <w:bCs/>
                <w:i/>
                <w:iCs/>
                <w:color w:val="000000"/>
                <w:sz w:val="22"/>
              </w:rPr>
            </w:pPr>
            <w:r w:rsidRPr="00C109AE">
              <w:rPr>
                <w:rFonts w:ascii="Calibri" w:hAnsi="Calibri" w:cs="Calibri"/>
                <w:b/>
                <w:bCs/>
                <w:i/>
                <w:iCs/>
                <w:color w:val="000000"/>
                <w:szCs w:val="20"/>
              </w:rPr>
              <w:lastRenderedPageBreak/>
              <w:t>DIIS – Appendix 1</w:t>
            </w:r>
            <w:r>
              <w:rPr>
                <w:rFonts w:ascii="Calibri" w:hAnsi="Calibri" w:cs="Calibri"/>
                <w:b/>
                <w:bCs/>
                <w:i/>
                <w:iCs/>
                <w:color w:val="000000"/>
                <w:sz w:val="22"/>
              </w:rPr>
              <w:t xml:space="preserve"> </w:t>
            </w:r>
          </w:p>
        </w:tc>
        <w:tc>
          <w:tcPr>
            <w:tcW w:w="1972" w:type="dxa"/>
            <w:shd w:val="clear" w:color="auto" w:fill="FFFF00"/>
          </w:tcPr>
          <w:p w:rsidR="003E24B5" w:rsidRDefault="003E24B5" w:rsidP="00E84A61">
            <w:pPr>
              <w:spacing w:before="120" w:after="120"/>
              <w:jc w:val="left"/>
              <w:rPr>
                <w:rFonts w:ascii="Calibri" w:hAnsi="Calibri"/>
                <w:i/>
                <w:szCs w:val="20"/>
              </w:rPr>
            </w:pPr>
            <w:r w:rsidRPr="006529FF">
              <w:rPr>
                <w:rFonts w:ascii="Calibri" w:hAnsi="Calibri"/>
                <w:i/>
                <w:szCs w:val="20"/>
              </w:rPr>
              <w:lastRenderedPageBreak/>
              <w:t xml:space="preserve">Inappropriate secondary application of </w:t>
            </w:r>
            <w:r w:rsidRPr="006529FF">
              <w:rPr>
                <w:rFonts w:ascii="Calibri" w:hAnsi="Calibri"/>
                <w:i/>
                <w:szCs w:val="20"/>
              </w:rPr>
              <w:lastRenderedPageBreak/>
              <w:t>recovered resources eg: use of leaded glass from plasma screens as a substitute for sand.</w:t>
            </w:r>
          </w:p>
        </w:tc>
        <w:tc>
          <w:tcPr>
            <w:tcW w:w="2110" w:type="dxa"/>
            <w:shd w:val="clear" w:color="auto" w:fill="FFFF00"/>
          </w:tcPr>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lastRenderedPageBreak/>
              <w:t xml:space="preserve">Incorrect classification of material </w:t>
            </w:r>
          </w:p>
          <w:p w:rsidR="003E24B5" w:rsidRPr="00796ABF" w:rsidRDefault="003E24B5" w:rsidP="00162446">
            <w:pPr>
              <w:pStyle w:val="ListParagraph"/>
              <w:numPr>
                <w:ilvl w:val="0"/>
                <w:numId w:val="41"/>
              </w:numPr>
              <w:spacing w:before="120" w:after="120"/>
              <w:jc w:val="left"/>
              <w:rPr>
                <w:rFonts w:ascii="Calibri" w:hAnsi="Calibri"/>
                <w:szCs w:val="20"/>
              </w:rPr>
            </w:pPr>
            <w:r>
              <w:rPr>
                <w:rFonts w:ascii="Calibri" w:hAnsi="Calibri"/>
                <w:szCs w:val="20"/>
              </w:rPr>
              <w:lastRenderedPageBreak/>
              <w:t>Contaminated product sent for reuse/ secondary application</w:t>
            </w:r>
          </w:p>
        </w:tc>
        <w:tc>
          <w:tcPr>
            <w:tcW w:w="2000" w:type="dxa"/>
            <w:shd w:val="clear" w:color="auto" w:fill="FFFF00"/>
          </w:tcPr>
          <w:p w:rsidR="003E24B5" w:rsidRPr="00796ABF" w:rsidRDefault="003E24B5" w:rsidP="00162446">
            <w:pPr>
              <w:pStyle w:val="ListParagraph"/>
              <w:numPr>
                <w:ilvl w:val="0"/>
                <w:numId w:val="41"/>
              </w:numPr>
              <w:spacing w:before="120" w:after="120"/>
              <w:jc w:val="left"/>
              <w:rPr>
                <w:rFonts w:ascii="Calibri" w:hAnsi="Calibri"/>
                <w:szCs w:val="20"/>
              </w:rPr>
            </w:pPr>
            <w:r>
              <w:rPr>
                <w:rFonts w:ascii="Calibri" w:hAnsi="Calibri"/>
                <w:szCs w:val="20"/>
              </w:rPr>
              <w:lastRenderedPageBreak/>
              <w:t xml:space="preserve">Contaminated product used as virgin material </w:t>
            </w:r>
            <w:r>
              <w:rPr>
                <w:rFonts w:ascii="Calibri" w:hAnsi="Calibri"/>
                <w:szCs w:val="20"/>
              </w:rPr>
              <w:lastRenderedPageBreak/>
              <w:t xml:space="preserve">substitute </w:t>
            </w:r>
          </w:p>
        </w:tc>
        <w:tc>
          <w:tcPr>
            <w:tcW w:w="3082" w:type="dxa"/>
            <w:shd w:val="clear" w:color="auto" w:fill="FFFF00"/>
          </w:tcPr>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lastRenderedPageBreak/>
              <w:t xml:space="preserve">Appendix 1 – Cathode Ray Tube, Leaded Plasma Display Glass and Other Leaded Glass, identifies non- </w:t>
            </w:r>
            <w:r>
              <w:rPr>
                <w:rFonts w:ascii="Calibri" w:hAnsi="Calibri"/>
                <w:szCs w:val="20"/>
              </w:rPr>
              <w:lastRenderedPageBreak/>
              <w:t xml:space="preserve">environmentally sound reuse applications and recommends avoiding these practices. </w:t>
            </w:r>
          </w:p>
        </w:tc>
        <w:tc>
          <w:tcPr>
            <w:tcW w:w="1118"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lastRenderedPageBreak/>
              <w:t>Incomplete</w:t>
            </w:r>
          </w:p>
        </w:tc>
        <w:tc>
          <w:tcPr>
            <w:tcW w:w="10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Possible</w:t>
            </w:r>
          </w:p>
        </w:tc>
        <w:tc>
          <w:tcPr>
            <w:tcW w:w="900" w:type="dxa"/>
            <w:shd w:val="clear" w:color="auto" w:fill="FFFF00"/>
          </w:tcPr>
          <w:p w:rsidR="003E24B5" w:rsidRDefault="003E24B5" w:rsidP="00E84A61">
            <w:pPr>
              <w:spacing w:before="120" w:after="120"/>
              <w:ind w:firstLine="3"/>
              <w:jc w:val="left"/>
              <w:rPr>
                <w:rFonts w:ascii="Calibri" w:hAnsi="Calibri"/>
                <w:szCs w:val="20"/>
              </w:rPr>
            </w:pPr>
            <w:r>
              <w:rPr>
                <w:rFonts w:ascii="Calibri" w:hAnsi="Calibri"/>
                <w:szCs w:val="20"/>
              </w:rPr>
              <w:t>Moderate</w:t>
            </w:r>
          </w:p>
        </w:tc>
        <w:tc>
          <w:tcPr>
            <w:tcW w:w="8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Pr="006B21E0" w:rsidRDefault="003E24B5" w:rsidP="00E84A61">
            <w:pPr>
              <w:spacing w:before="120" w:after="120"/>
              <w:jc w:val="left"/>
              <w:rPr>
                <w:rFonts w:ascii="Calibri" w:hAnsi="Calibri"/>
                <w:sz w:val="18"/>
                <w:szCs w:val="20"/>
              </w:rPr>
            </w:pPr>
            <w:r w:rsidRPr="006B21E0">
              <w:rPr>
                <w:rFonts w:ascii="Calibri" w:hAnsi="Calibri"/>
                <w:sz w:val="18"/>
                <w:szCs w:val="20"/>
              </w:rPr>
              <w:t xml:space="preserve">Information contained in Appendix 1 </w:t>
            </w:r>
            <w:r w:rsidRPr="006B21E0">
              <w:rPr>
                <w:rFonts w:ascii="Calibri" w:hAnsi="Calibri"/>
                <w:sz w:val="18"/>
                <w:szCs w:val="20"/>
              </w:rPr>
              <w:lastRenderedPageBreak/>
              <w:t>needs to be more prescriptive and included in the body of the Standard.</w:t>
            </w:r>
          </w:p>
        </w:tc>
      </w:tr>
      <w:tr w:rsidR="003E24B5" w:rsidTr="008D5CBC">
        <w:trPr>
          <w:jc w:val="center"/>
        </w:trPr>
        <w:tc>
          <w:tcPr>
            <w:tcW w:w="1702" w:type="dxa"/>
            <w:shd w:val="clear" w:color="auto" w:fill="FFFF00"/>
          </w:tcPr>
          <w:p w:rsidR="003E24B5" w:rsidRDefault="003E24B5" w:rsidP="00E84A61">
            <w:pPr>
              <w:spacing w:before="120" w:after="120"/>
              <w:jc w:val="left"/>
              <w:rPr>
                <w:rFonts w:ascii="Calibri" w:hAnsi="Calibri"/>
                <w:szCs w:val="20"/>
              </w:rPr>
            </w:pPr>
            <w:r>
              <w:rPr>
                <w:rFonts w:ascii="Calibri" w:hAnsi="Calibri"/>
                <w:b/>
                <w:i/>
                <w:szCs w:val="20"/>
              </w:rPr>
              <w:lastRenderedPageBreak/>
              <w:t>(</w:t>
            </w:r>
            <w:r w:rsidRPr="001769D9">
              <w:rPr>
                <w:rFonts w:ascii="Calibri" w:hAnsi="Calibri"/>
                <w:b/>
                <w:i/>
                <w:szCs w:val="20"/>
              </w:rPr>
              <w:t>Consolidated Stakeholder Comments</w:t>
            </w:r>
            <w:r>
              <w:rPr>
                <w:rFonts w:ascii="Calibri" w:hAnsi="Calibri"/>
                <w:b/>
                <w:i/>
                <w:szCs w:val="20"/>
              </w:rPr>
              <w:t xml:space="preserve"> -response to Q1.)</w:t>
            </w:r>
          </w:p>
        </w:tc>
        <w:tc>
          <w:tcPr>
            <w:tcW w:w="1972" w:type="dxa"/>
            <w:shd w:val="clear" w:color="auto" w:fill="FFFF00"/>
          </w:tcPr>
          <w:p w:rsidR="003E24B5" w:rsidRPr="007860F3" w:rsidRDefault="003E24B5" w:rsidP="00E84A61">
            <w:pPr>
              <w:spacing w:before="120" w:after="120"/>
              <w:jc w:val="left"/>
              <w:rPr>
                <w:rFonts w:ascii="Calibri" w:hAnsi="Calibri"/>
                <w:i/>
                <w:szCs w:val="20"/>
              </w:rPr>
            </w:pPr>
            <w:r>
              <w:rPr>
                <w:rFonts w:ascii="Calibri" w:hAnsi="Calibri"/>
                <w:i/>
                <w:szCs w:val="20"/>
              </w:rPr>
              <w:t>Lack of minimum recycling rate or requirement for highest use practices, in the DIIS discourages recyclers from recovering materials leading to unnecessary disposal to landfill.</w:t>
            </w:r>
          </w:p>
        </w:tc>
        <w:tc>
          <w:tcPr>
            <w:tcW w:w="2110" w:type="dxa"/>
            <w:shd w:val="clear" w:color="auto" w:fill="FFFF00"/>
          </w:tcPr>
          <w:p w:rsidR="003E24B5" w:rsidRPr="002C4CA5" w:rsidRDefault="003E24B5" w:rsidP="00162446">
            <w:pPr>
              <w:pStyle w:val="ListParagraph"/>
              <w:numPr>
                <w:ilvl w:val="0"/>
                <w:numId w:val="18"/>
              </w:numPr>
              <w:spacing w:before="120" w:after="120"/>
              <w:jc w:val="left"/>
              <w:rPr>
                <w:rFonts w:ascii="Calibri" w:hAnsi="Calibri"/>
                <w:szCs w:val="20"/>
              </w:rPr>
            </w:pPr>
            <w:r>
              <w:rPr>
                <w:rFonts w:ascii="Calibri" w:hAnsi="Calibri"/>
                <w:szCs w:val="20"/>
              </w:rPr>
              <w:t xml:space="preserve">No requirement to achieve a minimum level of recycling </w:t>
            </w:r>
          </w:p>
        </w:tc>
        <w:tc>
          <w:tcPr>
            <w:tcW w:w="2000" w:type="dxa"/>
            <w:shd w:val="clear" w:color="auto" w:fill="FFFF00"/>
          </w:tcPr>
          <w:p w:rsidR="003E24B5" w:rsidRPr="002C4CA5" w:rsidRDefault="003E24B5" w:rsidP="00162446">
            <w:pPr>
              <w:pStyle w:val="ListParagraph"/>
              <w:numPr>
                <w:ilvl w:val="0"/>
                <w:numId w:val="18"/>
              </w:numPr>
              <w:spacing w:before="120" w:after="120"/>
              <w:jc w:val="left"/>
              <w:rPr>
                <w:rFonts w:ascii="Calibri" w:hAnsi="Calibri"/>
                <w:szCs w:val="20"/>
              </w:rPr>
            </w:pPr>
            <w:r>
              <w:rPr>
                <w:rFonts w:ascii="Calibri" w:hAnsi="Calibri"/>
                <w:szCs w:val="20"/>
              </w:rPr>
              <w:t>Unnecessary disposal of EOL product to landfill due to lack of incentive to divert maximum volume possible.</w:t>
            </w:r>
          </w:p>
        </w:tc>
        <w:tc>
          <w:tcPr>
            <w:tcW w:w="3082" w:type="dxa"/>
            <w:shd w:val="clear" w:color="auto" w:fill="FFFF00"/>
          </w:tcPr>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 xml:space="preserve">Table 1 – Material Processing and End Use Acceptability specifies recycling processing, end-use, or method of disposal. Where components are and materials are deemed to be recoverable, Landfill or incineration are “not acceptable” as disposal options. </w:t>
            </w:r>
          </w:p>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 xml:space="preserve">The Drafting note adjacent to Section 7.5 Traceability, states that </w:t>
            </w:r>
            <w:r w:rsidRPr="00820D9B">
              <w:rPr>
                <w:rFonts w:ascii="Calibri" w:hAnsi="Calibri"/>
                <w:i/>
                <w:szCs w:val="20"/>
              </w:rPr>
              <w:t xml:space="preserve">international developments will continue to be monitored in this area and recovery and recycling rates will be specified in the Product Stewardship Organisation procurement specifications. They will be based on the agreed National Television and Computer Scheme KPIs and available technology. </w:t>
            </w:r>
          </w:p>
        </w:tc>
        <w:tc>
          <w:tcPr>
            <w:tcW w:w="1118"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Incomplete</w:t>
            </w:r>
          </w:p>
        </w:tc>
        <w:tc>
          <w:tcPr>
            <w:tcW w:w="10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Possible</w:t>
            </w:r>
          </w:p>
        </w:tc>
        <w:tc>
          <w:tcPr>
            <w:tcW w:w="900" w:type="dxa"/>
            <w:shd w:val="clear" w:color="auto" w:fill="FFFF00"/>
          </w:tcPr>
          <w:p w:rsidR="003E24B5" w:rsidRDefault="003E24B5" w:rsidP="00E84A61">
            <w:pPr>
              <w:spacing w:before="120" w:after="120"/>
              <w:ind w:firstLine="3"/>
              <w:jc w:val="left"/>
              <w:rPr>
                <w:rFonts w:ascii="Calibri" w:hAnsi="Calibri"/>
                <w:szCs w:val="20"/>
              </w:rPr>
            </w:pPr>
            <w:r>
              <w:rPr>
                <w:rFonts w:ascii="Calibri" w:hAnsi="Calibri"/>
                <w:szCs w:val="20"/>
              </w:rPr>
              <w:t>Moderate</w:t>
            </w:r>
          </w:p>
        </w:tc>
        <w:tc>
          <w:tcPr>
            <w:tcW w:w="8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Pr="00C9215B" w:rsidRDefault="003E24B5" w:rsidP="00E84A61">
            <w:pPr>
              <w:spacing w:before="120" w:after="120"/>
              <w:jc w:val="left"/>
              <w:rPr>
                <w:rFonts w:ascii="Calibri" w:hAnsi="Calibri"/>
                <w:szCs w:val="20"/>
              </w:rPr>
            </w:pPr>
            <w:r w:rsidRPr="00C9215B">
              <w:rPr>
                <w:rFonts w:ascii="Calibri" w:hAnsi="Calibri"/>
                <w:szCs w:val="20"/>
              </w:rPr>
              <w:t>Formal development and adoption of P</w:t>
            </w:r>
            <w:r>
              <w:rPr>
                <w:rFonts w:ascii="Calibri" w:hAnsi="Calibri"/>
                <w:szCs w:val="20"/>
              </w:rPr>
              <w:t>S</w:t>
            </w:r>
            <w:r w:rsidRPr="00C9215B">
              <w:rPr>
                <w:rFonts w:ascii="Calibri" w:hAnsi="Calibri"/>
                <w:szCs w:val="20"/>
              </w:rPr>
              <w:t>O procurement specifications to ensure adoption of recovery and recycling rates</w:t>
            </w:r>
          </w:p>
        </w:tc>
      </w:tr>
      <w:tr w:rsidR="003E24B5" w:rsidTr="008D5CBC">
        <w:trPr>
          <w:jc w:val="center"/>
        </w:trPr>
        <w:tc>
          <w:tcPr>
            <w:tcW w:w="1702" w:type="dxa"/>
            <w:shd w:val="clear" w:color="auto" w:fill="FFC000"/>
          </w:tcPr>
          <w:p w:rsidR="003E24B5" w:rsidRPr="002C5E72" w:rsidRDefault="003E24B5" w:rsidP="00E84A61">
            <w:pPr>
              <w:spacing w:before="120" w:after="120"/>
              <w:jc w:val="left"/>
              <w:rPr>
                <w:rFonts w:ascii="Calibri" w:hAnsi="Calibri"/>
                <w:b/>
                <w:i/>
                <w:szCs w:val="20"/>
              </w:rPr>
            </w:pPr>
            <w:r>
              <w:rPr>
                <w:rFonts w:ascii="Calibri" w:hAnsi="Calibri"/>
                <w:b/>
                <w:i/>
                <w:szCs w:val="20"/>
              </w:rPr>
              <w:lastRenderedPageBreak/>
              <w:t>(</w:t>
            </w:r>
            <w:r w:rsidRPr="001769D9">
              <w:rPr>
                <w:rFonts w:ascii="Calibri" w:hAnsi="Calibri"/>
                <w:b/>
                <w:i/>
                <w:szCs w:val="20"/>
              </w:rPr>
              <w:t>Consolidated Stakeholder Comments</w:t>
            </w:r>
            <w:r>
              <w:rPr>
                <w:rFonts w:ascii="Calibri" w:hAnsi="Calibri"/>
                <w:b/>
                <w:i/>
                <w:szCs w:val="20"/>
              </w:rPr>
              <w:t xml:space="preserve"> –response to Q1.)</w:t>
            </w:r>
          </w:p>
        </w:tc>
        <w:tc>
          <w:tcPr>
            <w:tcW w:w="1972" w:type="dxa"/>
            <w:shd w:val="clear" w:color="auto" w:fill="FFC000"/>
          </w:tcPr>
          <w:p w:rsidR="003E24B5" w:rsidRDefault="003E24B5" w:rsidP="00E84A61">
            <w:pPr>
              <w:spacing w:before="120" w:after="120"/>
              <w:jc w:val="left"/>
              <w:rPr>
                <w:rFonts w:ascii="Calibri" w:hAnsi="Calibri"/>
                <w:i/>
                <w:szCs w:val="20"/>
              </w:rPr>
            </w:pPr>
            <w:r w:rsidRPr="007860F3">
              <w:rPr>
                <w:rFonts w:ascii="Calibri" w:hAnsi="Calibri"/>
                <w:i/>
                <w:szCs w:val="20"/>
              </w:rPr>
              <w:t>Failure to minimise carbon emissions associated with recycling practices</w:t>
            </w:r>
            <w:r>
              <w:rPr>
                <w:rFonts w:ascii="Calibri" w:hAnsi="Calibri"/>
                <w:i/>
                <w:szCs w:val="20"/>
              </w:rPr>
              <w:t>.</w:t>
            </w:r>
          </w:p>
        </w:tc>
        <w:tc>
          <w:tcPr>
            <w:tcW w:w="2110" w:type="dxa"/>
            <w:shd w:val="clear" w:color="auto" w:fill="FFC000"/>
          </w:tcPr>
          <w:p w:rsidR="003E24B5" w:rsidRPr="002C4CA5" w:rsidRDefault="003E24B5" w:rsidP="00162446">
            <w:pPr>
              <w:pStyle w:val="ListParagraph"/>
              <w:numPr>
                <w:ilvl w:val="0"/>
                <w:numId w:val="20"/>
              </w:numPr>
              <w:spacing w:before="120" w:after="120"/>
              <w:jc w:val="left"/>
              <w:rPr>
                <w:rFonts w:ascii="Calibri" w:hAnsi="Calibri"/>
                <w:szCs w:val="20"/>
              </w:rPr>
            </w:pPr>
            <w:r>
              <w:rPr>
                <w:rFonts w:ascii="Calibri" w:hAnsi="Calibri"/>
                <w:szCs w:val="20"/>
              </w:rPr>
              <w:t xml:space="preserve">Lack of knowledge regarding carbon emissions from associated recycling practices and LCA results in more damage to the environment. </w:t>
            </w:r>
          </w:p>
          <w:p w:rsidR="003E24B5" w:rsidRDefault="003E24B5" w:rsidP="00E84A61">
            <w:pPr>
              <w:spacing w:before="120" w:after="120"/>
              <w:jc w:val="left"/>
              <w:rPr>
                <w:rFonts w:ascii="Calibri" w:hAnsi="Calibri"/>
                <w:szCs w:val="20"/>
              </w:rPr>
            </w:pPr>
          </w:p>
          <w:p w:rsidR="003E24B5" w:rsidRDefault="003E24B5" w:rsidP="00E84A61">
            <w:pPr>
              <w:spacing w:before="120" w:after="120"/>
              <w:jc w:val="left"/>
              <w:rPr>
                <w:rFonts w:ascii="Calibri" w:hAnsi="Calibri"/>
                <w:szCs w:val="20"/>
              </w:rPr>
            </w:pPr>
          </w:p>
        </w:tc>
        <w:tc>
          <w:tcPr>
            <w:tcW w:w="2000" w:type="dxa"/>
            <w:shd w:val="clear" w:color="auto" w:fill="FFC000"/>
          </w:tcPr>
          <w:p w:rsidR="003E24B5" w:rsidRPr="008B72D6" w:rsidRDefault="003E24B5" w:rsidP="00162446">
            <w:pPr>
              <w:pStyle w:val="ListParagraph"/>
              <w:numPr>
                <w:ilvl w:val="0"/>
                <w:numId w:val="20"/>
              </w:numPr>
              <w:spacing w:before="120" w:after="120"/>
              <w:jc w:val="left"/>
              <w:rPr>
                <w:rFonts w:ascii="Calibri" w:hAnsi="Calibri"/>
                <w:szCs w:val="20"/>
              </w:rPr>
            </w:pPr>
            <w:r>
              <w:rPr>
                <w:rFonts w:ascii="Calibri" w:hAnsi="Calibri"/>
                <w:szCs w:val="20"/>
              </w:rPr>
              <w:t>Increased carbon emissions</w:t>
            </w:r>
          </w:p>
        </w:tc>
        <w:tc>
          <w:tcPr>
            <w:tcW w:w="3082" w:type="dxa"/>
            <w:shd w:val="clear" w:color="auto" w:fill="FFC000"/>
          </w:tcPr>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 xml:space="preserve">Section 3-of the DIIS Guiding Principles requires decisions about treatment of EOL Televisions and Computers to consider the waste management hierarchy and the principles of ecologically sustainable development including minimising carbon emissions. </w:t>
            </w:r>
          </w:p>
        </w:tc>
        <w:tc>
          <w:tcPr>
            <w:tcW w:w="1118"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Incomplete</w:t>
            </w:r>
          </w:p>
        </w:tc>
        <w:tc>
          <w:tcPr>
            <w:tcW w:w="1000"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Likely</w:t>
            </w:r>
          </w:p>
        </w:tc>
        <w:tc>
          <w:tcPr>
            <w:tcW w:w="900" w:type="dxa"/>
            <w:shd w:val="clear" w:color="auto" w:fill="FFC000"/>
          </w:tcPr>
          <w:p w:rsidR="003E24B5" w:rsidRDefault="003E24B5" w:rsidP="00E84A61">
            <w:pPr>
              <w:spacing w:before="120" w:after="120"/>
              <w:ind w:firstLine="3"/>
              <w:jc w:val="left"/>
              <w:rPr>
                <w:rFonts w:ascii="Calibri" w:hAnsi="Calibri"/>
                <w:szCs w:val="20"/>
              </w:rPr>
            </w:pPr>
            <w:r>
              <w:rPr>
                <w:rFonts w:ascii="Calibri" w:hAnsi="Calibri"/>
                <w:szCs w:val="20"/>
              </w:rPr>
              <w:t>Moderate</w:t>
            </w:r>
          </w:p>
        </w:tc>
        <w:tc>
          <w:tcPr>
            <w:tcW w:w="800"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High</w:t>
            </w:r>
          </w:p>
        </w:tc>
        <w:tc>
          <w:tcPr>
            <w:tcW w:w="1222"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Refer to Risk Treatment Plan</w:t>
            </w:r>
          </w:p>
        </w:tc>
      </w:tr>
      <w:tr w:rsidR="003E24B5" w:rsidTr="008D5CBC">
        <w:trPr>
          <w:jc w:val="center"/>
        </w:trPr>
        <w:tc>
          <w:tcPr>
            <w:tcW w:w="1702" w:type="dxa"/>
            <w:shd w:val="clear" w:color="auto" w:fill="FFFF00"/>
          </w:tcPr>
          <w:p w:rsidR="003E24B5" w:rsidRPr="00C91A39" w:rsidRDefault="003E24B5" w:rsidP="00E84A61">
            <w:pPr>
              <w:spacing w:before="120" w:after="120"/>
              <w:jc w:val="left"/>
              <w:rPr>
                <w:rFonts w:ascii="Calibri" w:hAnsi="Calibri"/>
                <w:szCs w:val="20"/>
              </w:rPr>
            </w:pPr>
            <w:r w:rsidRPr="00C91A39">
              <w:rPr>
                <w:rFonts w:ascii="Calibri" w:hAnsi="Calibri"/>
                <w:b/>
                <w:i/>
                <w:szCs w:val="20"/>
              </w:rPr>
              <w:t>(Consolidated Stakeholder Comments –response to Q1.)</w:t>
            </w:r>
          </w:p>
        </w:tc>
        <w:tc>
          <w:tcPr>
            <w:tcW w:w="1972" w:type="dxa"/>
            <w:shd w:val="clear" w:color="auto" w:fill="FFFF00"/>
          </w:tcPr>
          <w:p w:rsidR="003E24B5" w:rsidRPr="00C91A39" w:rsidRDefault="003E24B5" w:rsidP="00E84A61">
            <w:pPr>
              <w:spacing w:before="120" w:after="120"/>
              <w:jc w:val="left"/>
              <w:rPr>
                <w:rFonts w:ascii="Calibri" w:hAnsi="Calibri"/>
                <w:i/>
                <w:szCs w:val="20"/>
              </w:rPr>
            </w:pPr>
            <w:r w:rsidRPr="00C91A39">
              <w:rPr>
                <w:rFonts w:ascii="Calibri" w:hAnsi="Calibri"/>
                <w:i/>
                <w:szCs w:val="20"/>
              </w:rPr>
              <w:t>Failure of the DIIS to require identification of hazardous substances prior to disposal.</w:t>
            </w:r>
          </w:p>
        </w:tc>
        <w:tc>
          <w:tcPr>
            <w:tcW w:w="2110" w:type="dxa"/>
            <w:shd w:val="clear" w:color="auto" w:fill="FFFF00"/>
          </w:tcPr>
          <w:p w:rsidR="003E24B5" w:rsidRPr="00C91A39" w:rsidRDefault="003E24B5" w:rsidP="00162446">
            <w:pPr>
              <w:pStyle w:val="ListParagraph"/>
              <w:numPr>
                <w:ilvl w:val="0"/>
                <w:numId w:val="21"/>
              </w:numPr>
              <w:spacing w:before="120" w:after="120"/>
              <w:jc w:val="left"/>
              <w:rPr>
                <w:rFonts w:ascii="Calibri" w:hAnsi="Calibri"/>
                <w:szCs w:val="20"/>
              </w:rPr>
            </w:pPr>
            <w:r w:rsidRPr="00C91A39">
              <w:rPr>
                <w:rFonts w:ascii="Calibri" w:hAnsi="Calibri"/>
                <w:szCs w:val="20"/>
              </w:rPr>
              <w:t>No regulatory requirement</w:t>
            </w:r>
          </w:p>
          <w:p w:rsidR="003E24B5" w:rsidRPr="00C91A39" w:rsidRDefault="003E24B5" w:rsidP="00162446">
            <w:pPr>
              <w:pStyle w:val="ListParagraph"/>
              <w:numPr>
                <w:ilvl w:val="0"/>
                <w:numId w:val="21"/>
              </w:numPr>
              <w:spacing w:before="120" w:after="120"/>
              <w:jc w:val="left"/>
              <w:rPr>
                <w:rFonts w:ascii="Calibri" w:hAnsi="Calibri"/>
                <w:szCs w:val="20"/>
              </w:rPr>
            </w:pPr>
            <w:r w:rsidRPr="00C91A39">
              <w:rPr>
                <w:rFonts w:ascii="Calibri" w:hAnsi="Calibri"/>
                <w:szCs w:val="20"/>
              </w:rPr>
              <w:t>Recyclers unknowingly process EOL product containing hazardous substances</w:t>
            </w:r>
          </w:p>
        </w:tc>
        <w:tc>
          <w:tcPr>
            <w:tcW w:w="2000" w:type="dxa"/>
            <w:shd w:val="clear" w:color="auto" w:fill="FFFF00"/>
          </w:tcPr>
          <w:p w:rsidR="003E24B5" w:rsidRPr="00C91A39" w:rsidRDefault="003E24B5" w:rsidP="00162446">
            <w:pPr>
              <w:pStyle w:val="ListParagraph"/>
              <w:numPr>
                <w:ilvl w:val="0"/>
                <w:numId w:val="21"/>
              </w:numPr>
              <w:spacing w:before="120" w:after="120"/>
              <w:jc w:val="left"/>
              <w:rPr>
                <w:rFonts w:ascii="Calibri" w:hAnsi="Calibri"/>
                <w:szCs w:val="20"/>
              </w:rPr>
            </w:pPr>
            <w:r w:rsidRPr="00C91A39">
              <w:rPr>
                <w:rFonts w:ascii="Calibri" w:hAnsi="Calibri"/>
                <w:szCs w:val="20"/>
              </w:rPr>
              <w:t>Environmental damage</w:t>
            </w:r>
          </w:p>
          <w:p w:rsidR="003E24B5" w:rsidRPr="00C91A39" w:rsidRDefault="003E24B5" w:rsidP="00162446">
            <w:pPr>
              <w:pStyle w:val="ListParagraph"/>
              <w:numPr>
                <w:ilvl w:val="0"/>
                <w:numId w:val="21"/>
              </w:numPr>
              <w:spacing w:before="120" w:after="120"/>
              <w:jc w:val="left"/>
              <w:rPr>
                <w:rFonts w:ascii="Calibri" w:hAnsi="Calibri"/>
                <w:szCs w:val="20"/>
              </w:rPr>
            </w:pPr>
            <w:r w:rsidRPr="00C91A39">
              <w:rPr>
                <w:rFonts w:ascii="Calibri" w:hAnsi="Calibri"/>
                <w:szCs w:val="20"/>
              </w:rPr>
              <w:t>Potential safety risk to staff</w:t>
            </w:r>
          </w:p>
        </w:tc>
        <w:tc>
          <w:tcPr>
            <w:tcW w:w="3082" w:type="dxa"/>
            <w:shd w:val="clear" w:color="auto" w:fill="FFFF00"/>
          </w:tcPr>
          <w:p w:rsidR="003E24B5" w:rsidRPr="00C91A39" w:rsidRDefault="003E24B5" w:rsidP="00E84A61">
            <w:pPr>
              <w:autoSpaceDE w:val="0"/>
              <w:autoSpaceDN w:val="0"/>
              <w:adjustRightInd w:val="0"/>
              <w:spacing w:before="120" w:after="120"/>
              <w:jc w:val="left"/>
              <w:rPr>
                <w:rFonts w:ascii="Calibri" w:hAnsi="Calibri"/>
                <w:szCs w:val="20"/>
              </w:rPr>
            </w:pPr>
            <w:r w:rsidRPr="00C91A39">
              <w:rPr>
                <w:rFonts w:ascii="Calibri" w:hAnsi="Calibri"/>
                <w:szCs w:val="20"/>
              </w:rPr>
              <w:t xml:space="preserve">Appendix 1 of the DIIS provides guidance on the environmentally sound recycling of electronics. </w:t>
            </w:r>
          </w:p>
        </w:tc>
        <w:tc>
          <w:tcPr>
            <w:tcW w:w="1118" w:type="dxa"/>
            <w:shd w:val="clear" w:color="auto" w:fill="FFFF00"/>
          </w:tcPr>
          <w:p w:rsidR="003E24B5" w:rsidRPr="00C91A39" w:rsidRDefault="003E24B5" w:rsidP="00E84A61">
            <w:pPr>
              <w:spacing w:before="120" w:after="120"/>
              <w:jc w:val="left"/>
              <w:rPr>
                <w:rFonts w:ascii="Calibri" w:hAnsi="Calibri"/>
                <w:szCs w:val="20"/>
              </w:rPr>
            </w:pPr>
            <w:r w:rsidRPr="00C91A39">
              <w:rPr>
                <w:rFonts w:ascii="Calibri" w:hAnsi="Calibri"/>
                <w:szCs w:val="20"/>
              </w:rPr>
              <w:t>Weak</w:t>
            </w:r>
          </w:p>
        </w:tc>
        <w:tc>
          <w:tcPr>
            <w:tcW w:w="1000" w:type="dxa"/>
            <w:shd w:val="clear" w:color="auto" w:fill="FFFF00"/>
          </w:tcPr>
          <w:p w:rsidR="003E24B5" w:rsidRPr="00C91A39" w:rsidRDefault="003E24B5" w:rsidP="00E84A61">
            <w:pPr>
              <w:spacing w:before="120" w:after="120"/>
              <w:jc w:val="left"/>
              <w:rPr>
                <w:rFonts w:ascii="Calibri" w:hAnsi="Calibri"/>
                <w:szCs w:val="20"/>
              </w:rPr>
            </w:pPr>
            <w:r w:rsidRPr="00C91A39">
              <w:rPr>
                <w:rFonts w:ascii="Calibri" w:hAnsi="Calibri"/>
                <w:szCs w:val="20"/>
              </w:rPr>
              <w:t>Possible</w:t>
            </w:r>
          </w:p>
        </w:tc>
        <w:tc>
          <w:tcPr>
            <w:tcW w:w="900" w:type="dxa"/>
            <w:shd w:val="clear" w:color="auto" w:fill="FFFF00"/>
          </w:tcPr>
          <w:p w:rsidR="003E24B5" w:rsidRPr="00C91A39" w:rsidRDefault="003E24B5" w:rsidP="00E84A61">
            <w:pPr>
              <w:spacing w:before="120" w:after="120"/>
              <w:ind w:firstLine="3"/>
              <w:jc w:val="left"/>
              <w:rPr>
                <w:rFonts w:ascii="Calibri" w:hAnsi="Calibri"/>
                <w:szCs w:val="20"/>
              </w:rPr>
            </w:pPr>
            <w:r w:rsidRPr="00C91A39">
              <w:rPr>
                <w:rFonts w:ascii="Calibri" w:hAnsi="Calibri"/>
                <w:szCs w:val="20"/>
              </w:rPr>
              <w:t>Moderate</w:t>
            </w:r>
          </w:p>
        </w:tc>
        <w:tc>
          <w:tcPr>
            <w:tcW w:w="800" w:type="dxa"/>
            <w:shd w:val="clear" w:color="auto" w:fill="FFFF00"/>
          </w:tcPr>
          <w:p w:rsidR="003E24B5" w:rsidRPr="00C91A39" w:rsidRDefault="003E24B5" w:rsidP="00E84A61">
            <w:pPr>
              <w:spacing w:before="120" w:after="120"/>
              <w:jc w:val="left"/>
              <w:rPr>
                <w:rFonts w:ascii="Calibri" w:hAnsi="Calibri"/>
                <w:szCs w:val="20"/>
              </w:rPr>
            </w:pPr>
            <w:r w:rsidRPr="00C91A39">
              <w:rPr>
                <w:rFonts w:ascii="Calibri" w:hAnsi="Calibri"/>
                <w:szCs w:val="20"/>
              </w:rPr>
              <w:t>Medium</w:t>
            </w:r>
          </w:p>
        </w:tc>
        <w:tc>
          <w:tcPr>
            <w:tcW w:w="1222" w:type="dxa"/>
            <w:shd w:val="clear" w:color="auto" w:fill="FFFF00"/>
          </w:tcPr>
          <w:p w:rsidR="003E24B5" w:rsidRDefault="003E24B5" w:rsidP="00E84A61">
            <w:pPr>
              <w:autoSpaceDE w:val="0"/>
              <w:autoSpaceDN w:val="0"/>
              <w:adjustRightInd w:val="0"/>
              <w:spacing w:before="120" w:after="120"/>
              <w:jc w:val="left"/>
              <w:rPr>
                <w:rFonts w:ascii="Calibri" w:hAnsi="Calibri"/>
                <w:szCs w:val="20"/>
              </w:rPr>
            </w:pPr>
            <w:r w:rsidRPr="00C91A39">
              <w:rPr>
                <w:rFonts w:ascii="Calibri" w:hAnsi="Calibri"/>
                <w:szCs w:val="20"/>
              </w:rPr>
              <w:t>Guidelines should be more prescriptive and become formal requirement of industry operators/ recyclers.</w:t>
            </w:r>
          </w:p>
        </w:tc>
      </w:tr>
      <w:tr w:rsidR="003E24B5" w:rsidTr="008D5CBC">
        <w:trPr>
          <w:jc w:val="center"/>
        </w:trPr>
        <w:tc>
          <w:tcPr>
            <w:tcW w:w="1702" w:type="dxa"/>
            <w:shd w:val="clear" w:color="auto" w:fill="FFFF00"/>
          </w:tcPr>
          <w:p w:rsidR="003E24B5" w:rsidRDefault="003E24B5" w:rsidP="00E84A61">
            <w:pPr>
              <w:spacing w:before="120" w:after="120"/>
              <w:jc w:val="left"/>
              <w:rPr>
                <w:rFonts w:ascii="Calibri" w:hAnsi="Calibri"/>
                <w:szCs w:val="20"/>
              </w:rPr>
            </w:pPr>
            <w:r>
              <w:rPr>
                <w:rFonts w:ascii="Calibri" w:hAnsi="Calibri"/>
                <w:b/>
                <w:i/>
                <w:szCs w:val="20"/>
              </w:rPr>
              <w:t>(</w:t>
            </w:r>
            <w:r w:rsidRPr="001769D9">
              <w:rPr>
                <w:rFonts w:ascii="Calibri" w:hAnsi="Calibri"/>
                <w:b/>
                <w:i/>
                <w:szCs w:val="20"/>
              </w:rPr>
              <w:t>Consolidated Stakeholder Comments</w:t>
            </w:r>
            <w:r>
              <w:rPr>
                <w:rFonts w:ascii="Calibri" w:hAnsi="Calibri"/>
                <w:b/>
                <w:i/>
                <w:szCs w:val="20"/>
              </w:rPr>
              <w:t xml:space="preserve"> –response to Q1.)</w:t>
            </w:r>
          </w:p>
        </w:tc>
        <w:tc>
          <w:tcPr>
            <w:tcW w:w="1972" w:type="dxa"/>
            <w:shd w:val="clear" w:color="auto" w:fill="FFFF00"/>
          </w:tcPr>
          <w:p w:rsidR="003E24B5" w:rsidRPr="007860F3" w:rsidRDefault="003E24B5" w:rsidP="00E84A61">
            <w:pPr>
              <w:spacing w:before="120" w:after="120"/>
              <w:jc w:val="left"/>
              <w:rPr>
                <w:rFonts w:ascii="Calibri" w:hAnsi="Calibri"/>
                <w:i/>
                <w:szCs w:val="20"/>
              </w:rPr>
            </w:pPr>
            <w:r w:rsidRPr="007860F3">
              <w:rPr>
                <w:rFonts w:ascii="Calibri" w:hAnsi="Calibri"/>
                <w:i/>
                <w:szCs w:val="20"/>
              </w:rPr>
              <w:t>B</w:t>
            </w:r>
            <w:r>
              <w:rPr>
                <w:rFonts w:ascii="Calibri" w:hAnsi="Calibri"/>
                <w:i/>
                <w:szCs w:val="20"/>
              </w:rPr>
              <w:t xml:space="preserve">rominated </w:t>
            </w:r>
            <w:r w:rsidRPr="007860F3">
              <w:rPr>
                <w:rFonts w:ascii="Calibri" w:hAnsi="Calibri"/>
                <w:i/>
                <w:szCs w:val="20"/>
              </w:rPr>
              <w:t>F</w:t>
            </w:r>
            <w:r>
              <w:rPr>
                <w:rFonts w:ascii="Calibri" w:hAnsi="Calibri"/>
                <w:i/>
                <w:szCs w:val="20"/>
              </w:rPr>
              <w:t xml:space="preserve">ire </w:t>
            </w:r>
            <w:r w:rsidRPr="007860F3">
              <w:rPr>
                <w:rFonts w:ascii="Calibri" w:hAnsi="Calibri"/>
                <w:i/>
                <w:szCs w:val="20"/>
              </w:rPr>
              <w:t>R</w:t>
            </w:r>
            <w:r>
              <w:rPr>
                <w:rFonts w:ascii="Calibri" w:hAnsi="Calibri"/>
                <w:i/>
                <w:szCs w:val="20"/>
              </w:rPr>
              <w:t>etardant</w:t>
            </w:r>
            <w:r w:rsidRPr="007860F3">
              <w:rPr>
                <w:rFonts w:ascii="Calibri" w:hAnsi="Calibri"/>
                <w:i/>
                <w:szCs w:val="20"/>
              </w:rPr>
              <w:t xml:space="preserve"> contaminated plastics are sent to </w:t>
            </w:r>
            <w:r>
              <w:rPr>
                <w:rFonts w:ascii="Calibri" w:hAnsi="Calibri"/>
                <w:i/>
                <w:szCs w:val="20"/>
              </w:rPr>
              <w:t>landfill.</w:t>
            </w:r>
          </w:p>
        </w:tc>
        <w:tc>
          <w:tcPr>
            <w:tcW w:w="2110" w:type="dxa"/>
            <w:shd w:val="clear" w:color="auto" w:fill="FFFF00"/>
          </w:tcPr>
          <w:p w:rsidR="003E24B5" w:rsidRDefault="003E24B5" w:rsidP="00162446">
            <w:pPr>
              <w:pStyle w:val="ListParagraph"/>
              <w:numPr>
                <w:ilvl w:val="0"/>
                <w:numId w:val="22"/>
              </w:numPr>
              <w:spacing w:before="120" w:after="120"/>
              <w:jc w:val="left"/>
              <w:rPr>
                <w:rFonts w:ascii="Calibri" w:hAnsi="Calibri"/>
                <w:szCs w:val="20"/>
              </w:rPr>
            </w:pPr>
            <w:r>
              <w:rPr>
                <w:rFonts w:ascii="Calibri" w:hAnsi="Calibri"/>
                <w:szCs w:val="20"/>
              </w:rPr>
              <w:t>Lack of knowledge that BFR is present</w:t>
            </w:r>
          </w:p>
          <w:p w:rsidR="003E24B5" w:rsidRPr="008B72D6" w:rsidRDefault="003E24B5" w:rsidP="00162446">
            <w:pPr>
              <w:pStyle w:val="ListParagraph"/>
              <w:numPr>
                <w:ilvl w:val="0"/>
                <w:numId w:val="22"/>
              </w:numPr>
              <w:spacing w:before="120" w:after="120"/>
              <w:jc w:val="left"/>
              <w:rPr>
                <w:rFonts w:ascii="Calibri" w:hAnsi="Calibri"/>
                <w:szCs w:val="20"/>
              </w:rPr>
            </w:pPr>
            <w:r>
              <w:rPr>
                <w:rFonts w:ascii="Calibri" w:hAnsi="Calibri"/>
                <w:szCs w:val="20"/>
              </w:rPr>
              <w:t xml:space="preserve">Poor separation practises result in cross </w:t>
            </w:r>
            <w:r>
              <w:rPr>
                <w:rFonts w:ascii="Calibri" w:hAnsi="Calibri"/>
                <w:szCs w:val="20"/>
              </w:rPr>
              <w:lastRenderedPageBreak/>
              <w:t xml:space="preserve">contamination with BFR. </w:t>
            </w:r>
          </w:p>
        </w:tc>
        <w:tc>
          <w:tcPr>
            <w:tcW w:w="2000" w:type="dxa"/>
            <w:shd w:val="clear" w:color="auto" w:fill="FFFF00"/>
          </w:tcPr>
          <w:p w:rsidR="003E24B5" w:rsidRPr="008B72D6" w:rsidRDefault="003E24B5" w:rsidP="00162446">
            <w:pPr>
              <w:pStyle w:val="ListParagraph"/>
              <w:numPr>
                <w:ilvl w:val="0"/>
                <w:numId w:val="22"/>
              </w:numPr>
              <w:spacing w:before="120" w:after="120"/>
              <w:jc w:val="left"/>
              <w:rPr>
                <w:rFonts w:ascii="Calibri" w:hAnsi="Calibri"/>
                <w:szCs w:val="20"/>
              </w:rPr>
            </w:pPr>
            <w:r>
              <w:rPr>
                <w:rFonts w:ascii="Calibri" w:hAnsi="Calibri"/>
                <w:szCs w:val="20"/>
              </w:rPr>
              <w:lastRenderedPageBreak/>
              <w:t>Environmental damage</w:t>
            </w:r>
          </w:p>
        </w:tc>
        <w:tc>
          <w:tcPr>
            <w:tcW w:w="3082" w:type="dxa"/>
            <w:shd w:val="clear" w:color="auto" w:fill="FFFF00"/>
          </w:tcPr>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 xml:space="preserve">Appendix 1 of the DIIS provides guidance on the environmentally sound recycling of electronics and specifically identifies </w:t>
            </w:r>
            <w:r w:rsidRPr="007860F3">
              <w:rPr>
                <w:rFonts w:ascii="Calibri" w:hAnsi="Calibri"/>
                <w:i/>
                <w:szCs w:val="20"/>
              </w:rPr>
              <w:t>B</w:t>
            </w:r>
            <w:r>
              <w:rPr>
                <w:rFonts w:ascii="Calibri" w:hAnsi="Calibri"/>
                <w:i/>
                <w:szCs w:val="20"/>
              </w:rPr>
              <w:t xml:space="preserve">rominated </w:t>
            </w:r>
            <w:r w:rsidRPr="007860F3">
              <w:rPr>
                <w:rFonts w:ascii="Calibri" w:hAnsi="Calibri"/>
                <w:i/>
                <w:szCs w:val="20"/>
              </w:rPr>
              <w:t>F</w:t>
            </w:r>
            <w:r>
              <w:rPr>
                <w:rFonts w:ascii="Calibri" w:hAnsi="Calibri"/>
                <w:i/>
                <w:szCs w:val="20"/>
              </w:rPr>
              <w:t xml:space="preserve">ire </w:t>
            </w:r>
            <w:r w:rsidRPr="007860F3">
              <w:rPr>
                <w:rFonts w:ascii="Calibri" w:hAnsi="Calibri"/>
                <w:i/>
                <w:szCs w:val="20"/>
              </w:rPr>
              <w:t>R</w:t>
            </w:r>
            <w:r>
              <w:rPr>
                <w:rFonts w:ascii="Calibri" w:hAnsi="Calibri"/>
                <w:i/>
                <w:szCs w:val="20"/>
              </w:rPr>
              <w:t xml:space="preserve">etardant as a “substance of </w:t>
            </w:r>
            <w:r>
              <w:rPr>
                <w:rFonts w:ascii="Calibri" w:hAnsi="Calibri"/>
                <w:i/>
                <w:szCs w:val="20"/>
              </w:rPr>
              <w:lastRenderedPageBreak/>
              <w:t>concern” when addressing plastics recovery.</w:t>
            </w:r>
          </w:p>
        </w:tc>
        <w:tc>
          <w:tcPr>
            <w:tcW w:w="1118"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lastRenderedPageBreak/>
              <w:t>Incomplete</w:t>
            </w:r>
          </w:p>
        </w:tc>
        <w:tc>
          <w:tcPr>
            <w:tcW w:w="10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 xml:space="preserve">Possible </w:t>
            </w:r>
          </w:p>
        </w:tc>
        <w:tc>
          <w:tcPr>
            <w:tcW w:w="900" w:type="dxa"/>
            <w:shd w:val="clear" w:color="auto" w:fill="FFFF00"/>
          </w:tcPr>
          <w:p w:rsidR="003E24B5" w:rsidRDefault="003E24B5" w:rsidP="00E84A61">
            <w:pPr>
              <w:spacing w:before="120" w:after="120"/>
              <w:ind w:firstLine="3"/>
              <w:jc w:val="left"/>
              <w:rPr>
                <w:rFonts w:ascii="Calibri" w:hAnsi="Calibri"/>
                <w:szCs w:val="20"/>
              </w:rPr>
            </w:pPr>
            <w:r>
              <w:rPr>
                <w:rFonts w:ascii="Calibri" w:hAnsi="Calibri"/>
                <w:szCs w:val="20"/>
              </w:rPr>
              <w:t>Moderate</w:t>
            </w:r>
          </w:p>
        </w:tc>
        <w:tc>
          <w:tcPr>
            <w:tcW w:w="8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 xml:space="preserve">Guidelines should be more prescriptive and become </w:t>
            </w:r>
            <w:r>
              <w:rPr>
                <w:rFonts w:ascii="Calibri" w:hAnsi="Calibri"/>
                <w:szCs w:val="20"/>
              </w:rPr>
              <w:lastRenderedPageBreak/>
              <w:t>requirement of industry operators/ recyclers.</w:t>
            </w:r>
          </w:p>
        </w:tc>
      </w:tr>
      <w:tr w:rsidR="003E24B5" w:rsidTr="008D5CBC">
        <w:trPr>
          <w:jc w:val="center"/>
        </w:trPr>
        <w:tc>
          <w:tcPr>
            <w:tcW w:w="1702" w:type="dxa"/>
            <w:shd w:val="clear" w:color="auto" w:fill="FFFF00"/>
          </w:tcPr>
          <w:p w:rsidR="003E24B5" w:rsidRDefault="003E24B5" w:rsidP="00E84A61">
            <w:pPr>
              <w:spacing w:before="120" w:after="120"/>
              <w:jc w:val="left"/>
              <w:rPr>
                <w:rFonts w:ascii="Calibri" w:hAnsi="Calibri"/>
                <w:szCs w:val="20"/>
              </w:rPr>
            </w:pPr>
            <w:r>
              <w:rPr>
                <w:rFonts w:ascii="Calibri" w:hAnsi="Calibri"/>
                <w:b/>
                <w:i/>
                <w:szCs w:val="20"/>
              </w:rPr>
              <w:lastRenderedPageBreak/>
              <w:t>(</w:t>
            </w:r>
            <w:r w:rsidRPr="001769D9">
              <w:rPr>
                <w:rFonts w:ascii="Calibri" w:hAnsi="Calibri"/>
                <w:b/>
                <w:i/>
                <w:szCs w:val="20"/>
              </w:rPr>
              <w:t>Consolidated Stakeholder Comments</w:t>
            </w:r>
            <w:r>
              <w:rPr>
                <w:rFonts w:ascii="Calibri" w:hAnsi="Calibri"/>
                <w:b/>
                <w:i/>
                <w:szCs w:val="20"/>
              </w:rPr>
              <w:t xml:space="preserve"> –response to Q1.)</w:t>
            </w:r>
          </w:p>
        </w:tc>
        <w:tc>
          <w:tcPr>
            <w:tcW w:w="1972" w:type="dxa"/>
            <w:shd w:val="clear" w:color="auto" w:fill="FFFF00"/>
          </w:tcPr>
          <w:p w:rsidR="003E24B5" w:rsidRPr="007860F3" w:rsidRDefault="003E24B5" w:rsidP="00E84A61">
            <w:pPr>
              <w:spacing w:before="120" w:after="120"/>
              <w:jc w:val="left"/>
              <w:rPr>
                <w:rFonts w:ascii="Calibri" w:hAnsi="Calibri"/>
                <w:i/>
                <w:szCs w:val="20"/>
              </w:rPr>
            </w:pPr>
            <w:r w:rsidRPr="007860F3">
              <w:rPr>
                <w:rFonts w:ascii="Calibri" w:hAnsi="Calibri"/>
                <w:i/>
                <w:szCs w:val="20"/>
              </w:rPr>
              <w:t>Failure of the DIIS to require recyclin</w:t>
            </w:r>
            <w:r>
              <w:rPr>
                <w:rFonts w:ascii="Calibri" w:hAnsi="Calibri"/>
                <w:i/>
                <w:szCs w:val="20"/>
              </w:rPr>
              <w:t>g of associated packaging waste</w:t>
            </w:r>
            <w:r w:rsidRPr="007860F3">
              <w:rPr>
                <w:rFonts w:ascii="Calibri" w:hAnsi="Calibri"/>
                <w:i/>
                <w:szCs w:val="20"/>
              </w:rPr>
              <w:t>.</w:t>
            </w:r>
          </w:p>
        </w:tc>
        <w:tc>
          <w:tcPr>
            <w:tcW w:w="2110" w:type="dxa"/>
            <w:shd w:val="clear" w:color="auto" w:fill="FFFF00"/>
          </w:tcPr>
          <w:p w:rsidR="003E24B5" w:rsidRDefault="003E24B5" w:rsidP="00162446">
            <w:pPr>
              <w:pStyle w:val="ListParagraph"/>
              <w:numPr>
                <w:ilvl w:val="0"/>
                <w:numId w:val="25"/>
              </w:numPr>
              <w:spacing w:before="120" w:after="120"/>
              <w:jc w:val="left"/>
              <w:rPr>
                <w:rFonts w:ascii="Calibri" w:hAnsi="Calibri"/>
                <w:szCs w:val="20"/>
              </w:rPr>
            </w:pPr>
            <w:r>
              <w:rPr>
                <w:rFonts w:ascii="Calibri" w:hAnsi="Calibri"/>
                <w:szCs w:val="20"/>
              </w:rPr>
              <w:t>Lack of regulatory controls</w:t>
            </w:r>
          </w:p>
          <w:p w:rsidR="003E24B5" w:rsidRPr="00602FB6" w:rsidRDefault="003E24B5" w:rsidP="00162446">
            <w:pPr>
              <w:pStyle w:val="ListParagraph"/>
              <w:numPr>
                <w:ilvl w:val="0"/>
                <w:numId w:val="25"/>
              </w:numPr>
              <w:spacing w:before="120" w:after="120"/>
              <w:jc w:val="left"/>
              <w:rPr>
                <w:rFonts w:ascii="Calibri" w:hAnsi="Calibri"/>
                <w:szCs w:val="20"/>
              </w:rPr>
            </w:pPr>
            <w:r>
              <w:rPr>
                <w:rFonts w:ascii="Calibri" w:hAnsi="Calibri"/>
                <w:szCs w:val="20"/>
              </w:rPr>
              <w:t>Cost of recovery versus disposal</w:t>
            </w:r>
          </w:p>
        </w:tc>
        <w:tc>
          <w:tcPr>
            <w:tcW w:w="2000" w:type="dxa"/>
            <w:shd w:val="clear" w:color="auto" w:fill="FFFF00"/>
          </w:tcPr>
          <w:p w:rsidR="003E24B5" w:rsidRPr="00602FB6" w:rsidRDefault="003E24B5" w:rsidP="00162446">
            <w:pPr>
              <w:pStyle w:val="ListParagraph"/>
              <w:numPr>
                <w:ilvl w:val="0"/>
                <w:numId w:val="24"/>
              </w:numPr>
              <w:spacing w:before="120" w:after="120"/>
              <w:jc w:val="left"/>
              <w:rPr>
                <w:rFonts w:ascii="Calibri" w:hAnsi="Calibri"/>
                <w:szCs w:val="20"/>
              </w:rPr>
            </w:pPr>
            <w:r>
              <w:rPr>
                <w:rFonts w:ascii="Calibri" w:hAnsi="Calibri"/>
                <w:szCs w:val="20"/>
              </w:rPr>
              <w:t>Failure to recover recyclable resources leading to increase in waste to landfill</w:t>
            </w:r>
          </w:p>
        </w:tc>
        <w:tc>
          <w:tcPr>
            <w:tcW w:w="3082" w:type="dxa"/>
            <w:shd w:val="clear" w:color="auto" w:fill="FFFF00"/>
          </w:tcPr>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 xml:space="preserve">Table 1 – Material Processing and End Use Acceptability advises that recoverable packaging materials must be recovered and reprocessed where possible. Land filling of recyclable material is no acceptable. </w:t>
            </w:r>
          </w:p>
        </w:tc>
        <w:tc>
          <w:tcPr>
            <w:tcW w:w="1118"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Adequate</w:t>
            </w:r>
          </w:p>
        </w:tc>
        <w:tc>
          <w:tcPr>
            <w:tcW w:w="10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Possible</w:t>
            </w:r>
          </w:p>
        </w:tc>
        <w:tc>
          <w:tcPr>
            <w:tcW w:w="900" w:type="dxa"/>
            <w:shd w:val="clear" w:color="auto" w:fill="FFFF00"/>
          </w:tcPr>
          <w:p w:rsidR="003E24B5" w:rsidRDefault="003E24B5" w:rsidP="00E84A61">
            <w:pPr>
              <w:spacing w:before="120" w:after="120"/>
              <w:ind w:firstLine="3"/>
              <w:jc w:val="left"/>
              <w:rPr>
                <w:rFonts w:ascii="Calibri" w:hAnsi="Calibri"/>
                <w:szCs w:val="20"/>
              </w:rPr>
            </w:pPr>
            <w:r>
              <w:rPr>
                <w:rFonts w:ascii="Calibri" w:hAnsi="Calibri"/>
                <w:szCs w:val="20"/>
              </w:rPr>
              <w:t>Minor</w:t>
            </w:r>
          </w:p>
        </w:tc>
        <w:tc>
          <w:tcPr>
            <w:tcW w:w="8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 xml:space="preserve">Implementation of Standard requirement and auditing to ensure compliance. </w:t>
            </w:r>
          </w:p>
        </w:tc>
      </w:tr>
      <w:tr w:rsidR="003E24B5" w:rsidTr="008D5CBC">
        <w:trPr>
          <w:jc w:val="center"/>
        </w:trPr>
        <w:tc>
          <w:tcPr>
            <w:tcW w:w="1702"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w:t>
            </w:r>
            <w:r>
              <w:rPr>
                <w:rFonts w:ascii="Calibri" w:hAnsi="Calibri"/>
                <w:b/>
                <w:i/>
                <w:szCs w:val="20"/>
              </w:rPr>
              <w:t>(</w:t>
            </w:r>
            <w:r w:rsidRPr="001769D9">
              <w:rPr>
                <w:rFonts w:ascii="Calibri" w:hAnsi="Calibri"/>
                <w:b/>
                <w:i/>
                <w:szCs w:val="20"/>
              </w:rPr>
              <w:t>Consolidated Stakeholder Comments</w:t>
            </w:r>
            <w:r>
              <w:rPr>
                <w:rFonts w:ascii="Calibri" w:hAnsi="Calibri"/>
                <w:b/>
                <w:i/>
                <w:szCs w:val="20"/>
              </w:rPr>
              <w:t xml:space="preserve"> –response to Q2.)</w:t>
            </w:r>
          </w:p>
        </w:tc>
        <w:tc>
          <w:tcPr>
            <w:tcW w:w="1972" w:type="dxa"/>
            <w:shd w:val="clear" w:color="auto" w:fill="FFFF00"/>
          </w:tcPr>
          <w:p w:rsidR="003E24B5" w:rsidRPr="007860F3" w:rsidRDefault="003E24B5" w:rsidP="00E84A61">
            <w:pPr>
              <w:spacing w:before="120" w:after="120"/>
              <w:jc w:val="left"/>
              <w:rPr>
                <w:rFonts w:ascii="Calibri" w:hAnsi="Calibri"/>
                <w:i/>
                <w:szCs w:val="20"/>
              </w:rPr>
            </w:pPr>
            <w:r w:rsidRPr="007860F3">
              <w:rPr>
                <w:rFonts w:ascii="Calibri" w:hAnsi="Calibri"/>
                <w:i/>
                <w:szCs w:val="20"/>
              </w:rPr>
              <w:t>Failure of the DIIS to accurately define the role of recyclers results in uncontrolled practices.</w:t>
            </w:r>
          </w:p>
        </w:tc>
        <w:tc>
          <w:tcPr>
            <w:tcW w:w="2110" w:type="dxa"/>
            <w:shd w:val="clear" w:color="auto" w:fill="FFFF00"/>
          </w:tcPr>
          <w:p w:rsidR="003E24B5" w:rsidRDefault="003E24B5" w:rsidP="00162446">
            <w:pPr>
              <w:pStyle w:val="ListParagraph"/>
              <w:numPr>
                <w:ilvl w:val="0"/>
                <w:numId w:val="25"/>
              </w:numPr>
              <w:spacing w:before="120" w:after="120"/>
              <w:jc w:val="left"/>
              <w:rPr>
                <w:rFonts w:ascii="Calibri" w:hAnsi="Calibri"/>
                <w:szCs w:val="20"/>
              </w:rPr>
            </w:pPr>
            <w:r>
              <w:rPr>
                <w:rFonts w:ascii="Calibri" w:hAnsi="Calibri"/>
                <w:szCs w:val="20"/>
              </w:rPr>
              <w:t>Lack of regulatory controls/definitions</w:t>
            </w:r>
          </w:p>
          <w:p w:rsidR="003E24B5" w:rsidRPr="00AB5EC7" w:rsidRDefault="003E24B5" w:rsidP="00E84A61">
            <w:pPr>
              <w:pStyle w:val="ListParagraph"/>
              <w:spacing w:before="120" w:after="120"/>
              <w:ind w:left="360"/>
              <w:jc w:val="left"/>
              <w:rPr>
                <w:rFonts w:ascii="Calibri" w:hAnsi="Calibri"/>
                <w:szCs w:val="20"/>
              </w:rPr>
            </w:pPr>
          </w:p>
        </w:tc>
        <w:tc>
          <w:tcPr>
            <w:tcW w:w="2000" w:type="dxa"/>
            <w:shd w:val="clear" w:color="auto" w:fill="FFFF00"/>
          </w:tcPr>
          <w:p w:rsidR="003E24B5" w:rsidRPr="00AB5EC7" w:rsidRDefault="003E24B5" w:rsidP="00162446">
            <w:pPr>
              <w:pStyle w:val="ListParagraph"/>
              <w:numPr>
                <w:ilvl w:val="0"/>
                <w:numId w:val="25"/>
              </w:numPr>
              <w:spacing w:before="120" w:after="120"/>
              <w:jc w:val="left"/>
              <w:rPr>
                <w:rFonts w:ascii="Calibri" w:hAnsi="Calibri"/>
                <w:szCs w:val="20"/>
              </w:rPr>
            </w:pPr>
            <w:r>
              <w:rPr>
                <w:rFonts w:ascii="Calibri" w:hAnsi="Calibri"/>
                <w:szCs w:val="20"/>
              </w:rPr>
              <w:t>Unauthorised operators set up and carry out business in an unsafe and potentially damaging manner.</w:t>
            </w:r>
          </w:p>
        </w:tc>
        <w:tc>
          <w:tcPr>
            <w:tcW w:w="3082" w:type="dxa"/>
            <w:shd w:val="clear" w:color="auto" w:fill="FFFF00"/>
          </w:tcPr>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 xml:space="preserve">Section 7 of the DIIS Requirements for Recyclers identifies the operational requirements for recyclers. </w:t>
            </w:r>
          </w:p>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 xml:space="preserve">Section 8 – Definitions provides a definition for “Recycler” and “recycling.” </w:t>
            </w:r>
          </w:p>
        </w:tc>
        <w:tc>
          <w:tcPr>
            <w:tcW w:w="1118" w:type="dxa"/>
            <w:shd w:val="clear" w:color="auto" w:fill="FFFF00"/>
          </w:tcPr>
          <w:p w:rsidR="003E24B5" w:rsidRDefault="003E24B5" w:rsidP="00E84A61">
            <w:pPr>
              <w:spacing w:before="120" w:after="120"/>
              <w:jc w:val="left"/>
              <w:rPr>
                <w:rFonts w:ascii="Calibri" w:hAnsi="Calibri"/>
                <w:szCs w:val="20"/>
              </w:rPr>
            </w:pPr>
          </w:p>
          <w:p w:rsidR="003E24B5" w:rsidRDefault="003E24B5" w:rsidP="00E84A61">
            <w:pPr>
              <w:spacing w:before="120" w:after="120"/>
              <w:jc w:val="left"/>
              <w:rPr>
                <w:rFonts w:ascii="Calibri" w:hAnsi="Calibri"/>
                <w:szCs w:val="20"/>
              </w:rPr>
            </w:pPr>
            <w:r>
              <w:rPr>
                <w:rFonts w:ascii="Calibri" w:hAnsi="Calibri"/>
                <w:szCs w:val="20"/>
              </w:rPr>
              <w:t>Incomplete</w:t>
            </w:r>
          </w:p>
        </w:tc>
        <w:tc>
          <w:tcPr>
            <w:tcW w:w="10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Possible</w:t>
            </w:r>
          </w:p>
        </w:tc>
        <w:tc>
          <w:tcPr>
            <w:tcW w:w="900" w:type="dxa"/>
            <w:shd w:val="clear" w:color="auto" w:fill="FFFF00"/>
          </w:tcPr>
          <w:p w:rsidR="003E24B5" w:rsidRDefault="003E24B5" w:rsidP="00E84A61">
            <w:pPr>
              <w:spacing w:before="120" w:after="120"/>
              <w:ind w:firstLine="3"/>
              <w:jc w:val="left"/>
              <w:rPr>
                <w:rFonts w:ascii="Calibri" w:hAnsi="Calibri"/>
                <w:szCs w:val="20"/>
              </w:rPr>
            </w:pPr>
            <w:r>
              <w:rPr>
                <w:rFonts w:ascii="Calibri" w:hAnsi="Calibri"/>
                <w:szCs w:val="20"/>
              </w:rPr>
              <w:t>Moderate</w:t>
            </w:r>
          </w:p>
        </w:tc>
        <w:tc>
          <w:tcPr>
            <w:tcW w:w="8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 xml:space="preserve">Recovery and recycling rates need to be developed and agreed upon as per the drafting note included under Section 7.5. </w:t>
            </w:r>
          </w:p>
        </w:tc>
      </w:tr>
      <w:tr w:rsidR="003E24B5" w:rsidTr="008D5CBC">
        <w:trPr>
          <w:jc w:val="center"/>
        </w:trPr>
        <w:tc>
          <w:tcPr>
            <w:tcW w:w="1702" w:type="dxa"/>
            <w:shd w:val="clear" w:color="auto" w:fill="FFFF00"/>
          </w:tcPr>
          <w:p w:rsidR="003E24B5" w:rsidRDefault="003E24B5" w:rsidP="00E84A61">
            <w:pPr>
              <w:jc w:val="left"/>
              <w:rPr>
                <w:rFonts w:ascii="Calibri" w:hAnsi="Calibri" w:cs="Calibri"/>
                <w:b/>
                <w:bCs/>
                <w:i/>
                <w:iCs/>
                <w:color w:val="000000"/>
                <w:sz w:val="22"/>
              </w:rPr>
            </w:pPr>
            <w:r>
              <w:rPr>
                <w:rFonts w:ascii="Calibri" w:hAnsi="Calibri"/>
                <w:b/>
                <w:i/>
                <w:szCs w:val="20"/>
              </w:rPr>
              <w:lastRenderedPageBreak/>
              <w:t>(</w:t>
            </w:r>
            <w:r w:rsidRPr="001769D9">
              <w:rPr>
                <w:rFonts w:ascii="Calibri" w:hAnsi="Calibri"/>
                <w:b/>
                <w:i/>
                <w:szCs w:val="20"/>
              </w:rPr>
              <w:t>Consolidated Stakeholder Comments</w:t>
            </w:r>
            <w:r>
              <w:rPr>
                <w:rFonts w:ascii="Calibri" w:hAnsi="Calibri"/>
                <w:b/>
                <w:i/>
                <w:szCs w:val="20"/>
              </w:rPr>
              <w:t xml:space="preserve"> - response to Q2.)</w:t>
            </w:r>
          </w:p>
        </w:tc>
        <w:tc>
          <w:tcPr>
            <w:tcW w:w="1972" w:type="dxa"/>
            <w:shd w:val="clear" w:color="auto" w:fill="FFFF00"/>
          </w:tcPr>
          <w:p w:rsidR="003E24B5" w:rsidRPr="005D4BEC" w:rsidRDefault="003E24B5" w:rsidP="00E84A61">
            <w:pPr>
              <w:spacing w:before="120" w:after="120"/>
              <w:jc w:val="left"/>
              <w:rPr>
                <w:rFonts w:ascii="Calibri" w:hAnsi="Calibri"/>
                <w:i/>
                <w:szCs w:val="20"/>
              </w:rPr>
            </w:pPr>
            <w:r w:rsidRPr="006529FF">
              <w:rPr>
                <w:rFonts w:ascii="Calibri" w:hAnsi="Calibri"/>
                <w:i/>
                <w:szCs w:val="20"/>
              </w:rPr>
              <w:t>Failure of recycling facilities to document safe exposure limits for airborne toxins including lead, toner dust, silica, beryllium etc and Noise levels.</w:t>
            </w:r>
          </w:p>
        </w:tc>
        <w:tc>
          <w:tcPr>
            <w:tcW w:w="2110" w:type="dxa"/>
            <w:shd w:val="clear" w:color="auto" w:fill="FFFF00"/>
          </w:tcPr>
          <w:p w:rsidR="003E24B5" w:rsidRDefault="003E24B5" w:rsidP="00162446">
            <w:pPr>
              <w:pStyle w:val="ListParagraph"/>
              <w:numPr>
                <w:ilvl w:val="0"/>
                <w:numId w:val="31"/>
              </w:numPr>
              <w:spacing w:before="120" w:after="120"/>
              <w:jc w:val="left"/>
              <w:rPr>
                <w:rFonts w:ascii="Calibri" w:hAnsi="Calibri"/>
                <w:szCs w:val="20"/>
              </w:rPr>
            </w:pPr>
            <w:r>
              <w:rPr>
                <w:rFonts w:ascii="Calibri" w:hAnsi="Calibri"/>
                <w:szCs w:val="20"/>
              </w:rPr>
              <w:t>Lack of knowledge</w:t>
            </w:r>
          </w:p>
          <w:p w:rsidR="003E24B5" w:rsidRDefault="003E24B5" w:rsidP="00162446">
            <w:pPr>
              <w:pStyle w:val="ListParagraph"/>
              <w:numPr>
                <w:ilvl w:val="0"/>
                <w:numId w:val="31"/>
              </w:numPr>
              <w:spacing w:before="120" w:after="120"/>
              <w:jc w:val="left"/>
              <w:rPr>
                <w:rFonts w:ascii="Calibri" w:hAnsi="Calibri"/>
                <w:szCs w:val="20"/>
              </w:rPr>
            </w:pPr>
            <w:r>
              <w:rPr>
                <w:rFonts w:ascii="Calibri" w:hAnsi="Calibri"/>
                <w:szCs w:val="20"/>
              </w:rPr>
              <w:t>Lack of formal procedures in place</w:t>
            </w:r>
          </w:p>
          <w:p w:rsidR="003E24B5" w:rsidRPr="00C63714" w:rsidRDefault="003E24B5" w:rsidP="00162446">
            <w:pPr>
              <w:pStyle w:val="ListParagraph"/>
              <w:numPr>
                <w:ilvl w:val="0"/>
                <w:numId w:val="31"/>
              </w:numPr>
              <w:spacing w:before="120" w:after="120"/>
              <w:jc w:val="left"/>
              <w:rPr>
                <w:rFonts w:ascii="Calibri" w:hAnsi="Calibri"/>
                <w:szCs w:val="20"/>
              </w:rPr>
            </w:pPr>
            <w:r>
              <w:rPr>
                <w:rFonts w:ascii="Calibri" w:hAnsi="Calibri"/>
                <w:szCs w:val="20"/>
              </w:rPr>
              <w:t>Lack of regulatory requirement</w:t>
            </w:r>
          </w:p>
        </w:tc>
        <w:tc>
          <w:tcPr>
            <w:tcW w:w="2000" w:type="dxa"/>
            <w:shd w:val="clear" w:color="auto" w:fill="FFFF00"/>
          </w:tcPr>
          <w:p w:rsidR="003E24B5" w:rsidRPr="00C63714" w:rsidRDefault="003E24B5" w:rsidP="00162446">
            <w:pPr>
              <w:pStyle w:val="ListParagraph"/>
              <w:numPr>
                <w:ilvl w:val="0"/>
                <w:numId w:val="31"/>
              </w:numPr>
              <w:spacing w:before="120" w:after="120"/>
              <w:jc w:val="left"/>
              <w:rPr>
                <w:rFonts w:ascii="Calibri" w:hAnsi="Calibri"/>
                <w:szCs w:val="20"/>
              </w:rPr>
            </w:pPr>
            <w:r>
              <w:rPr>
                <w:rFonts w:ascii="Calibri" w:hAnsi="Calibri"/>
                <w:szCs w:val="20"/>
              </w:rPr>
              <w:t>Employees are unnecessarily exposed to airborne toxins</w:t>
            </w:r>
          </w:p>
        </w:tc>
        <w:tc>
          <w:tcPr>
            <w:tcW w:w="3082" w:type="dxa"/>
            <w:shd w:val="clear" w:color="auto" w:fill="FFFF00"/>
          </w:tcPr>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 xml:space="preserve">Section 7.4 – Processing and Handling dictates the equipment required to be installed at the recycling facility. This section also requires recyclers to undertake monitoring of air quality and noise levels. </w:t>
            </w:r>
          </w:p>
        </w:tc>
        <w:tc>
          <w:tcPr>
            <w:tcW w:w="1118"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Strong</w:t>
            </w:r>
          </w:p>
        </w:tc>
        <w:tc>
          <w:tcPr>
            <w:tcW w:w="10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Unlikely</w:t>
            </w:r>
          </w:p>
        </w:tc>
        <w:tc>
          <w:tcPr>
            <w:tcW w:w="900" w:type="dxa"/>
            <w:shd w:val="clear" w:color="auto" w:fill="FFFF00"/>
          </w:tcPr>
          <w:p w:rsidR="003E24B5" w:rsidRDefault="003E24B5" w:rsidP="00E84A61">
            <w:pPr>
              <w:spacing w:before="120" w:after="120"/>
              <w:ind w:firstLine="3"/>
              <w:jc w:val="left"/>
              <w:rPr>
                <w:rFonts w:ascii="Calibri" w:hAnsi="Calibri"/>
                <w:szCs w:val="20"/>
              </w:rPr>
            </w:pPr>
            <w:r>
              <w:rPr>
                <w:rFonts w:ascii="Calibri" w:hAnsi="Calibri"/>
                <w:szCs w:val="20"/>
              </w:rPr>
              <w:t>Moderate</w:t>
            </w:r>
          </w:p>
        </w:tc>
        <w:tc>
          <w:tcPr>
            <w:tcW w:w="8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Maintain existing controls</w:t>
            </w:r>
          </w:p>
        </w:tc>
      </w:tr>
      <w:tr w:rsidR="003E24B5" w:rsidTr="008D5CBC">
        <w:trPr>
          <w:jc w:val="center"/>
        </w:trPr>
        <w:tc>
          <w:tcPr>
            <w:tcW w:w="1702" w:type="dxa"/>
            <w:shd w:val="clear" w:color="auto" w:fill="FFFF00"/>
          </w:tcPr>
          <w:p w:rsidR="003E24B5" w:rsidRDefault="003E24B5" w:rsidP="00E84A61">
            <w:pPr>
              <w:jc w:val="left"/>
              <w:rPr>
                <w:rFonts w:ascii="Calibri" w:hAnsi="Calibri" w:cs="Calibri"/>
                <w:b/>
                <w:bCs/>
                <w:i/>
                <w:iCs/>
                <w:color w:val="000000"/>
                <w:sz w:val="22"/>
              </w:rPr>
            </w:pPr>
            <w:r>
              <w:rPr>
                <w:rFonts w:ascii="Calibri" w:hAnsi="Calibri"/>
                <w:b/>
                <w:i/>
                <w:szCs w:val="20"/>
              </w:rPr>
              <w:t>(</w:t>
            </w:r>
            <w:r w:rsidRPr="001769D9">
              <w:rPr>
                <w:rFonts w:ascii="Calibri" w:hAnsi="Calibri"/>
                <w:b/>
                <w:i/>
                <w:szCs w:val="20"/>
              </w:rPr>
              <w:t>Consolidated Stakeholder Comments</w:t>
            </w:r>
            <w:r>
              <w:rPr>
                <w:rFonts w:ascii="Calibri" w:hAnsi="Calibri"/>
                <w:b/>
                <w:i/>
                <w:szCs w:val="20"/>
              </w:rPr>
              <w:t xml:space="preserve"> - response to Q3.)</w:t>
            </w:r>
          </w:p>
        </w:tc>
        <w:tc>
          <w:tcPr>
            <w:tcW w:w="1972" w:type="dxa"/>
            <w:shd w:val="clear" w:color="auto" w:fill="FFFF00"/>
          </w:tcPr>
          <w:p w:rsidR="003E24B5" w:rsidRPr="005D4BEC" w:rsidRDefault="003E24B5" w:rsidP="00E84A61">
            <w:pPr>
              <w:spacing w:before="120" w:after="120"/>
              <w:jc w:val="left"/>
              <w:rPr>
                <w:rFonts w:ascii="Calibri" w:hAnsi="Calibri"/>
                <w:i/>
                <w:szCs w:val="20"/>
              </w:rPr>
            </w:pPr>
            <w:r w:rsidRPr="005D4BEC">
              <w:rPr>
                <w:rFonts w:ascii="Calibri" w:hAnsi="Calibri"/>
                <w:i/>
                <w:szCs w:val="20"/>
              </w:rPr>
              <w:t xml:space="preserve">Use of charity/ disability labour and failure to provide a safe work environment and training on appropriate work practices. </w:t>
            </w:r>
          </w:p>
          <w:p w:rsidR="003E24B5" w:rsidRPr="005D4BEC" w:rsidRDefault="003E24B5" w:rsidP="00E84A61">
            <w:pPr>
              <w:spacing w:before="120" w:after="120"/>
              <w:jc w:val="left"/>
              <w:rPr>
                <w:rFonts w:ascii="Calibri" w:hAnsi="Calibri"/>
                <w:i/>
                <w:szCs w:val="20"/>
              </w:rPr>
            </w:pPr>
          </w:p>
        </w:tc>
        <w:tc>
          <w:tcPr>
            <w:tcW w:w="2110" w:type="dxa"/>
            <w:shd w:val="clear" w:color="auto" w:fill="FFFF00"/>
          </w:tcPr>
          <w:p w:rsidR="003E24B5" w:rsidRDefault="003E24B5" w:rsidP="00162446">
            <w:pPr>
              <w:pStyle w:val="ListParagraph"/>
              <w:numPr>
                <w:ilvl w:val="0"/>
                <w:numId w:val="31"/>
              </w:numPr>
              <w:spacing w:before="120" w:after="120"/>
              <w:jc w:val="left"/>
              <w:rPr>
                <w:rFonts w:ascii="Calibri" w:hAnsi="Calibri"/>
                <w:szCs w:val="20"/>
              </w:rPr>
            </w:pPr>
            <w:r>
              <w:rPr>
                <w:rFonts w:ascii="Calibri" w:hAnsi="Calibri"/>
                <w:szCs w:val="20"/>
              </w:rPr>
              <w:t>Lack of knowledge</w:t>
            </w:r>
          </w:p>
          <w:p w:rsidR="003E24B5" w:rsidRDefault="003E24B5" w:rsidP="00162446">
            <w:pPr>
              <w:pStyle w:val="ListParagraph"/>
              <w:numPr>
                <w:ilvl w:val="0"/>
                <w:numId w:val="31"/>
              </w:numPr>
              <w:spacing w:before="120" w:after="120"/>
              <w:jc w:val="left"/>
              <w:rPr>
                <w:rFonts w:ascii="Calibri" w:hAnsi="Calibri"/>
                <w:szCs w:val="20"/>
              </w:rPr>
            </w:pPr>
            <w:r>
              <w:rPr>
                <w:rFonts w:ascii="Calibri" w:hAnsi="Calibri"/>
                <w:szCs w:val="20"/>
              </w:rPr>
              <w:t>Lack of formal procedures in place</w:t>
            </w:r>
          </w:p>
          <w:p w:rsidR="003E24B5" w:rsidRDefault="003E24B5" w:rsidP="00162446">
            <w:pPr>
              <w:pStyle w:val="ListParagraph"/>
              <w:numPr>
                <w:ilvl w:val="0"/>
                <w:numId w:val="31"/>
              </w:numPr>
              <w:spacing w:before="120" w:after="120"/>
              <w:jc w:val="left"/>
              <w:rPr>
                <w:rFonts w:ascii="Calibri" w:hAnsi="Calibri"/>
                <w:szCs w:val="20"/>
              </w:rPr>
            </w:pPr>
            <w:r>
              <w:rPr>
                <w:rFonts w:ascii="Calibri" w:hAnsi="Calibri"/>
                <w:szCs w:val="20"/>
              </w:rPr>
              <w:t>Staff ability</w:t>
            </w:r>
          </w:p>
          <w:p w:rsidR="003E24B5" w:rsidRDefault="003E24B5" w:rsidP="00E84A61">
            <w:pPr>
              <w:spacing w:before="120" w:after="120"/>
              <w:jc w:val="left"/>
              <w:rPr>
                <w:rFonts w:ascii="Calibri" w:hAnsi="Calibri"/>
                <w:szCs w:val="20"/>
              </w:rPr>
            </w:pPr>
          </w:p>
        </w:tc>
        <w:tc>
          <w:tcPr>
            <w:tcW w:w="2000" w:type="dxa"/>
            <w:shd w:val="clear" w:color="auto" w:fill="FFFF00"/>
          </w:tcPr>
          <w:p w:rsidR="003E24B5" w:rsidRPr="00C63714" w:rsidRDefault="003E24B5" w:rsidP="00162446">
            <w:pPr>
              <w:pStyle w:val="ListParagraph"/>
              <w:numPr>
                <w:ilvl w:val="0"/>
                <w:numId w:val="31"/>
              </w:numPr>
              <w:spacing w:before="120" w:after="120"/>
              <w:jc w:val="left"/>
              <w:rPr>
                <w:rFonts w:ascii="Calibri" w:hAnsi="Calibri"/>
                <w:szCs w:val="20"/>
              </w:rPr>
            </w:pPr>
            <w:r>
              <w:rPr>
                <w:rFonts w:ascii="Calibri" w:hAnsi="Calibri"/>
                <w:szCs w:val="20"/>
              </w:rPr>
              <w:t>Unsafe work practices lead to employee harm</w:t>
            </w:r>
          </w:p>
        </w:tc>
        <w:tc>
          <w:tcPr>
            <w:tcW w:w="3082" w:type="dxa"/>
            <w:shd w:val="clear" w:color="auto" w:fill="FFFF00"/>
          </w:tcPr>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Section 4.1 (b) of the DIIS requires management to conduct training and assessment of all people (regardless of ability) involved in carrying out the identified activities.</w:t>
            </w:r>
          </w:p>
        </w:tc>
        <w:tc>
          <w:tcPr>
            <w:tcW w:w="1118"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Adequate</w:t>
            </w:r>
          </w:p>
        </w:tc>
        <w:tc>
          <w:tcPr>
            <w:tcW w:w="10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Possible</w:t>
            </w:r>
          </w:p>
        </w:tc>
        <w:tc>
          <w:tcPr>
            <w:tcW w:w="900" w:type="dxa"/>
            <w:shd w:val="clear" w:color="auto" w:fill="FFFF00"/>
          </w:tcPr>
          <w:p w:rsidR="003E24B5" w:rsidRDefault="003E24B5" w:rsidP="00E84A61">
            <w:pPr>
              <w:spacing w:before="120" w:after="120"/>
              <w:ind w:firstLine="3"/>
              <w:jc w:val="left"/>
              <w:rPr>
                <w:rFonts w:ascii="Calibri" w:hAnsi="Calibri"/>
                <w:szCs w:val="20"/>
              </w:rPr>
            </w:pPr>
            <w:r>
              <w:rPr>
                <w:rFonts w:ascii="Calibri" w:hAnsi="Calibri"/>
                <w:szCs w:val="20"/>
              </w:rPr>
              <w:t>Moderate</w:t>
            </w:r>
          </w:p>
        </w:tc>
        <w:tc>
          <w:tcPr>
            <w:tcW w:w="8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Implementation of auditing regime</w:t>
            </w:r>
          </w:p>
        </w:tc>
      </w:tr>
      <w:tr w:rsidR="003E24B5" w:rsidTr="008D5CBC">
        <w:trPr>
          <w:jc w:val="center"/>
        </w:trPr>
        <w:tc>
          <w:tcPr>
            <w:tcW w:w="1702" w:type="dxa"/>
            <w:shd w:val="clear" w:color="auto" w:fill="FFFF00"/>
          </w:tcPr>
          <w:p w:rsidR="003E24B5" w:rsidRDefault="003E24B5" w:rsidP="00E84A61">
            <w:pPr>
              <w:spacing w:before="120" w:after="120"/>
              <w:jc w:val="left"/>
              <w:rPr>
                <w:rFonts w:ascii="Calibri" w:hAnsi="Calibri"/>
                <w:szCs w:val="20"/>
              </w:rPr>
            </w:pPr>
            <w:r>
              <w:rPr>
                <w:rFonts w:ascii="Calibri" w:hAnsi="Calibri"/>
                <w:b/>
                <w:i/>
                <w:szCs w:val="20"/>
              </w:rPr>
              <w:t>(</w:t>
            </w:r>
            <w:r w:rsidRPr="001769D9">
              <w:rPr>
                <w:rFonts w:ascii="Calibri" w:hAnsi="Calibri"/>
                <w:b/>
                <w:i/>
                <w:szCs w:val="20"/>
              </w:rPr>
              <w:t>Consolidated Stakeholder Comments</w:t>
            </w:r>
            <w:r>
              <w:rPr>
                <w:rFonts w:ascii="Calibri" w:hAnsi="Calibri"/>
                <w:b/>
                <w:i/>
                <w:szCs w:val="20"/>
              </w:rPr>
              <w:t xml:space="preserve"> –response to Q4.)</w:t>
            </w:r>
          </w:p>
        </w:tc>
        <w:tc>
          <w:tcPr>
            <w:tcW w:w="1972" w:type="dxa"/>
            <w:shd w:val="clear" w:color="auto" w:fill="FFFF00"/>
          </w:tcPr>
          <w:p w:rsidR="003E24B5" w:rsidRPr="007860F3" w:rsidRDefault="003E24B5" w:rsidP="00E84A61">
            <w:pPr>
              <w:spacing w:before="120" w:after="120"/>
              <w:jc w:val="left"/>
              <w:rPr>
                <w:rFonts w:ascii="Calibri" w:hAnsi="Calibri"/>
                <w:i/>
                <w:szCs w:val="20"/>
              </w:rPr>
            </w:pPr>
            <w:r w:rsidRPr="007860F3">
              <w:rPr>
                <w:rFonts w:ascii="Calibri" w:hAnsi="Calibri"/>
                <w:i/>
                <w:szCs w:val="20"/>
              </w:rPr>
              <w:t>Lack of encouragement for job creation/industry establishment in local areas for local waste treatment ( esp. in rural areas.)</w:t>
            </w:r>
            <w:r>
              <w:rPr>
                <w:rFonts w:ascii="Calibri" w:hAnsi="Calibri"/>
                <w:i/>
                <w:szCs w:val="20"/>
              </w:rPr>
              <w:t xml:space="preserve"> </w:t>
            </w:r>
          </w:p>
        </w:tc>
        <w:tc>
          <w:tcPr>
            <w:tcW w:w="2110" w:type="dxa"/>
            <w:shd w:val="clear" w:color="auto" w:fill="FFFF00"/>
          </w:tcPr>
          <w:p w:rsidR="003E24B5" w:rsidRDefault="003E24B5" w:rsidP="00162446">
            <w:pPr>
              <w:pStyle w:val="ListParagraph"/>
              <w:numPr>
                <w:ilvl w:val="0"/>
                <w:numId w:val="26"/>
              </w:numPr>
              <w:spacing w:before="120" w:after="120"/>
              <w:jc w:val="left"/>
              <w:rPr>
                <w:rFonts w:ascii="Calibri" w:hAnsi="Calibri"/>
                <w:szCs w:val="20"/>
              </w:rPr>
            </w:pPr>
            <w:r>
              <w:rPr>
                <w:rFonts w:ascii="Calibri" w:hAnsi="Calibri"/>
                <w:szCs w:val="20"/>
              </w:rPr>
              <w:t xml:space="preserve">Lack of government support </w:t>
            </w:r>
          </w:p>
          <w:p w:rsidR="003E24B5" w:rsidRPr="00AB5EC7" w:rsidRDefault="003E24B5" w:rsidP="00162446">
            <w:pPr>
              <w:pStyle w:val="ListParagraph"/>
              <w:numPr>
                <w:ilvl w:val="0"/>
                <w:numId w:val="26"/>
              </w:numPr>
              <w:spacing w:before="120" w:after="120"/>
              <w:jc w:val="left"/>
              <w:rPr>
                <w:rFonts w:ascii="Calibri" w:hAnsi="Calibri"/>
                <w:szCs w:val="20"/>
              </w:rPr>
            </w:pPr>
            <w:r>
              <w:rPr>
                <w:rFonts w:ascii="Calibri" w:hAnsi="Calibri"/>
                <w:szCs w:val="20"/>
              </w:rPr>
              <w:t>Ineffective funding structure to encourage new players into the market</w:t>
            </w:r>
          </w:p>
        </w:tc>
        <w:tc>
          <w:tcPr>
            <w:tcW w:w="2000" w:type="dxa"/>
            <w:shd w:val="clear" w:color="auto" w:fill="FFFF00"/>
          </w:tcPr>
          <w:p w:rsidR="003E24B5" w:rsidRPr="00AB5EC7" w:rsidRDefault="003E24B5" w:rsidP="00162446">
            <w:pPr>
              <w:pStyle w:val="ListParagraph"/>
              <w:numPr>
                <w:ilvl w:val="0"/>
                <w:numId w:val="26"/>
              </w:numPr>
              <w:spacing w:before="120" w:after="120"/>
              <w:jc w:val="left"/>
              <w:rPr>
                <w:rFonts w:ascii="Calibri" w:hAnsi="Calibri"/>
                <w:szCs w:val="20"/>
              </w:rPr>
            </w:pPr>
            <w:r>
              <w:rPr>
                <w:rFonts w:ascii="Calibri" w:hAnsi="Calibri"/>
                <w:szCs w:val="20"/>
              </w:rPr>
              <w:t xml:space="preserve">Lack of facilities to cope with demand leads to below optimum disposal practices. </w:t>
            </w:r>
          </w:p>
        </w:tc>
        <w:tc>
          <w:tcPr>
            <w:tcW w:w="3082" w:type="dxa"/>
            <w:shd w:val="clear" w:color="auto" w:fill="FFFF00"/>
          </w:tcPr>
          <w:p w:rsidR="003E24B5" w:rsidRDefault="003E24B5" w:rsidP="00E84A61">
            <w:pPr>
              <w:autoSpaceDE w:val="0"/>
              <w:autoSpaceDN w:val="0"/>
              <w:adjustRightInd w:val="0"/>
              <w:spacing w:before="120" w:after="120"/>
              <w:jc w:val="left"/>
              <w:rPr>
                <w:rFonts w:ascii="Calibri" w:hAnsi="Calibri"/>
                <w:szCs w:val="20"/>
              </w:rPr>
            </w:pPr>
          </w:p>
        </w:tc>
        <w:tc>
          <w:tcPr>
            <w:tcW w:w="1118"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None in place</w:t>
            </w:r>
          </w:p>
        </w:tc>
        <w:tc>
          <w:tcPr>
            <w:tcW w:w="10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Likely</w:t>
            </w:r>
          </w:p>
        </w:tc>
        <w:tc>
          <w:tcPr>
            <w:tcW w:w="900" w:type="dxa"/>
            <w:shd w:val="clear" w:color="auto" w:fill="FFFF00"/>
          </w:tcPr>
          <w:p w:rsidR="003E24B5" w:rsidRDefault="003E24B5" w:rsidP="00E84A61">
            <w:pPr>
              <w:spacing w:before="120" w:after="120"/>
              <w:ind w:firstLine="3"/>
              <w:jc w:val="left"/>
              <w:rPr>
                <w:rFonts w:ascii="Calibri" w:hAnsi="Calibri"/>
                <w:szCs w:val="20"/>
              </w:rPr>
            </w:pPr>
            <w:r>
              <w:rPr>
                <w:rFonts w:ascii="Calibri" w:hAnsi="Calibri"/>
                <w:szCs w:val="20"/>
              </w:rPr>
              <w:t>Minor</w:t>
            </w:r>
          </w:p>
        </w:tc>
        <w:tc>
          <w:tcPr>
            <w:tcW w:w="8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 xml:space="preserve">Provision of government support to ensure establishment of sufficient facilities. </w:t>
            </w:r>
          </w:p>
        </w:tc>
      </w:tr>
      <w:tr w:rsidR="003E24B5" w:rsidTr="008D5CBC">
        <w:trPr>
          <w:jc w:val="center"/>
        </w:trPr>
        <w:tc>
          <w:tcPr>
            <w:tcW w:w="1702" w:type="dxa"/>
            <w:shd w:val="clear" w:color="auto" w:fill="FFFF00"/>
          </w:tcPr>
          <w:p w:rsidR="003E24B5" w:rsidRDefault="003E24B5" w:rsidP="00E84A61">
            <w:pPr>
              <w:jc w:val="left"/>
              <w:rPr>
                <w:rFonts w:ascii="Calibri" w:hAnsi="Calibri" w:cs="Calibri"/>
                <w:b/>
                <w:bCs/>
                <w:i/>
                <w:iCs/>
                <w:color w:val="000000"/>
                <w:sz w:val="22"/>
              </w:rPr>
            </w:pPr>
            <w:r>
              <w:rPr>
                <w:rFonts w:ascii="Calibri" w:hAnsi="Calibri"/>
                <w:b/>
                <w:i/>
                <w:szCs w:val="20"/>
              </w:rPr>
              <w:lastRenderedPageBreak/>
              <w:t>(</w:t>
            </w:r>
            <w:r w:rsidRPr="001769D9">
              <w:rPr>
                <w:rFonts w:ascii="Calibri" w:hAnsi="Calibri"/>
                <w:b/>
                <w:i/>
                <w:szCs w:val="20"/>
              </w:rPr>
              <w:t>Consolidated Stakeholder Comments</w:t>
            </w:r>
            <w:r>
              <w:rPr>
                <w:rFonts w:ascii="Calibri" w:hAnsi="Calibri"/>
                <w:b/>
                <w:i/>
                <w:szCs w:val="20"/>
              </w:rPr>
              <w:t xml:space="preserve"> - feedback to Q4.)</w:t>
            </w:r>
          </w:p>
        </w:tc>
        <w:tc>
          <w:tcPr>
            <w:tcW w:w="1972" w:type="dxa"/>
            <w:shd w:val="clear" w:color="auto" w:fill="FFFF00"/>
          </w:tcPr>
          <w:p w:rsidR="003E24B5" w:rsidRDefault="003E24B5" w:rsidP="00E84A61">
            <w:pPr>
              <w:spacing w:before="120" w:after="120"/>
              <w:jc w:val="left"/>
              <w:rPr>
                <w:rFonts w:ascii="Calibri" w:hAnsi="Calibri"/>
                <w:i/>
                <w:szCs w:val="20"/>
              </w:rPr>
            </w:pPr>
            <w:r w:rsidRPr="0080636C">
              <w:rPr>
                <w:rFonts w:ascii="Calibri" w:hAnsi="Calibri"/>
                <w:i/>
                <w:szCs w:val="20"/>
              </w:rPr>
              <w:t>Failure to accredit sufficient number of operators/</w:t>
            </w:r>
            <w:r>
              <w:rPr>
                <w:rFonts w:ascii="Calibri" w:hAnsi="Calibri"/>
                <w:i/>
                <w:szCs w:val="20"/>
              </w:rPr>
              <w:t xml:space="preserve"> </w:t>
            </w:r>
            <w:r w:rsidRPr="0080636C">
              <w:rPr>
                <w:rFonts w:ascii="Calibri" w:hAnsi="Calibri"/>
                <w:i/>
                <w:szCs w:val="20"/>
              </w:rPr>
              <w:t>locations to meet demands</w:t>
            </w:r>
            <w:r>
              <w:rPr>
                <w:rFonts w:ascii="Calibri" w:hAnsi="Calibri"/>
                <w:i/>
                <w:szCs w:val="20"/>
              </w:rPr>
              <w:t xml:space="preserve"> leads to disposal at inappropriate facilities</w:t>
            </w:r>
          </w:p>
        </w:tc>
        <w:tc>
          <w:tcPr>
            <w:tcW w:w="2110" w:type="dxa"/>
            <w:shd w:val="clear" w:color="auto" w:fill="FFFF00"/>
          </w:tcPr>
          <w:p w:rsidR="003E24B5" w:rsidRDefault="003E24B5" w:rsidP="00162446">
            <w:pPr>
              <w:pStyle w:val="ListParagraph"/>
              <w:numPr>
                <w:ilvl w:val="0"/>
                <w:numId w:val="26"/>
              </w:numPr>
              <w:spacing w:before="120" w:after="120"/>
              <w:jc w:val="left"/>
              <w:rPr>
                <w:rFonts w:ascii="Calibri" w:hAnsi="Calibri"/>
                <w:szCs w:val="20"/>
              </w:rPr>
            </w:pPr>
            <w:r>
              <w:rPr>
                <w:rFonts w:ascii="Calibri" w:hAnsi="Calibri"/>
                <w:szCs w:val="20"/>
              </w:rPr>
              <w:t xml:space="preserve">Lack of government support </w:t>
            </w:r>
          </w:p>
          <w:p w:rsidR="003E24B5" w:rsidRPr="00AB5EC7" w:rsidRDefault="003E24B5" w:rsidP="00162446">
            <w:pPr>
              <w:pStyle w:val="ListParagraph"/>
              <w:numPr>
                <w:ilvl w:val="0"/>
                <w:numId w:val="26"/>
              </w:numPr>
              <w:spacing w:before="120" w:after="120"/>
              <w:jc w:val="left"/>
              <w:rPr>
                <w:rFonts w:ascii="Calibri" w:hAnsi="Calibri"/>
                <w:szCs w:val="20"/>
              </w:rPr>
            </w:pPr>
            <w:r>
              <w:rPr>
                <w:rFonts w:ascii="Calibri" w:hAnsi="Calibri"/>
                <w:szCs w:val="20"/>
              </w:rPr>
              <w:t>Ineffective funding structure to encourage new players into the market</w:t>
            </w:r>
          </w:p>
        </w:tc>
        <w:tc>
          <w:tcPr>
            <w:tcW w:w="2000" w:type="dxa"/>
            <w:shd w:val="clear" w:color="auto" w:fill="FFFF00"/>
          </w:tcPr>
          <w:p w:rsidR="003E24B5" w:rsidRPr="00AB5EC7" w:rsidRDefault="003E24B5" w:rsidP="00162446">
            <w:pPr>
              <w:pStyle w:val="ListParagraph"/>
              <w:numPr>
                <w:ilvl w:val="0"/>
                <w:numId w:val="26"/>
              </w:numPr>
              <w:spacing w:before="120" w:after="120"/>
              <w:jc w:val="left"/>
              <w:rPr>
                <w:rFonts w:ascii="Calibri" w:hAnsi="Calibri"/>
                <w:szCs w:val="20"/>
              </w:rPr>
            </w:pPr>
            <w:r>
              <w:rPr>
                <w:rFonts w:ascii="Calibri" w:hAnsi="Calibri"/>
                <w:szCs w:val="20"/>
              </w:rPr>
              <w:t xml:space="preserve">Lack of facilities to cope with demand leads to below optimum disposal practices. </w:t>
            </w:r>
          </w:p>
        </w:tc>
        <w:tc>
          <w:tcPr>
            <w:tcW w:w="3082" w:type="dxa"/>
            <w:shd w:val="clear" w:color="auto" w:fill="FFFF00"/>
          </w:tcPr>
          <w:p w:rsidR="003E24B5" w:rsidRDefault="003E24B5" w:rsidP="00E84A61">
            <w:pPr>
              <w:autoSpaceDE w:val="0"/>
              <w:autoSpaceDN w:val="0"/>
              <w:adjustRightInd w:val="0"/>
              <w:spacing w:before="120" w:after="120"/>
              <w:jc w:val="left"/>
              <w:rPr>
                <w:rFonts w:ascii="Calibri" w:hAnsi="Calibri"/>
                <w:szCs w:val="20"/>
              </w:rPr>
            </w:pPr>
          </w:p>
        </w:tc>
        <w:tc>
          <w:tcPr>
            <w:tcW w:w="1118"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 xml:space="preserve">None in place </w:t>
            </w:r>
          </w:p>
        </w:tc>
        <w:tc>
          <w:tcPr>
            <w:tcW w:w="10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Likely</w:t>
            </w:r>
          </w:p>
        </w:tc>
        <w:tc>
          <w:tcPr>
            <w:tcW w:w="900" w:type="dxa"/>
            <w:shd w:val="clear" w:color="auto" w:fill="FFFF00"/>
          </w:tcPr>
          <w:p w:rsidR="003E24B5" w:rsidRDefault="003E24B5" w:rsidP="00E84A61">
            <w:pPr>
              <w:spacing w:before="120" w:after="120"/>
              <w:ind w:firstLine="3"/>
              <w:jc w:val="left"/>
              <w:rPr>
                <w:rFonts w:ascii="Calibri" w:hAnsi="Calibri"/>
                <w:szCs w:val="20"/>
              </w:rPr>
            </w:pPr>
            <w:r>
              <w:rPr>
                <w:rFonts w:ascii="Calibri" w:hAnsi="Calibri"/>
                <w:szCs w:val="20"/>
              </w:rPr>
              <w:t>Minor</w:t>
            </w:r>
          </w:p>
        </w:tc>
        <w:tc>
          <w:tcPr>
            <w:tcW w:w="8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 xml:space="preserve">Establish sufficient infrastructure to meet demand. </w:t>
            </w:r>
          </w:p>
        </w:tc>
      </w:tr>
      <w:tr w:rsidR="003E24B5" w:rsidTr="008D5CBC">
        <w:trPr>
          <w:jc w:val="center"/>
        </w:trPr>
        <w:tc>
          <w:tcPr>
            <w:tcW w:w="1702" w:type="dxa"/>
            <w:shd w:val="clear" w:color="auto" w:fill="FFC000"/>
          </w:tcPr>
          <w:p w:rsidR="003E24B5" w:rsidRPr="002C5E72" w:rsidRDefault="003E24B5" w:rsidP="00E84A61">
            <w:pPr>
              <w:spacing w:before="120" w:after="120"/>
              <w:jc w:val="left"/>
              <w:rPr>
                <w:rFonts w:ascii="Calibri" w:hAnsi="Calibri"/>
                <w:b/>
                <w:i/>
                <w:szCs w:val="20"/>
              </w:rPr>
            </w:pPr>
            <w:r>
              <w:rPr>
                <w:rFonts w:ascii="Calibri" w:hAnsi="Calibri"/>
                <w:b/>
                <w:i/>
                <w:szCs w:val="20"/>
              </w:rPr>
              <w:t>(</w:t>
            </w:r>
            <w:r w:rsidRPr="001769D9">
              <w:rPr>
                <w:rFonts w:ascii="Calibri" w:hAnsi="Calibri"/>
                <w:b/>
                <w:i/>
                <w:szCs w:val="20"/>
              </w:rPr>
              <w:t>Consolidated Stakeholder Comments</w:t>
            </w:r>
            <w:r>
              <w:rPr>
                <w:rFonts w:ascii="Calibri" w:hAnsi="Calibri"/>
                <w:b/>
                <w:i/>
                <w:szCs w:val="20"/>
              </w:rPr>
              <w:t xml:space="preserve"> -response to Q5.)</w:t>
            </w:r>
            <w:r w:rsidRPr="002C5E72">
              <w:rPr>
                <w:rFonts w:ascii="Calibri" w:hAnsi="Calibri"/>
                <w:b/>
                <w:i/>
                <w:szCs w:val="20"/>
              </w:rPr>
              <w:t xml:space="preserve"> </w:t>
            </w:r>
          </w:p>
        </w:tc>
        <w:tc>
          <w:tcPr>
            <w:tcW w:w="1972" w:type="dxa"/>
            <w:shd w:val="clear" w:color="auto" w:fill="FFC000"/>
          </w:tcPr>
          <w:p w:rsidR="003E24B5" w:rsidRPr="005D4BEC" w:rsidRDefault="003E24B5" w:rsidP="00E84A61">
            <w:pPr>
              <w:spacing w:before="120" w:after="120"/>
              <w:jc w:val="left"/>
              <w:rPr>
                <w:rFonts w:ascii="Calibri" w:hAnsi="Calibri"/>
                <w:i/>
                <w:szCs w:val="20"/>
              </w:rPr>
            </w:pPr>
            <w:r w:rsidRPr="002C5E72">
              <w:rPr>
                <w:rFonts w:ascii="Calibri" w:hAnsi="Calibri"/>
                <w:i/>
                <w:szCs w:val="20"/>
              </w:rPr>
              <w:t>Failure</w:t>
            </w:r>
            <w:r>
              <w:rPr>
                <w:rFonts w:ascii="Calibri" w:hAnsi="Calibri"/>
                <w:i/>
                <w:szCs w:val="20"/>
              </w:rPr>
              <w:t xml:space="preserve"> of the DIIS</w:t>
            </w:r>
            <w:r w:rsidRPr="002C5E72">
              <w:rPr>
                <w:rFonts w:ascii="Calibri" w:hAnsi="Calibri"/>
                <w:i/>
                <w:szCs w:val="20"/>
              </w:rPr>
              <w:t xml:space="preserve"> to address the 9 new POPs identified under the Stockholm Convention</w:t>
            </w:r>
          </w:p>
        </w:tc>
        <w:tc>
          <w:tcPr>
            <w:tcW w:w="2110" w:type="dxa"/>
            <w:shd w:val="clear" w:color="auto" w:fill="FFC000"/>
          </w:tcPr>
          <w:p w:rsidR="003E24B5" w:rsidRPr="00AB5EC7" w:rsidRDefault="003E24B5" w:rsidP="00162446">
            <w:pPr>
              <w:pStyle w:val="ListParagraph"/>
              <w:numPr>
                <w:ilvl w:val="0"/>
                <w:numId w:val="27"/>
              </w:numPr>
              <w:spacing w:before="120" w:after="120"/>
              <w:jc w:val="left"/>
              <w:rPr>
                <w:rFonts w:ascii="Calibri" w:hAnsi="Calibri"/>
                <w:szCs w:val="20"/>
              </w:rPr>
            </w:pPr>
            <w:r>
              <w:rPr>
                <w:rFonts w:ascii="Calibri" w:hAnsi="Calibri"/>
                <w:szCs w:val="20"/>
              </w:rPr>
              <w:t xml:space="preserve">Lack of regulation/guidance from government. </w:t>
            </w:r>
          </w:p>
        </w:tc>
        <w:tc>
          <w:tcPr>
            <w:tcW w:w="2000" w:type="dxa"/>
            <w:shd w:val="clear" w:color="auto" w:fill="FFC000"/>
          </w:tcPr>
          <w:p w:rsidR="003E24B5" w:rsidRDefault="003E24B5" w:rsidP="00162446">
            <w:pPr>
              <w:pStyle w:val="ListParagraph"/>
              <w:numPr>
                <w:ilvl w:val="0"/>
                <w:numId w:val="27"/>
              </w:numPr>
              <w:spacing w:before="120" w:after="120"/>
              <w:jc w:val="left"/>
              <w:rPr>
                <w:rFonts w:ascii="Calibri" w:hAnsi="Calibri"/>
                <w:szCs w:val="20"/>
              </w:rPr>
            </w:pPr>
            <w:r>
              <w:rPr>
                <w:rFonts w:ascii="Calibri" w:hAnsi="Calibri"/>
                <w:szCs w:val="20"/>
              </w:rPr>
              <w:t>Identified POPs remain in the waste stream with potential to cause severe environmental damage</w:t>
            </w:r>
          </w:p>
          <w:p w:rsidR="003E24B5" w:rsidRPr="00AB5EC7" w:rsidRDefault="003E24B5" w:rsidP="00162446">
            <w:pPr>
              <w:pStyle w:val="ListParagraph"/>
              <w:numPr>
                <w:ilvl w:val="0"/>
                <w:numId w:val="27"/>
              </w:numPr>
              <w:spacing w:before="120" w:after="120"/>
              <w:jc w:val="left"/>
              <w:rPr>
                <w:rFonts w:ascii="Calibri" w:hAnsi="Calibri"/>
                <w:szCs w:val="20"/>
              </w:rPr>
            </w:pPr>
            <w:r>
              <w:rPr>
                <w:rFonts w:ascii="Calibri" w:hAnsi="Calibri"/>
                <w:szCs w:val="20"/>
              </w:rPr>
              <w:t xml:space="preserve">Australia fails to maintain its obligations under the </w:t>
            </w:r>
            <w:r w:rsidRPr="00D11CEF">
              <w:rPr>
                <w:rFonts w:ascii="Calibri" w:hAnsi="Calibri"/>
                <w:szCs w:val="20"/>
              </w:rPr>
              <w:t xml:space="preserve">Stockholm </w:t>
            </w:r>
            <w:r>
              <w:rPr>
                <w:rFonts w:ascii="Calibri" w:hAnsi="Calibri"/>
                <w:szCs w:val="20"/>
              </w:rPr>
              <w:t>C</w:t>
            </w:r>
            <w:r w:rsidRPr="00D11CEF">
              <w:rPr>
                <w:rFonts w:ascii="Calibri" w:hAnsi="Calibri"/>
                <w:szCs w:val="20"/>
              </w:rPr>
              <w:t>onvention</w:t>
            </w:r>
          </w:p>
        </w:tc>
        <w:tc>
          <w:tcPr>
            <w:tcW w:w="3082" w:type="dxa"/>
            <w:shd w:val="clear" w:color="auto" w:fill="FFC000"/>
          </w:tcPr>
          <w:p w:rsidR="003E24B5" w:rsidRDefault="003E24B5" w:rsidP="00501C04">
            <w:pPr>
              <w:autoSpaceDE w:val="0"/>
              <w:autoSpaceDN w:val="0"/>
              <w:adjustRightInd w:val="0"/>
              <w:spacing w:before="120" w:after="120"/>
              <w:jc w:val="left"/>
              <w:rPr>
                <w:rFonts w:ascii="Calibri" w:hAnsi="Calibri"/>
                <w:szCs w:val="20"/>
              </w:rPr>
            </w:pPr>
            <w:r>
              <w:rPr>
                <w:rFonts w:ascii="Calibri" w:hAnsi="Calibri"/>
                <w:szCs w:val="20"/>
              </w:rPr>
              <w:t xml:space="preserve">Appendix 2 of the DIIS identifies Australia’s obligations under the Stockholm Convention on Persistent Organic Pollutants. This section also refers to the nine new chemicals added to the Convention’s Annexes. </w:t>
            </w:r>
          </w:p>
        </w:tc>
        <w:tc>
          <w:tcPr>
            <w:tcW w:w="1118"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Incomplete</w:t>
            </w:r>
          </w:p>
        </w:tc>
        <w:tc>
          <w:tcPr>
            <w:tcW w:w="1000"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Likely</w:t>
            </w:r>
          </w:p>
        </w:tc>
        <w:tc>
          <w:tcPr>
            <w:tcW w:w="900" w:type="dxa"/>
            <w:shd w:val="clear" w:color="auto" w:fill="FFC000"/>
          </w:tcPr>
          <w:p w:rsidR="003E24B5" w:rsidRDefault="003E24B5" w:rsidP="00E84A61">
            <w:pPr>
              <w:spacing w:before="120" w:after="120"/>
              <w:ind w:firstLine="3"/>
              <w:jc w:val="left"/>
              <w:rPr>
                <w:rFonts w:ascii="Calibri" w:hAnsi="Calibri"/>
                <w:szCs w:val="20"/>
              </w:rPr>
            </w:pPr>
            <w:r>
              <w:rPr>
                <w:rFonts w:ascii="Calibri" w:hAnsi="Calibri"/>
                <w:szCs w:val="20"/>
              </w:rPr>
              <w:t>Moderate</w:t>
            </w:r>
          </w:p>
        </w:tc>
        <w:tc>
          <w:tcPr>
            <w:tcW w:w="800"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High</w:t>
            </w:r>
          </w:p>
        </w:tc>
        <w:tc>
          <w:tcPr>
            <w:tcW w:w="1222"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Refer to risk treatment plan</w:t>
            </w:r>
          </w:p>
          <w:p w:rsidR="003E24B5" w:rsidRDefault="003E24B5" w:rsidP="00E84A61">
            <w:pPr>
              <w:spacing w:before="120" w:after="120"/>
              <w:jc w:val="left"/>
              <w:rPr>
                <w:rFonts w:ascii="Calibri" w:hAnsi="Calibri"/>
                <w:szCs w:val="20"/>
              </w:rPr>
            </w:pPr>
            <w:r>
              <w:rPr>
                <w:rFonts w:ascii="Calibri" w:hAnsi="Calibri"/>
                <w:szCs w:val="20"/>
              </w:rPr>
              <w:t>O</w:t>
            </w:r>
            <w:r w:rsidRPr="00501C04">
              <w:rPr>
                <w:rFonts w:ascii="Calibri" w:hAnsi="Calibri"/>
                <w:szCs w:val="20"/>
              </w:rPr>
              <w:t>f the nine new POPs, the ones with implications for recycling are the BFRs</w:t>
            </w:r>
            <w:r>
              <w:rPr>
                <w:rFonts w:ascii="Calibri" w:hAnsi="Calibri"/>
                <w:szCs w:val="20"/>
              </w:rPr>
              <w:t xml:space="preserve">. </w:t>
            </w:r>
            <w:r w:rsidRPr="00501C04">
              <w:rPr>
                <w:rFonts w:ascii="Calibri" w:hAnsi="Calibri"/>
                <w:szCs w:val="20"/>
              </w:rPr>
              <w:t xml:space="preserve">The other chemicals aren’t particularly relevant in the context of plastic recycling - </w:t>
            </w:r>
            <w:r w:rsidRPr="00501C04">
              <w:rPr>
                <w:rFonts w:ascii="Calibri" w:hAnsi="Calibri"/>
                <w:szCs w:val="20"/>
              </w:rPr>
              <w:lastRenderedPageBreak/>
              <w:t>Appendix 2 could be improved to explain this.</w:t>
            </w:r>
          </w:p>
        </w:tc>
      </w:tr>
      <w:tr w:rsidR="003E24B5" w:rsidTr="008D5CBC">
        <w:trPr>
          <w:jc w:val="center"/>
        </w:trPr>
        <w:tc>
          <w:tcPr>
            <w:tcW w:w="1702" w:type="dxa"/>
            <w:shd w:val="clear" w:color="auto" w:fill="FFFF00"/>
          </w:tcPr>
          <w:p w:rsidR="003E24B5" w:rsidRDefault="003E24B5" w:rsidP="00E84A61">
            <w:pPr>
              <w:jc w:val="left"/>
              <w:rPr>
                <w:rFonts w:ascii="Calibri" w:hAnsi="Calibri" w:cs="Calibri"/>
                <w:b/>
                <w:bCs/>
                <w:i/>
                <w:iCs/>
                <w:color w:val="000000"/>
                <w:sz w:val="22"/>
              </w:rPr>
            </w:pPr>
            <w:r>
              <w:rPr>
                <w:rFonts w:ascii="Calibri" w:hAnsi="Calibri"/>
                <w:b/>
                <w:i/>
                <w:szCs w:val="20"/>
              </w:rPr>
              <w:lastRenderedPageBreak/>
              <w:t>(</w:t>
            </w:r>
            <w:r w:rsidRPr="001769D9">
              <w:rPr>
                <w:rFonts w:ascii="Calibri" w:hAnsi="Calibri"/>
                <w:b/>
                <w:i/>
                <w:szCs w:val="20"/>
              </w:rPr>
              <w:t>Consolidated Stakeholder Comments</w:t>
            </w:r>
            <w:r>
              <w:rPr>
                <w:rFonts w:ascii="Calibri" w:hAnsi="Calibri"/>
                <w:b/>
                <w:i/>
                <w:szCs w:val="20"/>
              </w:rPr>
              <w:t xml:space="preserve"> - Feedback to Q5.)</w:t>
            </w:r>
          </w:p>
        </w:tc>
        <w:tc>
          <w:tcPr>
            <w:tcW w:w="1972" w:type="dxa"/>
            <w:shd w:val="clear" w:color="auto" w:fill="FFFF00"/>
          </w:tcPr>
          <w:p w:rsidR="003E24B5" w:rsidRPr="005D4BEC" w:rsidRDefault="003E24B5" w:rsidP="00E84A61">
            <w:pPr>
              <w:spacing w:before="120" w:after="120"/>
              <w:jc w:val="left"/>
              <w:rPr>
                <w:rFonts w:ascii="Calibri" w:hAnsi="Calibri"/>
                <w:i/>
                <w:szCs w:val="20"/>
              </w:rPr>
            </w:pPr>
            <w:r w:rsidRPr="00565D1D">
              <w:rPr>
                <w:rFonts w:ascii="Calibri" w:hAnsi="Calibri"/>
                <w:i/>
                <w:szCs w:val="20"/>
              </w:rPr>
              <w:t>Failure to separate substances of concern for integrity and traceability.</w:t>
            </w:r>
          </w:p>
        </w:tc>
        <w:tc>
          <w:tcPr>
            <w:tcW w:w="2110" w:type="dxa"/>
            <w:shd w:val="clear" w:color="auto" w:fill="FFFF00"/>
          </w:tcPr>
          <w:p w:rsidR="003E24B5" w:rsidRPr="00534D01" w:rsidRDefault="003E24B5" w:rsidP="00162446">
            <w:pPr>
              <w:pStyle w:val="ListParagraph"/>
              <w:numPr>
                <w:ilvl w:val="0"/>
                <w:numId w:val="30"/>
              </w:numPr>
              <w:spacing w:before="120" w:after="120"/>
              <w:jc w:val="left"/>
              <w:rPr>
                <w:rFonts w:ascii="Calibri" w:hAnsi="Calibri"/>
                <w:szCs w:val="20"/>
              </w:rPr>
            </w:pPr>
            <w:r w:rsidRPr="00534D01">
              <w:rPr>
                <w:rFonts w:ascii="Calibri" w:hAnsi="Calibri"/>
                <w:szCs w:val="20"/>
              </w:rPr>
              <w:t>Failure to adhere to regulatory requirements</w:t>
            </w:r>
          </w:p>
          <w:p w:rsidR="003E24B5" w:rsidRDefault="003E24B5" w:rsidP="00E84A61">
            <w:pPr>
              <w:spacing w:before="120" w:after="120"/>
              <w:jc w:val="left"/>
              <w:rPr>
                <w:rFonts w:ascii="Calibri" w:hAnsi="Calibri"/>
                <w:szCs w:val="20"/>
              </w:rPr>
            </w:pPr>
          </w:p>
        </w:tc>
        <w:tc>
          <w:tcPr>
            <w:tcW w:w="2000" w:type="dxa"/>
            <w:shd w:val="clear" w:color="auto" w:fill="FFFF00"/>
          </w:tcPr>
          <w:p w:rsidR="003E24B5" w:rsidRPr="00D11CEF" w:rsidRDefault="003E24B5" w:rsidP="00162446">
            <w:pPr>
              <w:pStyle w:val="ListParagraph"/>
              <w:numPr>
                <w:ilvl w:val="0"/>
                <w:numId w:val="29"/>
              </w:numPr>
              <w:spacing w:before="120" w:after="120"/>
              <w:jc w:val="left"/>
              <w:rPr>
                <w:rFonts w:ascii="Calibri" w:hAnsi="Calibri"/>
                <w:szCs w:val="20"/>
              </w:rPr>
            </w:pPr>
            <w:r>
              <w:rPr>
                <w:rFonts w:ascii="Calibri" w:hAnsi="Calibri"/>
                <w:szCs w:val="20"/>
              </w:rPr>
              <w:t>Contaminated waste is disposed of at an unlicensed or inappropriate facility</w:t>
            </w:r>
          </w:p>
        </w:tc>
        <w:tc>
          <w:tcPr>
            <w:tcW w:w="3082" w:type="dxa"/>
            <w:shd w:val="clear" w:color="auto" w:fill="FFFF00"/>
          </w:tcPr>
          <w:p w:rsidR="003E24B5" w:rsidRDefault="003E24B5" w:rsidP="00E84A61">
            <w:pPr>
              <w:autoSpaceDE w:val="0"/>
              <w:autoSpaceDN w:val="0"/>
              <w:adjustRightInd w:val="0"/>
              <w:spacing w:before="120" w:after="120"/>
              <w:jc w:val="left"/>
              <w:rPr>
                <w:rFonts w:ascii="Calibri" w:hAnsi="Calibri"/>
                <w:szCs w:val="20"/>
                <w:lang w:val="en-US"/>
              </w:rPr>
            </w:pPr>
            <w:r>
              <w:rPr>
                <w:rFonts w:ascii="Calibri" w:hAnsi="Calibri"/>
                <w:szCs w:val="20"/>
                <w:lang w:val="en-US"/>
              </w:rPr>
              <w:t xml:space="preserve">The “Notes” to accompany Table 1 </w:t>
            </w:r>
            <w:r w:rsidRPr="00CA5AAA">
              <w:rPr>
                <w:rFonts w:ascii="Calibri" w:hAnsi="Calibri"/>
                <w:bCs/>
                <w:szCs w:val="20"/>
                <w:lang w:val="en-US"/>
              </w:rPr>
              <w:t>Material Processing and End Use Acceptability, the DIIS states that</w:t>
            </w:r>
            <w:r w:rsidRPr="00CA5AAA">
              <w:rPr>
                <w:rFonts w:ascii="Calibri" w:hAnsi="Calibri"/>
                <w:b/>
                <w:bCs/>
                <w:szCs w:val="20"/>
                <w:lang w:val="en-US"/>
              </w:rPr>
              <w:t xml:space="preserve"> </w:t>
            </w:r>
            <w:r w:rsidRPr="00CA5AAA">
              <w:rPr>
                <w:rFonts w:ascii="Calibri" w:hAnsi="Calibri"/>
                <w:szCs w:val="20"/>
                <w:lang w:val="en-US"/>
              </w:rPr>
              <w:t>Draft European standards such as Weelabex define acceptable levels of particular BFRs in end of waste plastic. In addition the Australian Government is monitoring the work of the scientific committee established under the Stockholm convention to develop guidance materials on how to tackle issues such as identification of waste articles that contain BFRs, procedures for detection and separation, issues associated with recycling and appropriate methods of destruction.</w:t>
            </w:r>
            <w:r>
              <w:rPr>
                <w:rFonts w:ascii="Calibri" w:hAnsi="Calibri"/>
                <w:szCs w:val="20"/>
                <w:lang w:val="en-US"/>
              </w:rPr>
              <w:t xml:space="preserve"> </w:t>
            </w:r>
            <w:r w:rsidRPr="00CA5AAA">
              <w:rPr>
                <w:rFonts w:ascii="Calibri" w:hAnsi="Calibri"/>
                <w:szCs w:val="20"/>
                <w:lang w:val="en-US"/>
              </w:rPr>
              <w:t xml:space="preserve"> Industry‘s intention is that as soon as commercially viable separation methods are available and further guidance materials are available these will be adopted either in the interim industry standard or in the </w:t>
            </w:r>
            <w:r w:rsidRPr="00CA5AAA">
              <w:rPr>
                <w:rFonts w:ascii="Calibri" w:hAnsi="Calibri"/>
                <w:szCs w:val="20"/>
                <w:lang w:val="en-US"/>
              </w:rPr>
              <w:lastRenderedPageBreak/>
              <w:t>broader Australian Standard under development.</w:t>
            </w:r>
            <w:r>
              <w:rPr>
                <w:rFonts w:ascii="Calibri" w:hAnsi="Calibri"/>
                <w:szCs w:val="20"/>
                <w:lang w:val="en-US"/>
              </w:rPr>
              <w:t xml:space="preserve"> </w:t>
            </w:r>
          </w:p>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lang w:val="en-US"/>
              </w:rPr>
              <w:t xml:space="preserve">Section 7.4 also requires “Substances of Concern” to be kept separate to ensure integrity and traceability of the material stream. </w:t>
            </w:r>
          </w:p>
        </w:tc>
        <w:tc>
          <w:tcPr>
            <w:tcW w:w="1118" w:type="dxa"/>
            <w:shd w:val="clear" w:color="auto" w:fill="FFFF00"/>
          </w:tcPr>
          <w:p w:rsidR="003E24B5" w:rsidRDefault="003E24B5" w:rsidP="00E84A61">
            <w:pPr>
              <w:spacing w:before="120" w:after="120"/>
              <w:jc w:val="left"/>
              <w:rPr>
                <w:rFonts w:ascii="Calibri" w:hAnsi="Calibri"/>
                <w:szCs w:val="20"/>
              </w:rPr>
            </w:pPr>
          </w:p>
          <w:p w:rsidR="003E24B5" w:rsidRDefault="003E24B5" w:rsidP="00E84A61">
            <w:pPr>
              <w:spacing w:before="120" w:after="120"/>
              <w:jc w:val="left"/>
              <w:rPr>
                <w:rFonts w:ascii="Calibri" w:hAnsi="Calibri"/>
                <w:szCs w:val="20"/>
              </w:rPr>
            </w:pPr>
            <w:r>
              <w:rPr>
                <w:rFonts w:ascii="Calibri" w:hAnsi="Calibri"/>
                <w:szCs w:val="20"/>
              </w:rPr>
              <w:t>Incomplete</w:t>
            </w:r>
          </w:p>
        </w:tc>
        <w:tc>
          <w:tcPr>
            <w:tcW w:w="1000" w:type="dxa"/>
            <w:shd w:val="clear" w:color="auto" w:fill="FFFF00"/>
          </w:tcPr>
          <w:p w:rsidR="003E24B5" w:rsidRDefault="003E24B5" w:rsidP="00E84A61">
            <w:pPr>
              <w:spacing w:before="120" w:after="120"/>
              <w:jc w:val="left"/>
              <w:rPr>
                <w:rFonts w:ascii="Calibri" w:hAnsi="Calibri"/>
                <w:szCs w:val="20"/>
              </w:rPr>
            </w:pPr>
          </w:p>
          <w:p w:rsidR="003E24B5" w:rsidRDefault="003E24B5" w:rsidP="00E84A61">
            <w:pPr>
              <w:spacing w:before="120" w:after="120"/>
              <w:jc w:val="left"/>
              <w:rPr>
                <w:rFonts w:ascii="Calibri" w:hAnsi="Calibri"/>
                <w:szCs w:val="20"/>
              </w:rPr>
            </w:pPr>
            <w:r>
              <w:rPr>
                <w:rFonts w:ascii="Calibri" w:hAnsi="Calibri"/>
                <w:szCs w:val="20"/>
              </w:rPr>
              <w:t>Possible</w:t>
            </w:r>
          </w:p>
        </w:tc>
        <w:tc>
          <w:tcPr>
            <w:tcW w:w="900" w:type="dxa"/>
            <w:shd w:val="clear" w:color="auto" w:fill="FFFF00"/>
          </w:tcPr>
          <w:p w:rsidR="003E24B5" w:rsidRDefault="003E24B5" w:rsidP="00E84A61">
            <w:pPr>
              <w:spacing w:before="120" w:after="120"/>
              <w:ind w:firstLine="3"/>
              <w:jc w:val="left"/>
              <w:rPr>
                <w:rFonts w:ascii="Calibri" w:hAnsi="Calibri"/>
                <w:szCs w:val="20"/>
              </w:rPr>
            </w:pPr>
          </w:p>
          <w:p w:rsidR="003E24B5" w:rsidRDefault="003E24B5" w:rsidP="00E84A61">
            <w:pPr>
              <w:spacing w:before="120" w:after="120"/>
              <w:ind w:firstLine="3"/>
              <w:jc w:val="left"/>
              <w:rPr>
                <w:rFonts w:ascii="Calibri" w:hAnsi="Calibri"/>
                <w:szCs w:val="20"/>
              </w:rPr>
            </w:pPr>
            <w:r>
              <w:rPr>
                <w:rFonts w:ascii="Calibri" w:hAnsi="Calibri"/>
                <w:szCs w:val="20"/>
              </w:rPr>
              <w:t>Moderate</w:t>
            </w:r>
          </w:p>
        </w:tc>
        <w:tc>
          <w:tcPr>
            <w:tcW w:w="800" w:type="dxa"/>
            <w:shd w:val="clear" w:color="auto" w:fill="FFFF00"/>
          </w:tcPr>
          <w:p w:rsidR="003E24B5" w:rsidRDefault="003E24B5" w:rsidP="00E84A61">
            <w:pPr>
              <w:spacing w:before="120" w:after="120"/>
              <w:jc w:val="left"/>
              <w:rPr>
                <w:rFonts w:ascii="Calibri" w:hAnsi="Calibri"/>
                <w:szCs w:val="20"/>
              </w:rPr>
            </w:pPr>
          </w:p>
          <w:p w:rsidR="003E24B5" w:rsidRDefault="003E24B5" w:rsidP="00E84A61">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 xml:space="preserve">Development and adoption of prescriptive guidelines when </w:t>
            </w:r>
            <w:r w:rsidRPr="00CA5AAA">
              <w:rPr>
                <w:rFonts w:ascii="Calibri" w:hAnsi="Calibri"/>
                <w:szCs w:val="20"/>
                <w:lang w:val="en-US"/>
              </w:rPr>
              <w:t>commercially viable separation methods are available</w:t>
            </w:r>
            <w:r>
              <w:rPr>
                <w:rFonts w:ascii="Calibri" w:hAnsi="Calibri"/>
                <w:szCs w:val="20"/>
                <w:lang w:val="en-US"/>
              </w:rPr>
              <w:t>.</w:t>
            </w:r>
          </w:p>
        </w:tc>
      </w:tr>
      <w:tr w:rsidR="003E24B5" w:rsidTr="008D5CBC">
        <w:trPr>
          <w:jc w:val="center"/>
        </w:trPr>
        <w:tc>
          <w:tcPr>
            <w:tcW w:w="1702" w:type="dxa"/>
            <w:shd w:val="clear" w:color="auto" w:fill="FFC000"/>
          </w:tcPr>
          <w:p w:rsidR="003E24B5" w:rsidRPr="00C109AE" w:rsidRDefault="003E24B5" w:rsidP="00E84A61">
            <w:pPr>
              <w:jc w:val="left"/>
              <w:rPr>
                <w:rFonts w:ascii="Calibri" w:hAnsi="Calibri"/>
                <w:b/>
                <w:i/>
                <w:szCs w:val="20"/>
              </w:rPr>
            </w:pPr>
            <w:r w:rsidRPr="00C109AE">
              <w:rPr>
                <w:rFonts w:ascii="Calibri" w:hAnsi="Calibri"/>
                <w:b/>
                <w:i/>
                <w:szCs w:val="20"/>
              </w:rPr>
              <w:lastRenderedPageBreak/>
              <w:t>Transport Requirements</w:t>
            </w:r>
          </w:p>
          <w:p w:rsidR="003E24B5" w:rsidRPr="00C109AE" w:rsidRDefault="003E24B5" w:rsidP="00E84A61">
            <w:pPr>
              <w:jc w:val="left"/>
              <w:rPr>
                <w:rFonts w:ascii="Calibri" w:hAnsi="Calibri"/>
                <w:b/>
                <w:i/>
                <w:szCs w:val="20"/>
              </w:rPr>
            </w:pPr>
            <w:r>
              <w:rPr>
                <w:rFonts w:ascii="Calibri" w:hAnsi="Calibri"/>
                <w:b/>
                <w:i/>
                <w:szCs w:val="20"/>
              </w:rPr>
              <w:t>(</w:t>
            </w:r>
            <w:r w:rsidRPr="001769D9">
              <w:rPr>
                <w:rFonts w:ascii="Calibri" w:hAnsi="Calibri"/>
                <w:b/>
                <w:i/>
                <w:szCs w:val="20"/>
              </w:rPr>
              <w:t>Consolidated Stakeholder Comments</w:t>
            </w:r>
            <w:r>
              <w:rPr>
                <w:rFonts w:ascii="Calibri" w:hAnsi="Calibri"/>
                <w:b/>
                <w:i/>
                <w:szCs w:val="20"/>
              </w:rPr>
              <w:t xml:space="preserve"> - Additional Issues)</w:t>
            </w:r>
          </w:p>
        </w:tc>
        <w:tc>
          <w:tcPr>
            <w:tcW w:w="1972" w:type="dxa"/>
            <w:shd w:val="clear" w:color="auto" w:fill="FFC000"/>
          </w:tcPr>
          <w:p w:rsidR="003E24B5" w:rsidRPr="005D4BEC" w:rsidRDefault="003E24B5" w:rsidP="00E84A61">
            <w:pPr>
              <w:spacing w:before="120" w:after="120"/>
              <w:jc w:val="left"/>
              <w:rPr>
                <w:rFonts w:ascii="Calibri" w:hAnsi="Calibri"/>
                <w:i/>
                <w:szCs w:val="20"/>
              </w:rPr>
            </w:pPr>
            <w:r w:rsidRPr="005D4BEC">
              <w:rPr>
                <w:rFonts w:ascii="Calibri" w:hAnsi="Calibri"/>
                <w:i/>
                <w:szCs w:val="20"/>
              </w:rPr>
              <w:t>Export to non OECD countries without the appropriate permit under the Hazardous Waste Act</w:t>
            </w:r>
          </w:p>
        </w:tc>
        <w:tc>
          <w:tcPr>
            <w:tcW w:w="2110" w:type="dxa"/>
            <w:shd w:val="clear" w:color="auto" w:fill="FFC000"/>
          </w:tcPr>
          <w:p w:rsidR="003E24B5" w:rsidRPr="00534D01" w:rsidRDefault="003E24B5" w:rsidP="00162446">
            <w:pPr>
              <w:pStyle w:val="ListParagraph"/>
              <w:numPr>
                <w:ilvl w:val="0"/>
                <w:numId w:val="29"/>
              </w:numPr>
              <w:spacing w:before="120" w:after="120"/>
              <w:jc w:val="left"/>
              <w:rPr>
                <w:rFonts w:ascii="Calibri" w:hAnsi="Calibri"/>
                <w:szCs w:val="20"/>
              </w:rPr>
            </w:pPr>
            <w:r>
              <w:rPr>
                <w:rFonts w:ascii="Calibri" w:hAnsi="Calibri"/>
                <w:szCs w:val="20"/>
              </w:rPr>
              <w:t>Lack of regulation/auditing of operations</w:t>
            </w:r>
          </w:p>
        </w:tc>
        <w:tc>
          <w:tcPr>
            <w:tcW w:w="2000" w:type="dxa"/>
            <w:shd w:val="clear" w:color="auto" w:fill="FFC000"/>
          </w:tcPr>
          <w:p w:rsidR="003E24B5" w:rsidRPr="00534D01" w:rsidRDefault="003E24B5" w:rsidP="00162446">
            <w:pPr>
              <w:pStyle w:val="ListParagraph"/>
              <w:numPr>
                <w:ilvl w:val="0"/>
                <w:numId w:val="29"/>
              </w:numPr>
              <w:spacing w:before="120" w:after="120"/>
              <w:jc w:val="left"/>
              <w:rPr>
                <w:rFonts w:ascii="Calibri" w:hAnsi="Calibri"/>
                <w:szCs w:val="20"/>
              </w:rPr>
            </w:pPr>
            <w:r>
              <w:rPr>
                <w:rFonts w:ascii="Calibri" w:hAnsi="Calibri"/>
                <w:szCs w:val="20"/>
              </w:rPr>
              <w:t>International embarrassment and penalties</w:t>
            </w:r>
          </w:p>
        </w:tc>
        <w:tc>
          <w:tcPr>
            <w:tcW w:w="3082" w:type="dxa"/>
            <w:shd w:val="clear" w:color="auto" w:fill="FFC000"/>
          </w:tcPr>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 xml:space="preserve">Table 1 – Material Processing and End Use Acceptability, states “exporting to non-OECD countries for the purpose of recycling and/or disposal without the appropriate permit under the Hazardous Waste Act,” is not acceptable for specified materials. </w:t>
            </w:r>
          </w:p>
        </w:tc>
        <w:tc>
          <w:tcPr>
            <w:tcW w:w="1118"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 xml:space="preserve">Adequate </w:t>
            </w:r>
          </w:p>
        </w:tc>
        <w:tc>
          <w:tcPr>
            <w:tcW w:w="1000"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Unlikely</w:t>
            </w:r>
          </w:p>
        </w:tc>
        <w:tc>
          <w:tcPr>
            <w:tcW w:w="900" w:type="dxa"/>
            <w:shd w:val="clear" w:color="auto" w:fill="FFC000"/>
          </w:tcPr>
          <w:p w:rsidR="003E24B5" w:rsidRDefault="003E24B5" w:rsidP="00E84A61">
            <w:pPr>
              <w:spacing w:before="120" w:after="120"/>
              <w:ind w:firstLine="3"/>
              <w:jc w:val="left"/>
              <w:rPr>
                <w:rFonts w:ascii="Calibri" w:hAnsi="Calibri"/>
                <w:szCs w:val="20"/>
              </w:rPr>
            </w:pPr>
            <w:r>
              <w:rPr>
                <w:rFonts w:ascii="Calibri" w:hAnsi="Calibri"/>
                <w:szCs w:val="20"/>
              </w:rPr>
              <w:t>Major</w:t>
            </w:r>
          </w:p>
        </w:tc>
        <w:tc>
          <w:tcPr>
            <w:tcW w:w="800"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High</w:t>
            </w:r>
          </w:p>
        </w:tc>
        <w:tc>
          <w:tcPr>
            <w:tcW w:w="1222" w:type="dxa"/>
            <w:shd w:val="clear" w:color="auto" w:fill="FFC000"/>
          </w:tcPr>
          <w:p w:rsidR="003E24B5" w:rsidRDefault="003E24B5" w:rsidP="00E84A61">
            <w:pPr>
              <w:spacing w:before="120" w:after="120"/>
              <w:jc w:val="left"/>
              <w:rPr>
                <w:rFonts w:ascii="Calibri" w:hAnsi="Calibri"/>
                <w:szCs w:val="20"/>
              </w:rPr>
            </w:pPr>
            <w:r>
              <w:rPr>
                <w:rFonts w:ascii="Calibri" w:hAnsi="Calibri"/>
                <w:szCs w:val="20"/>
              </w:rPr>
              <w:t>Refer to risk treatment plan</w:t>
            </w:r>
          </w:p>
        </w:tc>
      </w:tr>
      <w:tr w:rsidR="003E24B5" w:rsidTr="008D5CBC">
        <w:trPr>
          <w:jc w:val="center"/>
        </w:trPr>
        <w:tc>
          <w:tcPr>
            <w:tcW w:w="1702" w:type="dxa"/>
            <w:shd w:val="clear" w:color="auto" w:fill="FFFF00"/>
          </w:tcPr>
          <w:p w:rsidR="003E24B5" w:rsidRDefault="003E24B5" w:rsidP="00E84A61">
            <w:pPr>
              <w:jc w:val="left"/>
              <w:rPr>
                <w:rFonts w:ascii="Calibri" w:hAnsi="Calibri" w:cs="Calibri"/>
                <w:b/>
                <w:bCs/>
                <w:i/>
                <w:iCs/>
                <w:color w:val="000000"/>
                <w:sz w:val="22"/>
              </w:rPr>
            </w:pPr>
            <w:r>
              <w:rPr>
                <w:rFonts w:ascii="Calibri" w:hAnsi="Calibri"/>
                <w:b/>
                <w:i/>
                <w:szCs w:val="20"/>
              </w:rPr>
              <w:t>(</w:t>
            </w:r>
            <w:r w:rsidRPr="001769D9">
              <w:rPr>
                <w:rFonts w:ascii="Calibri" w:hAnsi="Calibri"/>
                <w:b/>
                <w:i/>
                <w:szCs w:val="20"/>
              </w:rPr>
              <w:t>Consolidated Stakeholder Comments</w:t>
            </w:r>
            <w:r>
              <w:rPr>
                <w:rFonts w:ascii="Calibri" w:hAnsi="Calibri"/>
                <w:b/>
                <w:i/>
                <w:szCs w:val="20"/>
              </w:rPr>
              <w:t xml:space="preserve"> - response to Q2.)</w:t>
            </w:r>
          </w:p>
        </w:tc>
        <w:tc>
          <w:tcPr>
            <w:tcW w:w="1972" w:type="dxa"/>
            <w:shd w:val="clear" w:color="auto" w:fill="FFFF00"/>
          </w:tcPr>
          <w:p w:rsidR="003E24B5" w:rsidRDefault="003E24B5" w:rsidP="00E84A61">
            <w:pPr>
              <w:spacing w:before="120" w:after="120"/>
              <w:jc w:val="left"/>
              <w:rPr>
                <w:rFonts w:ascii="Calibri" w:hAnsi="Calibri"/>
                <w:i/>
                <w:szCs w:val="20"/>
              </w:rPr>
            </w:pPr>
            <w:r>
              <w:rPr>
                <w:rFonts w:ascii="Calibri" w:hAnsi="Calibri"/>
                <w:i/>
                <w:szCs w:val="20"/>
              </w:rPr>
              <w:t>Lack of baseline data for exposure to hazardous substances.</w:t>
            </w:r>
          </w:p>
        </w:tc>
        <w:tc>
          <w:tcPr>
            <w:tcW w:w="2110" w:type="dxa"/>
            <w:shd w:val="clear" w:color="auto" w:fill="FFFF00"/>
          </w:tcPr>
          <w:p w:rsidR="003E24B5" w:rsidRPr="00796ABF" w:rsidRDefault="003E24B5" w:rsidP="00162446">
            <w:pPr>
              <w:pStyle w:val="ListParagraph"/>
              <w:numPr>
                <w:ilvl w:val="0"/>
                <w:numId w:val="39"/>
              </w:numPr>
              <w:spacing w:before="120" w:after="120"/>
              <w:jc w:val="left"/>
              <w:rPr>
                <w:rFonts w:ascii="Calibri" w:hAnsi="Calibri"/>
                <w:szCs w:val="20"/>
              </w:rPr>
            </w:pPr>
            <w:r>
              <w:rPr>
                <w:rFonts w:ascii="Calibri" w:hAnsi="Calibri"/>
                <w:szCs w:val="20"/>
              </w:rPr>
              <w:t>No industry guidelines</w:t>
            </w:r>
          </w:p>
        </w:tc>
        <w:tc>
          <w:tcPr>
            <w:tcW w:w="2000" w:type="dxa"/>
            <w:shd w:val="clear" w:color="auto" w:fill="FFFF00"/>
          </w:tcPr>
          <w:p w:rsidR="003E24B5" w:rsidRPr="00796ABF" w:rsidRDefault="003E24B5" w:rsidP="00162446">
            <w:pPr>
              <w:pStyle w:val="ListParagraph"/>
              <w:numPr>
                <w:ilvl w:val="0"/>
                <w:numId w:val="39"/>
              </w:numPr>
              <w:spacing w:before="120" w:after="120"/>
              <w:jc w:val="left"/>
              <w:rPr>
                <w:rFonts w:ascii="Calibri" w:hAnsi="Calibri"/>
                <w:szCs w:val="20"/>
              </w:rPr>
            </w:pPr>
            <w:r>
              <w:rPr>
                <w:rFonts w:ascii="Calibri" w:hAnsi="Calibri"/>
                <w:szCs w:val="20"/>
              </w:rPr>
              <w:t xml:space="preserve">Failure to identify hazardous levels of toxic substances </w:t>
            </w:r>
          </w:p>
        </w:tc>
        <w:tc>
          <w:tcPr>
            <w:tcW w:w="3082" w:type="dxa"/>
            <w:shd w:val="clear" w:color="auto" w:fill="FFFF00"/>
          </w:tcPr>
          <w:p w:rsidR="003E24B5" w:rsidRDefault="003E24B5" w:rsidP="00E84A61">
            <w:pPr>
              <w:autoSpaceDE w:val="0"/>
              <w:autoSpaceDN w:val="0"/>
              <w:adjustRightInd w:val="0"/>
              <w:spacing w:before="120" w:after="120"/>
              <w:jc w:val="left"/>
              <w:rPr>
                <w:rFonts w:ascii="Calibri" w:hAnsi="Calibri"/>
                <w:szCs w:val="20"/>
              </w:rPr>
            </w:pPr>
            <w:r>
              <w:rPr>
                <w:rFonts w:ascii="Calibri" w:hAnsi="Calibri"/>
                <w:szCs w:val="20"/>
              </w:rPr>
              <w:t xml:space="preserve">Section 4.1 (d) Risk Management requires </w:t>
            </w:r>
            <w:r>
              <w:rPr>
                <w:rFonts w:ascii="Calibri" w:hAnsi="Calibri"/>
                <w:szCs w:val="20"/>
                <w:lang w:val="en-US"/>
              </w:rPr>
              <w:t>m</w:t>
            </w:r>
            <w:r w:rsidRPr="003C5935">
              <w:rPr>
                <w:rFonts w:ascii="Calibri" w:hAnsi="Calibri"/>
                <w:szCs w:val="20"/>
                <w:lang w:val="en-US"/>
              </w:rPr>
              <w:t>onitoring of worker exposure or air emissions if potential exposure above the safe exposure limits or potential for emissions to atmosphere have been identified as a potential risk.</w:t>
            </w:r>
            <w:r>
              <w:rPr>
                <w:rFonts w:ascii="Calibri" w:hAnsi="Calibri"/>
                <w:szCs w:val="20"/>
                <w:lang w:val="en-US"/>
              </w:rPr>
              <w:t xml:space="preserve"> </w:t>
            </w:r>
          </w:p>
        </w:tc>
        <w:tc>
          <w:tcPr>
            <w:tcW w:w="1118"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 xml:space="preserve">Adequate </w:t>
            </w:r>
          </w:p>
        </w:tc>
        <w:tc>
          <w:tcPr>
            <w:tcW w:w="10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Unlikely</w:t>
            </w:r>
          </w:p>
        </w:tc>
        <w:tc>
          <w:tcPr>
            <w:tcW w:w="900" w:type="dxa"/>
            <w:shd w:val="clear" w:color="auto" w:fill="FFFF00"/>
          </w:tcPr>
          <w:p w:rsidR="003E24B5" w:rsidRDefault="003E24B5" w:rsidP="00E84A61">
            <w:pPr>
              <w:spacing w:before="120" w:after="120"/>
              <w:ind w:firstLine="3"/>
              <w:jc w:val="left"/>
              <w:rPr>
                <w:rFonts w:ascii="Calibri" w:hAnsi="Calibri"/>
                <w:szCs w:val="20"/>
              </w:rPr>
            </w:pPr>
            <w:r>
              <w:rPr>
                <w:rFonts w:ascii="Calibri" w:hAnsi="Calibri"/>
                <w:szCs w:val="20"/>
              </w:rPr>
              <w:t>Moderate</w:t>
            </w:r>
          </w:p>
        </w:tc>
        <w:tc>
          <w:tcPr>
            <w:tcW w:w="800" w:type="dxa"/>
            <w:shd w:val="clear" w:color="auto" w:fill="FFFF00"/>
          </w:tcPr>
          <w:p w:rsidR="003E24B5" w:rsidRDefault="003E24B5" w:rsidP="00E84A61">
            <w:pPr>
              <w:spacing w:before="120" w:after="120"/>
              <w:jc w:val="left"/>
              <w:rPr>
                <w:rFonts w:ascii="Calibri" w:hAnsi="Calibri"/>
                <w:szCs w:val="20"/>
              </w:rPr>
            </w:pPr>
            <w:r>
              <w:rPr>
                <w:rFonts w:ascii="Calibri" w:hAnsi="Calibri"/>
                <w:szCs w:val="20"/>
              </w:rPr>
              <w:t>Medium</w:t>
            </w:r>
          </w:p>
        </w:tc>
        <w:tc>
          <w:tcPr>
            <w:tcW w:w="1222" w:type="dxa"/>
            <w:shd w:val="clear" w:color="auto" w:fill="FFFF00"/>
          </w:tcPr>
          <w:p w:rsidR="003E24B5" w:rsidRDefault="003E24B5" w:rsidP="00E84A61">
            <w:pPr>
              <w:spacing w:before="120" w:after="120"/>
              <w:jc w:val="left"/>
              <w:rPr>
                <w:rFonts w:ascii="Calibri" w:hAnsi="Calibri"/>
                <w:szCs w:val="20"/>
              </w:rPr>
            </w:pPr>
          </w:p>
        </w:tc>
      </w:tr>
    </w:tbl>
    <w:p w:rsidR="003E24B5" w:rsidRPr="00C109AE" w:rsidRDefault="003E24B5" w:rsidP="000D6A9C">
      <w:pPr>
        <w:pStyle w:val="KMHNumberheading20"/>
        <w:ind w:left="142" w:firstLine="0"/>
        <w:rPr>
          <w:b w:val="0"/>
        </w:rPr>
      </w:pPr>
    </w:p>
    <w:p w:rsidR="003E24B5" w:rsidRDefault="003E24B5" w:rsidP="000D6A9C">
      <w:pPr>
        <w:spacing w:after="120"/>
      </w:pPr>
    </w:p>
    <w:p w:rsidR="003E24B5" w:rsidRDefault="003E24B5">
      <w:pPr>
        <w:spacing w:after="0"/>
        <w:jc w:val="left"/>
        <w:sectPr w:rsidR="003E24B5" w:rsidSect="000D6A9C">
          <w:pgSz w:w="16839" w:h="11907" w:orient="landscape" w:code="9"/>
          <w:pgMar w:top="1699" w:right="850" w:bottom="1138" w:left="850" w:header="432" w:footer="432" w:gutter="0"/>
          <w:cols w:space="708"/>
          <w:docGrid w:linePitch="360"/>
        </w:sectPr>
      </w:pPr>
    </w:p>
    <w:p w:rsidR="003E24B5" w:rsidRDefault="003E24B5" w:rsidP="00F35FFC">
      <w:pPr>
        <w:pStyle w:val="KMHTitleAppendix"/>
        <w:rPr>
          <w:noProof/>
        </w:rPr>
      </w:pPr>
    </w:p>
    <w:p w:rsidR="003E24B5" w:rsidRDefault="003E24B5" w:rsidP="00F35FFC">
      <w:pPr>
        <w:pStyle w:val="KMHTitleAppendix"/>
        <w:rPr>
          <w:noProof/>
        </w:rPr>
      </w:pPr>
    </w:p>
    <w:p w:rsidR="003E24B5" w:rsidRDefault="003E24B5" w:rsidP="00F35FFC">
      <w:pPr>
        <w:pStyle w:val="KMHTitleAppendix"/>
        <w:rPr>
          <w:noProof/>
        </w:rPr>
      </w:pPr>
    </w:p>
    <w:p w:rsidR="003E24B5" w:rsidRDefault="003E24B5" w:rsidP="00F35FFC">
      <w:pPr>
        <w:pStyle w:val="KMHTitleAppendix"/>
        <w:rPr>
          <w:noProof/>
        </w:rPr>
      </w:pPr>
    </w:p>
    <w:p w:rsidR="003E24B5" w:rsidRDefault="003E24B5" w:rsidP="00F35FFC">
      <w:pPr>
        <w:pStyle w:val="KMHTitleAppendix"/>
        <w:rPr>
          <w:noProof/>
        </w:rPr>
      </w:pPr>
    </w:p>
    <w:p w:rsidR="003E24B5" w:rsidRDefault="003E24B5" w:rsidP="00F35FFC">
      <w:pPr>
        <w:pStyle w:val="KMHTitleAppendix"/>
        <w:rPr>
          <w:noProof/>
        </w:rPr>
      </w:pPr>
    </w:p>
    <w:p w:rsidR="003E24B5" w:rsidRDefault="003E24B5" w:rsidP="00F35FFC">
      <w:pPr>
        <w:pStyle w:val="KMHTitleAppendix"/>
        <w:rPr>
          <w:noProof/>
        </w:rPr>
      </w:pPr>
    </w:p>
    <w:p w:rsidR="003E24B5" w:rsidRDefault="003E24B5" w:rsidP="00F35FFC">
      <w:pPr>
        <w:pStyle w:val="KMHTitleAppendix"/>
        <w:rPr>
          <w:noProof/>
        </w:rPr>
      </w:pPr>
    </w:p>
    <w:p w:rsidR="003E24B5" w:rsidRDefault="003E24B5" w:rsidP="00F35FFC">
      <w:pPr>
        <w:pStyle w:val="KMHTitleAppendix"/>
        <w:rPr>
          <w:noProof/>
        </w:rPr>
      </w:pPr>
    </w:p>
    <w:p w:rsidR="003E24B5" w:rsidRDefault="003E24B5" w:rsidP="00F35FFC">
      <w:pPr>
        <w:pStyle w:val="KMHTitleAppendix"/>
        <w:rPr>
          <w:noProof/>
        </w:rPr>
      </w:pPr>
    </w:p>
    <w:p w:rsidR="003E24B5" w:rsidRDefault="003E24B5" w:rsidP="00F35FFC">
      <w:pPr>
        <w:pStyle w:val="KMHTitleAppendix"/>
        <w:rPr>
          <w:noProof/>
        </w:rPr>
      </w:pPr>
    </w:p>
    <w:p w:rsidR="003E24B5" w:rsidRDefault="003E24B5" w:rsidP="00F35FFC">
      <w:pPr>
        <w:pStyle w:val="KMHTitleAppendix"/>
        <w:rPr>
          <w:noProof/>
        </w:rPr>
      </w:pPr>
    </w:p>
    <w:p w:rsidR="003E24B5" w:rsidRDefault="003E24B5" w:rsidP="00F35FFC">
      <w:pPr>
        <w:pStyle w:val="KMHTitleAppendix"/>
        <w:rPr>
          <w:noProof/>
        </w:rPr>
      </w:pPr>
    </w:p>
    <w:p w:rsidR="003E24B5" w:rsidRDefault="003E24B5" w:rsidP="00F35FFC">
      <w:pPr>
        <w:pStyle w:val="KMHTitleAppendix"/>
        <w:rPr>
          <w:noProof/>
        </w:rPr>
      </w:pPr>
      <w:r>
        <w:rPr>
          <w:noProof/>
        </w:rPr>
        <w:t xml:space="preserve">Appendix E – </w:t>
      </w:r>
    </w:p>
    <w:p w:rsidR="003E24B5" w:rsidRDefault="003E24B5" w:rsidP="00F35FFC">
      <w:pPr>
        <w:pStyle w:val="KMHTitleAppendix"/>
        <w:rPr>
          <w:noProof/>
        </w:rPr>
        <w:sectPr w:rsidR="003E24B5" w:rsidSect="000426C2">
          <w:footerReference w:type="default" r:id="rId40"/>
          <w:pgSz w:w="11907" w:h="16839" w:code="9"/>
          <w:pgMar w:top="850" w:right="1138" w:bottom="850" w:left="1699" w:header="432" w:footer="432" w:gutter="0"/>
          <w:cols w:space="708"/>
          <w:docGrid w:linePitch="360"/>
        </w:sectPr>
      </w:pPr>
      <w:r>
        <w:rPr>
          <w:noProof/>
        </w:rPr>
        <w:t xml:space="preserve">Regulatory Risk Review </w:t>
      </w:r>
    </w:p>
    <w:p w:rsidR="003E24B5" w:rsidRDefault="003E24B5" w:rsidP="000426C2">
      <w:pPr>
        <w:pStyle w:val="Caption"/>
        <w:keepNext/>
      </w:pPr>
      <w:bookmarkStart w:id="116" w:name="_Toc287018311"/>
      <w:r>
        <w:lastRenderedPageBreak/>
        <w:t xml:space="preserve">Table </w:t>
      </w:r>
      <w:fldSimple w:instr=" SEQ Table \* ARABIC ">
        <w:r w:rsidR="00235045">
          <w:rPr>
            <w:noProof/>
          </w:rPr>
          <w:t>9</w:t>
        </w:r>
      </w:fldSimple>
      <w:r>
        <w:t>: Regulatory Risk Review</w:t>
      </w:r>
      <w:bookmarkEnd w:id="116"/>
    </w:p>
    <w:tbl>
      <w:tblPr>
        <w:tblW w:w="13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5"/>
        <w:gridCol w:w="1480"/>
        <w:gridCol w:w="1974"/>
        <w:gridCol w:w="1891"/>
        <w:gridCol w:w="2959"/>
        <w:gridCol w:w="1151"/>
        <w:gridCol w:w="659"/>
        <w:gridCol w:w="659"/>
        <w:gridCol w:w="575"/>
        <w:gridCol w:w="1151"/>
      </w:tblGrid>
      <w:tr w:rsidR="003E24B5" w:rsidTr="000426C2">
        <w:trPr>
          <w:trHeight w:val="173"/>
          <w:tblHeader/>
          <w:jc w:val="center"/>
        </w:trPr>
        <w:tc>
          <w:tcPr>
            <w:tcW w:w="13814" w:type="dxa"/>
            <w:gridSpan w:val="10"/>
            <w:shd w:val="solid" w:color="C0C0C0" w:fill="auto"/>
          </w:tcPr>
          <w:p w:rsidR="003E24B5" w:rsidRDefault="003E24B5" w:rsidP="000426C2">
            <w:pPr>
              <w:pStyle w:val="Header"/>
              <w:spacing w:before="40" w:after="40" w:line="276" w:lineRule="auto"/>
              <w:jc w:val="center"/>
              <w:rPr>
                <w:rFonts w:ascii="Calibri" w:hAnsi="Calibri"/>
              </w:rPr>
            </w:pPr>
            <w:r>
              <w:rPr>
                <w:rFonts w:ascii="Calibri" w:hAnsi="Calibri"/>
                <w:b/>
              </w:rPr>
              <w:t>Part A - Risk Identification and analysis</w:t>
            </w:r>
          </w:p>
        </w:tc>
      </w:tr>
      <w:tr w:rsidR="003E24B5" w:rsidTr="000426C2">
        <w:trPr>
          <w:trHeight w:val="316"/>
          <w:tblHeader/>
          <w:jc w:val="center"/>
        </w:trPr>
        <w:tc>
          <w:tcPr>
            <w:tcW w:w="1315" w:type="dxa"/>
            <w:shd w:val="solid" w:color="C0C0C0" w:fill="auto"/>
          </w:tcPr>
          <w:p w:rsidR="003E24B5" w:rsidRDefault="003E24B5" w:rsidP="000426C2">
            <w:pPr>
              <w:spacing w:before="60"/>
              <w:jc w:val="center"/>
              <w:rPr>
                <w:rFonts w:ascii="Calibri" w:hAnsi="Calibri"/>
                <w:sz w:val="16"/>
              </w:rPr>
            </w:pPr>
            <w:r>
              <w:rPr>
                <w:rFonts w:ascii="Calibri" w:hAnsi="Calibri"/>
                <w:sz w:val="16"/>
              </w:rPr>
              <w:t>1</w:t>
            </w:r>
          </w:p>
        </w:tc>
        <w:tc>
          <w:tcPr>
            <w:tcW w:w="1480" w:type="dxa"/>
            <w:shd w:val="solid" w:color="C0C0C0" w:fill="auto"/>
          </w:tcPr>
          <w:p w:rsidR="003E24B5" w:rsidRDefault="003E24B5" w:rsidP="000426C2">
            <w:pPr>
              <w:spacing w:before="60"/>
              <w:jc w:val="center"/>
              <w:rPr>
                <w:rFonts w:ascii="Calibri" w:hAnsi="Calibri"/>
                <w:sz w:val="16"/>
              </w:rPr>
            </w:pPr>
            <w:r>
              <w:rPr>
                <w:rFonts w:ascii="Calibri" w:hAnsi="Calibri"/>
                <w:sz w:val="16"/>
              </w:rPr>
              <w:t>2</w:t>
            </w:r>
          </w:p>
        </w:tc>
        <w:tc>
          <w:tcPr>
            <w:tcW w:w="1974" w:type="dxa"/>
            <w:shd w:val="solid" w:color="C0C0C0" w:fill="auto"/>
          </w:tcPr>
          <w:p w:rsidR="003E24B5" w:rsidRDefault="003E24B5" w:rsidP="000426C2">
            <w:pPr>
              <w:spacing w:before="60"/>
              <w:jc w:val="center"/>
              <w:rPr>
                <w:rFonts w:ascii="Calibri" w:hAnsi="Calibri"/>
                <w:sz w:val="16"/>
              </w:rPr>
            </w:pPr>
            <w:r>
              <w:rPr>
                <w:rFonts w:ascii="Calibri" w:hAnsi="Calibri"/>
                <w:sz w:val="16"/>
              </w:rPr>
              <w:t>3</w:t>
            </w:r>
          </w:p>
        </w:tc>
        <w:tc>
          <w:tcPr>
            <w:tcW w:w="1891" w:type="dxa"/>
            <w:shd w:val="solid" w:color="C0C0C0" w:fill="auto"/>
          </w:tcPr>
          <w:p w:rsidR="003E24B5" w:rsidRDefault="003E24B5" w:rsidP="000426C2">
            <w:pPr>
              <w:spacing w:before="60"/>
              <w:jc w:val="center"/>
              <w:rPr>
                <w:rFonts w:ascii="Calibri" w:hAnsi="Calibri"/>
                <w:sz w:val="16"/>
              </w:rPr>
            </w:pPr>
            <w:r>
              <w:rPr>
                <w:rFonts w:ascii="Calibri" w:hAnsi="Calibri"/>
                <w:sz w:val="16"/>
              </w:rPr>
              <w:t>4</w:t>
            </w:r>
          </w:p>
        </w:tc>
        <w:tc>
          <w:tcPr>
            <w:tcW w:w="2959" w:type="dxa"/>
            <w:shd w:val="solid" w:color="C0C0C0" w:fill="auto"/>
          </w:tcPr>
          <w:p w:rsidR="003E24B5" w:rsidRDefault="003E24B5" w:rsidP="000426C2">
            <w:pPr>
              <w:spacing w:before="60"/>
              <w:jc w:val="center"/>
              <w:rPr>
                <w:rFonts w:ascii="Calibri" w:hAnsi="Calibri"/>
                <w:sz w:val="16"/>
                <w:szCs w:val="16"/>
              </w:rPr>
            </w:pPr>
            <w:r>
              <w:rPr>
                <w:rFonts w:ascii="Calibri" w:hAnsi="Calibri"/>
                <w:sz w:val="16"/>
                <w:szCs w:val="16"/>
              </w:rPr>
              <w:t>5</w:t>
            </w:r>
          </w:p>
        </w:tc>
        <w:tc>
          <w:tcPr>
            <w:tcW w:w="1151" w:type="dxa"/>
            <w:shd w:val="solid" w:color="C0C0C0" w:fill="auto"/>
          </w:tcPr>
          <w:p w:rsidR="003E24B5" w:rsidRDefault="003E24B5" w:rsidP="000426C2">
            <w:pPr>
              <w:spacing w:before="60"/>
              <w:jc w:val="center"/>
              <w:rPr>
                <w:rFonts w:ascii="Calibri" w:hAnsi="Calibri"/>
                <w:sz w:val="16"/>
              </w:rPr>
            </w:pPr>
            <w:r>
              <w:rPr>
                <w:rFonts w:ascii="Calibri" w:hAnsi="Calibri"/>
                <w:sz w:val="16"/>
              </w:rPr>
              <w:t>6</w:t>
            </w:r>
          </w:p>
        </w:tc>
        <w:tc>
          <w:tcPr>
            <w:tcW w:w="659" w:type="dxa"/>
            <w:shd w:val="solid" w:color="C0C0C0" w:fill="auto"/>
          </w:tcPr>
          <w:p w:rsidR="003E24B5" w:rsidRDefault="003E24B5" w:rsidP="000426C2">
            <w:pPr>
              <w:spacing w:before="60"/>
              <w:jc w:val="center"/>
              <w:rPr>
                <w:rFonts w:ascii="Calibri" w:hAnsi="Calibri"/>
                <w:sz w:val="16"/>
              </w:rPr>
            </w:pPr>
            <w:r>
              <w:rPr>
                <w:rFonts w:ascii="Calibri" w:hAnsi="Calibri"/>
                <w:sz w:val="16"/>
              </w:rPr>
              <w:t>7</w:t>
            </w:r>
          </w:p>
        </w:tc>
        <w:tc>
          <w:tcPr>
            <w:tcW w:w="659" w:type="dxa"/>
            <w:shd w:val="solid" w:color="C0C0C0" w:fill="auto"/>
          </w:tcPr>
          <w:p w:rsidR="003E24B5" w:rsidRDefault="003E24B5" w:rsidP="000426C2">
            <w:pPr>
              <w:spacing w:before="60"/>
              <w:ind w:right="-84"/>
              <w:jc w:val="center"/>
              <w:rPr>
                <w:rFonts w:ascii="Calibri" w:hAnsi="Calibri"/>
                <w:sz w:val="16"/>
              </w:rPr>
            </w:pPr>
            <w:r>
              <w:rPr>
                <w:rFonts w:ascii="Calibri" w:hAnsi="Calibri"/>
                <w:sz w:val="16"/>
              </w:rPr>
              <w:t>8</w:t>
            </w:r>
          </w:p>
        </w:tc>
        <w:tc>
          <w:tcPr>
            <w:tcW w:w="575" w:type="dxa"/>
            <w:shd w:val="solid" w:color="C0C0C0" w:fill="auto"/>
          </w:tcPr>
          <w:p w:rsidR="003E24B5" w:rsidRDefault="003E24B5" w:rsidP="000426C2">
            <w:pPr>
              <w:spacing w:before="60"/>
              <w:jc w:val="center"/>
              <w:rPr>
                <w:rFonts w:ascii="Calibri" w:hAnsi="Calibri"/>
                <w:sz w:val="16"/>
              </w:rPr>
            </w:pPr>
            <w:r>
              <w:rPr>
                <w:rFonts w:ascii="Calibri" w:hAnsi="Calibri"/>
                <w:sz w:val="16"/>
              </w:rPr>
              <w:t>9</w:t>
            </w:r>
          </w:p>
        </w:tc>
        <w:tc>
          <w:tcPr>
            <w:tcW w:w="1151" w:type="dxa"/>
            <w:shd w:val="solid" w:color="C0C0C0" w:fill="auto"/>
          </w:tcPr>
          <w:p w:rsidR="003E24B5" w:rsidRDefault="003E24B5" w:rsidP="000426C2">
            <w:pPr>
              <w:spacing w:before="60"/>
              <w:jc w:val="center"/>
              <w:rPr>
                <w:rFonts w:ascii="Calibri" w:hAnsi="Calibri"/>
                <w:sz w:val="14"/>
              </w:rPr>
            </w:pPr>
            <w:r>
              <w:rPr>
                <w:rFonts w:ascii="Calibri" w:hAnsi="Calibri"/>
                <w:sz w:val="14"/>
              </w:rPr>
              <w:t>10</w:t>
            </w:r>
          </w:p>
        </w:tc>
      </w:tr>
      <w:tr w:rsidR="003E24B5" w:rsidTr="000426C2">
        <w:trPr>
          <w:trHeight w:val="173"/>
          <w:tblHeader/>
          <w:jc w:val="center"/>
        </w:trPr>
        <w:tc>
          <w:tcPr>
            <w:tcW w:w="1315" w:type="dxa"/>
            <w:shd w:val="solid" w:color="C0C0C0" w:fill="auto"/>
          </w:tcPr>
          <w:p w:rsidR="003E24B5" w:rsidRPr="00FC535A" w:rsidRDefault="003E24B5" w:rsidP="000426C2">
            <w:pPr>
              <w:spacing w:before="120" w:after="120"/>
              <w:jc w:val="center"/>
              <w:rPr>
                <w:rFonts w:ascii="Calibri" w:hAnsi="Calibri"/>
                <w:b/>
                <w:szCs w:val="20"/>
              </w:rPr>
            </w:pPr>
            <w:r>
              <w:rPr>
                <w:rFonts w:ascii="Calibri" w:hAnsi="Calibri"/>
                <w:b/>
                <w:szCs w:val="20"/>
              </w:rPr>
              <w:t>Risk Category</w:t>
            </w:r>
          </w:p>
        </w:tc>
        <w:tc>
          <w:tcPr>
            <w:tcW w:w="1480" w:type="dxa"/>
            <w:shd w:val="solid" w:color="C0C0C0" w:fill="auto"/>
          </w:tcPr>
          <w:p w:rsidR="003E24B5" w:rsidRPr="00FC535A" w:rsidRDefault="003E24B5" w:rsidP="000426C2">
            <w:pPr>
              <w:spacing w:before="120" w:after="120"/>
              <w:jc w:val="center"/>
              <w:rPr>
                <w:rFonts w:ascii="Calibri" w:hAnsi="Calibri"/>
                <w:b/>
                <w:sz w:val="18"/>
                <w:szCs w:val="18"/>
              </w:rPr>
            </w:pPr>
            <w:r w:rsidRPr="00FC535A">
              <w:rPr>
                <w:rFonts w:ascii="Calibri" w:hAnsi="Calibri"/>
                <w:b/>
                <w:sz w:val="18"/>
                <w:szCs w:val="18"/>
              </w:rPr>
              <w:t>Description of risk</w:t>
            </w:r>
            <w:r w:rsidRPr="00FC535A">
              <w:rPr>
                <w:rFonts w:ascii="Calibri" w:hAnsi="Calibri"/>
                <w:b/>
                <w:sz w:val="18"/>
                <w:szCs w:val="18"/>
              </w:rPr>
              <w:br/>
              <w:t>(What can happen)</w:t>
            </w:r>
          </w:p>
        </w:tc>
        <w:tc>
          <w:tcPr>
            <w:tcW w:w="1974" w:type="dxa"/>
            <w:shd w:val="solid" w:color="C0C0C0" w:fill="auto"/>
          </w:tcPr>
          <w:p w:rsidR="003E24B5" w:rsidRPr="00FC535A" w:rsidRDefault="003E24B5" w:rsidP="000426C2">
            <w:pPr>
              <w:spacing w:before="120" w:after="120"/>
              <w:jc w:val="center"/>
              <w:rPr>
                <w:rFonts w:ascii="Calibri" w:hAnsi="Calibri"/>
                <w:b/>
                <w:sz w:val="18"/>
                <w:szCs w:val="18"/>
              </w:rPr>
            </w:pPr>
            <w:r w:rsidRPr="00FC535A">
              <w:rPr>
                <w:rFonts w:ascii="Calibri" w:hAnsi="Calibri"/>
                <w:b/>
                <w:sz w:val="18"/>
                <w:szCs w:val="18"/>
              </w:rPr>
              <w:t>Potential causes/sources</w:t>
            </w:r>
            <w:r w:rsidRPr="00FC535A">
              <w:rPr>
                <w:rFonts w:ascii="Calibri" w:hAnsi="Calibri"/>
                <w:b/>
                <w:sz w:val="18"/>
                <w:szCs w:val="18"/>
              </w:rPr>
              <w:br/>
              <w:t>(of an event happening)</w:t>
            </w:r>
          </w:p>
        </w:tc>
        <w:tc>
          <w:tcPr>
            <w:tcW w:w="1891" w:type="dxa"/>
            <w:shd w:val="solid" w:color="C0C0C0" w:fill="auto"/>
          </w:tcPr>
          <w:p w:rsidR="003E24B5" w:rsidRPr="00FC535A" w:rsidRDefault="003E24B5" w:rsidP="000426C2">
            <w:pPr>
              <w:spacing w:before="120" w:after="120"/>
              <w:jc w:val="center"/>
              <w:rPr>
                <w:rFonts w:ascii="Calibri" w:hAnsi="Calibri"/>
                <w:b/>
                <w:sz w:val="18"/>
                <w:szCs w:val="18"/>
              </w:rPr>
            </w:pPr>
            <w:r w:rsidRPr="00FC535A">
              <w:rPr>
                <w:rFonts w:ascii="Calibri" w:hAnsi="Calibri"/>
                <w:b/>
                <w:sz w:val="18"/>
                <w:szCs w:val="18"/>
              </w:rPr>
              <w:t xml:space="preserve">Potential impacts </w:t>
            </w:r>
            <w:r w:rsidRPr="00FC535A">
              <w:rPr>
                <w:rFonts w:ascii="Calibri" w:hAnsi="Calibri"/>
                <w:b/>
                <w:sz w:val="18"/>
                <w:szCs w:val="18"/>
              </w:rPr>
              <w:br/>
              <w:t>(if a risk event happens)</w:t>
            </w:r>
          </w:p>
        </w:tc>
        <w:tc>
          <w:tcPr>
            <w:tcW w:w="2959" w:type="dxa"/>
            <w:shd w:val="solid" w:color="C0C0C0" w:fill="auto"/>
          </w:tcPr>
          <w:p w:rsidR="003E24B5" w:rsidRPr="00FC535A" w:rsidRDefault="003E24B5" w:rsidP="000426C2">
            <w:pPr>
              <w:spacing w:before="120" w:after="120"/>
              <w:jc w:val="center"/>
              <w:rPr>
                <w:rFonts w:ascii="Calibri" w:hAnsi="Calibri"/>
                <w:b/>
                <w:sz w:val="18"/>
                <w:szCs w:val="18"/>
              </w:rPr>
            </w:pPr>
            <w:r w:rsidRPr="00FC535A">
              <w:rPr>
                <w:rFonts w:ascii="Calibri" w:hAnsi="Calibri"/>
                <w:b/>
                <w:sz w:val="18"/>
                <w:szCs w:val="18"/>
              </w:rPr>
              <w:t>Existing controls</w:t>
            </w:r>
          </w:p>
          <w:p w:rsidR="003E24B5" w:rsidRPr="00FC535A" w:rsidRDefault="003E24B5" w:rsidP="000426C2">
            <w:pPr>
              <w:spacing w:before="120" w:after="120"/>
              <w:jc w:val="center"/>
              <w:rPr>
                <w:rFonts w:ascii="Calibri" w:hAnsi="Calibri"/>
                <w:b/>
                <w:sz w:val="18"/>
                <w:szCs w:val="18"/>
              </w:rPr>
            </w:pPr>
            <w:r w:rsidRPr="00FC535A">
              <w:rPr>
                <w:rFonts w:ascii="Calibri" w:hAnsi="Calibri"/>
                <w:b/>
                <w:sz w:val="18"/>
                <w:szCs w:val="18"/>
              </w:rPr>
              <w:t>(what is in place NOW to minimise risk)</w:t>
            </w:r>
          </w:p>
        </w:tc>
        <w:tc>
          <w:tcPr>
            <w:tcW w:w="1151" w:type="dxa"/>
            <w:shd w:val="solid" w:color="C0C0C0" w:fill="auto"/>
          </w:tcPr>
          <w:p w:rsidR="003E24B5" w:rsidRPr="00FC535A" w:rsidRDefault="003E24B5" w:rsidP="000426C2">
            <w:pPr>
              <w:spacing w:before="120" w:after="120"/>
              <w:jc w:val="center"/>
              <w:rPr>
                <w:rFonts w:ascii="Calibri" w:hAnsi="Calibri"/>
                <w:b/>
                <w:sz w:val="18"/>
                <w:szCs w:val="18"/>
                <w:vertAlign w:val="superscript"/>
              </w:rPr>
            </w:pPr>
            <w:r w:rsidRPr="00FC535A">
              <w:rPr>
                <w:rFonts w:ascii="Calibri" w:hAnsi="Calibri"/>
                <w:b/>
                <w:sz w:val="18"/>
                <w:szCs w:val="18"/>
              </w:rPr>
              <w:t>Control ratings</w:t>
            </w:r>
          </w:p>
        </w:tc>
        <w:tc>
          <w:tcPr>
            <w:tcW w:w="659" w:type="dxa"/>
            <w:shd w:val="solid" w:color="C0C0C0" w:fill="auto"/>
          </w:tcPr>
          <w:p w:rsidR="003E24B5" w:rsidRPr="00FC535A" w:rsidRDefault="003E24B5" w:rsidP="000426C2">
            <w:pPr>
              <w:spacing w:before="120" w:after="120"/>
              <w:jc w:val="center"/>
              <w:rPr>
                <w:rFonts w:ascii="Calibri" w:hAnsi="Calibri"/>
                <w:b/>
                <w:sz w:val="18"/>
                <w:szCs w:val="18"/>
              </w:rPr>
            </w:pPr>
            <w:r w:rsidRPr="00FC535A">
              <w:rPr>
                <w:rFonts w:ascii="Calibri" w:hAnsi="Calibri"/>
                <w:b/>
                <w:sz w:val="18"/>
                <w:szCs w:val="18"/>
              </w:rPr>
              <w:t>Likeli-hood</w:t>
            </w:r>
          </w:p>
        </w:tc>
        <w:tc>
          <w:tcPr>
            <w:tcW w:w="659" w:type="dxa"/>
            <w:shd w:val="solid" w:color="C0C0C0" w:fill="auto"/>
          </w:tcPr>
          <w:p w:rsidR="003E24B5" w:rsidRPr="00FC535A" w:rsidRDefault="003E24B5" w:rsidP="000426C2">
            <w:pPr>
              <w:spacing w:before="120" w:after="120"/>
              <w:ind w:right="-84"/>
              <w:jc w:val="center"/>
              <w:rPr>
                <w:rFonts w:ascii="Calibri" w:hAnsi="Calibri"/>
                <w:b/>
                <w:sz w:val="18"/>
                <w:szCs w:val="18"/>
              </w:rPr>
            </w:pPr>
            <w:r w:rsidRPr="00FC535A">
              <w:rPr>
                <w:rFonts w:ascii="Calibri" w:hAnsi="Calibri"/>
                <w:b/>
                <w:sz w:val="18"/>
                <w:szCs w:val="18"/>
              </w:rPr>
              <w:t>Conse-quence</w:t>
            </w:r>
          </w:p>
        </w:tc>
        <w:tc>
          <w:tcPr>
            <w:tcW w:w="575" w:type="dxa"/>
            <w:shd w:val="solid" w:color="C0C0C0" w:fill="auto"/>
          </w:tcPr>
          <w:p w:rsidR="003E24B5" w:rsidRPr="00FC535A" w:rsidRDefault="003E24B5" w:rsidP="000426C2">
            <w:pPr>
              <w:spacing w:before="120" w:after="120"/>
              <w:jc w:val="center"/>
              <w:rPr>
                <w:rFonts w:ascii="Calibri" w:hAnsi="Calibri"/>
                <w:b/>
                <w:sz w:val="18"/>
                <w:szCs w:val="18"/>
              </w:rPr>
            </w:pPr>
            <w:r w:rsidRPr="00FC535A">
              <w:rPr>
                <w:rFonts w:ascii="Calibri" w:hAnsi="Calibri"/>
                <w:b/>
                <w:sz w:val="18"/>
                <w:szCs w:val="18"/>
              </w:rPr>
              <w:t>Risk Level</w:t>
            </w:r>
          </w:p>
        </w:tc>
        <w:tc>
          <w:tcPr>
            <w:tcW w:w="1151" w:type="dxa"/>
            <w:shd w:val="solid" w:color="C0C0C0" w:fill="auto"/>
          </w:tcPr>
          <w:p w:rsidR="003E24B5" w:rsidRPr="00FC535A" w:rsidRDefault="003E24B5" w:rsidP="000426C2">
            <w:pPr>
              <w:spacing w:before="120" w:after="120"/>
              <w:jc w:val="center"/>
              <w:rPr>
                <w:rFonts w:ascii="Calibri" w:hAnsi="Calibri"/>
                <w:b/>
                <w:sz w:val="18"/>
                <w:szCs w:val="18"/>
              </w:rPr>
            </w:pPr>
            <w:r w:rsidRPr="00FC535A">
              <w:rPr>
                <w:rFonts w:ascii="Calibri" w:hAnsi="Calibri"/>
                <w:b/>
                <w:sz w:val="18"/>
                <w:szCs w:val="18"/>
              </w:rPr>
              <w:t>Further Treatment?</w:t>
            </w:r>
          </w:p>
        </w:tc>
      </w:tr>
      <w:tr w:rsidR="003E24B5" w:rsidTr="000426C2">
        <w:trPr>
          <w:trHeight w:val="172"/>
          <w:jc w:val="center"/>
        </w:trPr>
        <w:tc>
          <w:tcPr>
            <w:tcW w:w="13814" w:type="dxa"/>
            <w:gridSpan w:val="10"/>
          </w:tcPr>
          <w:p w:rsidR="003E24B5" w:rsidRDefault="003E24B5" w:rsidP="000426C2">
            <w:pPr>
              <w:spacing w:before="120" w:after="120"/>
              <w:jc w:val="left"/>
              <w:rPr>
                <w:rFonts w:ascii="Calibri" w:hAnsi="Calibri"/>
                <w:szCs w:val="20"/>
              </w:rPr>
            </w:pPr>
            <w:r>
              <w:rPr>
                <w:rFonts w:ascii="Calibri" w:hAnsi="Calibri" w:cs="Calibri"/>
                <w:b/>
                <w:bCs/>
                <w:i/>
                <w:iCs/>
                <w:color w:val="000000"/>
                <w:sz w:val="22"/>
              </w:rPr>
              <w:t>Legal Compliance</w:t>
            </w:r>
          </w:p>
        </w:tc>
      </w:tr>
      <w:tr w:rsidR="003E24B5" w:rsidTr="000426C2">
        <w:trPr>
          <w:trHeight w:val="173"/>
          <w:jc w:val="center"/>
        </w:trPr>
        <w:tc>
          <w:tcPr>
            <w:tcW w:w="13814" w:type="dxa"/>
            <w:gridSpan w:val="10"/>
          </w:tcPr>
          <w:p w:rsidR="003E24B5" w:rsidRDefault="003E24B5" w:rsidP="000426C2">
            <w:pPr>
              <w:spacing w:before="120" w:after="120"/>
              <w:jc w:val="left"/>
              <w:rPr>
                <w:rFonts w:ascii="Calibri" w:hAnsi="Calibri"/>
                <w:szCs w:val="20"/>
              </w:rPr>
            </w:pPr>
            <w:r>
              <w:rPr>
                <w:rFonts w:ascii="Calibri" w:hAnsi="Calibri" w:cs="Calibri"/>
                <w:b/>
                <w:bCs/>
                <w:i/>
                <w:iCs/>
                <w:color w:val="000000"/>
                <w:sz w:val="22"/>
              </w:rPr>
              <w:t>Hazardous Waste (Regulation of Exports and Imports) Act 1989 (Part4)</w:t>
            </w:r>
          </w:p>
        </w:tc>
      </w:tr>
      <w:tr w:rsidR="003E24B5" w:rsidTr="000426C2">
        <w:trPr>
          <w:trHeight w:val="173"/>
          <w:jc w:val="center"/>
        </w:trPr>
        <w:tc>
          <w:tcPr>
            <w:tcW w:w="1315" w:type="dxa"/>
            <w:shd w:val="clear" w:color="auto" w:fill="FFC000"/>
          </w:tcPr>
          <w:p w:rsidR="003E24B5" w:rsidRPr="00C109AE" w:rsidRDefault="003E24B5" w:rsidP="000426C2">
            <w:pPr>
              <w:jc w:val="left"/>
              <w:rPr>
                <w:rFonts w:ascii="Calibri" w:hAnsi="Calibri" w:cs="Calibri"/>
                <w:b/>
                <w:bCs/>
                <w:i/>
                <w:iCs/>
                <w:color w:val="000000"/>
                <w:szCs w:val="20"/>
              </w:rPr>
            </w:pPr>
            <w:r w:rsidRPr="00C109AE">
              <w:rPr>
                <w:rFonts w:ascii="Calibri" w:hAnsi="Calibri" w:cs="Calibri"/>
                <w:b/>
                <w:bCs/>
                <w:i/>
                <w:iCs/>
                <w:color w:val="000000"/>
                <w:szCs w:val="20"/>
              </w:rPr>
              <w:t>Section 40</w:t>
            </w:r>
          </w:p>
          <w:p w:rsidR="003E24B5" w:rsidRPr="00C109AE" w:rsidRDefault="003E24B5" w:rsidP="000426C2">
            <w:pPr>
              <w:jc w:val="left"/>
              <w:rPr>
                <w:rFonts w:ascii="Calibri" w:hAnsi="Calibri" w:cs="Calibri"/>
                <w:b/>
                <w:bCs/>
                <w:i/>
                <w:iCs/>
                <w:color w:val="000000"/>
                <w:szCs w:val="20"/>
              </w:rPr>
            </w:pPr>
            <w:r w:rsidRPr="00C109AE">
              <w:rPr>
                <w:b/>
                <w:bCs/>
                <w:szCs w:val="20"/>
              </w:rPr>
              <w:t>Regulation of export of hazardous waste</w:t>
            </w:r>
          </w:p>
        </w:tc>
        <w:tc>
          <w:tcPr>
            <w:tcW w:w="1480" w:type="dxa"/>
            <w:shd w:val="clear" w:color="auto" w:fill="FFC000"/>
          </w:tcPr>
          <w:p w:rsidR="003E24B5" w:rsidRDefault="003E24B5" w:rsidP="000426C2">
            <w:pPr>
              <w:spacing w:before="120" w:after="120"/>
              <w:jc w:val="left"/>
              <w:rPr>
                <w:rFonts w:ascii="Calibri" w:hAnsi="Calibri"/>
                <w:i/>
                <w:szCs w:val="20"/>
              </w:rPr>
            </w:pPr>
            <w:r>
              <w:rPr>
                <w:rFonts w:ascii="Calibri" w:hAnsi="Calibri"/>
                <w:i/>
                <w:szCs w:val="20"/>
              </w:rPr>
              <w:t>Export hazardous waste without permit to export or order to export</w:t>
            </w:r>
          </w:p>
        </w:tc>
        <w:tc>
          <w:tcPr>
            <w:tcW w:w="1974" w:type="dxa"/>
            <w:shd w:val="clear" w:color="auto" w:fill="FFC000"/>
          </w:tcPr>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Permit not obtained</w:t>
            </w:r>
          </w:p>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Order to export not given</w:t>
            </w:r>
          </w:p>
        </w:tc>
        <w:tc>
          <w:tcPr>
            <w:tcW w:w="1891" w:type="dxa"/>
            <w:shd w:val="clear" w:color="auto" w:fill="FFC000"/>
          </w:tcPr>
          <w:p w:rsidR="003E24B5" w:rsidRPr="00796ABF"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Conviction</w:t>
            </w:r>
          </w:p>
        </w:tc>
        <w:tc>
          <w:tcPr>
            <w:tcW w:w="2959" w:type="dxa"/>
            <w:shd w:val="clear" w:color="auto" w:fill="FFC000"/>
          </w:tcPr>
          <w:p w:rsidR="003E24B5" w:rsidRDefault="003E24B5" w:rsidP="000426C2">
            <w:pPr>
              <w:autoSpaceDE w:val="0"/>
              <w:autoSpaceDN w:val="0"/>
              <w:adjustRightInd w:val="0"/>
              <w:spacing w:before="120" w:after="120"/>
              <w:jc w:val="left"/>
              <w:rPr>
                <w:rFonts w:ascii="Calibri" w:hAnsi="Calibri"/>
                <w:szCs w:val="20"/>
              </w:rPr>
            </w:pPr>
            <w:r>
              <w:rPr>
                <w:rFonts w:ascii="Calibri" w:hAnsi="Calibri"/>
                <w:szCs w:val="20"/>
              </w:rPr>
              <w:t xml:space="preserve">Section 2 of the standard – </w:t>
            </w:r>
            <w:r>
              <w:rPr>
                <w:rFonts w:ascii="Calibri" w:hAnsi="Calibri"/>
                <w:i/>
                <w:szCs w:val="20"/>
              </w:rPr>
              <w:t>Application</w:t>
            </w:r>
            <w:r>
              <w:rPr>
                <w:rFonts w:ascii="Calibri" w:hAnsi="Calibri"/>
                <w:szCs w:val="20"/>
              </w:rPr>
              <w:t xml:space="preserve"> – includes the following control:</w:t>
            </w:r>
          </w:p>
          <w:p w:rsidR="003E24B5" w:rsidRPr="00070F71" w:rsidRDefault="003E24B5" w:rsidP="000426C2">
            <w:pPr>
              <w:autoSpaceDE w:val="0"/>
              <w:autoSpaceDN w:val="0"/>
              <w:adjustRightInd w:val="0"/>
              <w:spacing w:before="120" w:after="120"/>
              <w:jc w:val="left"/>
              <w:rPr>
                <w:rFonts w:ascii="Calibri" w:hAnsi="Calibri"/>
                <w:i/>
                <w:szCs w:val="20"/>
              </w:rPr>
            </w:pPr>
            <w:r w:rsidRPr="00070F71">
              <w:rPr>
                <w:rFonts w:ascii="Calibri" w:hAnsi="Calibri"/>
                <w:i/>
                <w:szCs w:val="20"/>
                <w:lang w:val="en-US"/>
              </w:rPr>
              <w:t>“The Interim industry Standard does not absolve collection locations, transporters or recyclers from any federal, state and/or municipal legislation and regulations applicable to their business operation. It is the responsibility of the operator to be aware of and abide by all such legislation and regulations.”</w:t>
            </w:r>
          </w:p>
        </w:tc>
        <w:tc>
          <w:tcPr>
            <w:tcW w:w="1151" w:type="dxa"/>
            <w:shd w:val="clear" w:color="auto" w:fill="FFC000"/>
          </w:tcPr>
          <w:p w:rsidR="003E24B5" w:rsidRDefault="003E24B5" w:rsidP="000426C2">
            <w:pPr>
              <w:spacing w:before="120" w:after="120"/>
              <w:jc w:val="left"/>
              <w:rPr>
                <w:rFonts w:ascii="Calibri" w:hAnsi="Calibri"/>
                <w:szCs w:val="20"/>
              </w:rPr>
            </w:pPr>
            <w:r>
              <w:rPr>
                <w:rFonts w:ascii="Calibri" w:hAnsi="Calibri"/>
                <w:szCs w:val="20"/>
              </w:rPr>
              <w:t xml:space="preserve">Adequate </w:t>
            </w:r>
          </w:p>
        </w:tc>
        <w:tc>
          <w:tcPr>
            <w:tcW w:w="659" w:type="dxa"/>
            <w:shd w:val="clear" w:color="auto" w:fill="FFC000"/>
          </w:tcPr>
          <w:p w:rsidR="003E24B5" w:rsidRDefault="003E24B5" w:rsidP="000426C2">
            <w:pPr>
              <w:spacing w:before="120" w:after="120"/>
              <w:jc w:val="left"/>
              <w:rPr>
                <w:rFonts w:ascii="Calibri" w:hAnsi="Calibri"/>
                <w:szCs w:val="20"/>
              </w:rPr>
            </w:pPr>
            <w:r>
              <w:rPr>
                <w:rFonts w:ascii="Calibri" w:hAnsi="Calibri"/>
                <w:szCs w:val="20"/>
              </w:rPr>
              <w:t>Unlikely</w:t>
            </w:r>
          </w:p>
        </w:tc>
        <w:tc>
          <w:tcPr>
            <w:tcW w:w="659" w:type="dxa"/>
            <w:shd w:val="clear" w:color="auto" w:fill="FFC000"/>
          </w:tcPr>
          <w:p w:rsidR="003E24B5" w:rsidRDefault="003E24B5" w:rsidP="000426C2">
            <w:pPr>
              <w:spacing w:before="120" w:after="120"/>
              <w:ind w:firstLine="3"/>
              <w:jc w:val="left"/>
              <w:rPr>
                <w:rFonts w:ascii="Calibri" w:hAnsi="Calibri"/>
                <w:szCs w:val="20"/>
              </w:rPr>
            </w:pPr>
            <w:r>
              <w:rPr>
                <w:rFonts w:ascii="Calibri" w:hAnsi="Calibri"/>
                <w:szCs w:val="20"/>
              </w:rPr>
              <w:t>Major</w:t>
            </w:r>
          </w:p>
        </w:tc>
        <w:tc>
          <w:tcPr>
            <w:tcW w:w="575" w:type="dxa"/>
            <w:shd w:val="clear" w:color="auto" w:fill="FFC000"/>
          </w:tcPr>
          <w:p w:rsidR="003E24B5" w:rsidRDefault="003E24B5" w:rsidP="000426C2">
            <w:pPr>
              <w:spacing w:before="120" w:after="120"/>
              <w:jc w:val="left"/>
              <w:rPr>
                <w:rFonts w:ascii="Calibri" w:hAnsi="Calibri"/>
                <w:szCs w:val="20"/>
              </w:rPr>
            </w:pPr>
            <w:r>
              <w:rPr>
                <w:rFonts w:ascii="Calibri" w:hAnsi="Calibri"/>
                <w:szCs w:val="20"/>
              </w:rPr>
              <w:t>High</w:t>
            </w:r>
          </w:p>
        </w:tc>
        <w:tc>
          <w:tcPr>
            <w:tcW w:w="1151" w:type="dxa"/>
            <w:shd w:val="clear" w:color="auto" w:fill="FFC000"/>
          </w:tcPr>
          <w:p w:rsidR="003E24B5" w:rsidRDefault="003E24B5" w:rsidP="000426C2">
            <w:pPr>
              <w:spacing w:before="120" w:after="120"/>
              <w:jc w:val="left"/>
              <w:rPr>
                <w:rFonts w:ascii="Calibri" w:hAnsi="Calibri"/>
                <w:szCs w:val="20"/>
              </w:rPr>
            </w:pPr>
            <w:r>
              <w:rPr>
                <w:rFonts w:ascii="Calibri" w:hAnsi="Calibri"/>
                <w:szCs w:val="20"/>
              </w:rPr>
              <w:t>Refer to Risk treatment plan.</w:t>
            </w:r>
          </w:p>
        </w:tc>
      </w:tr>
      <w:tr w:rsidR="003E24B5" w:rsidTr="000426C2">
        <w:trPr>
          <w:trHeight w:val="173"/>
          <w:jc w:val="center"/>
        </w:trPr>
        <w:tc>
          <w:tcPr>
            <w:tcW w:w="1315" w:type="dxa"/>
            <w:shd w:val="clear" w:color="auto" w:fill="FFC000"/>
          </w:tcPr>
          <w:p w:rsidR="003E24B5" w:rsidRPr="00C109AE" w:rsidRDefault="003E24B5" w:rsidP="000426C2">
            <w:pPr>
              <w:jc w:val="left"/>
              <w:rPr>
                <w:rFonts w:ascii="Calibri" w:hAnsi="Calibri" w:cs="Calibri"/>
                <w:b/>
                <w:bCs/>
                <w:i/>
                <w:iCs/>
                <w:color w:val="000000"/>
                <w:szCs w:val="20"/>
              </w:rPr>
            </w:pPr>
            <w:r w:rsidRPr="00C109AE">
              <w:rPr>
                <w:rFonts w:ascii="Calibri" w:hAnsi="Calibri" w:cs="Calibri"/>
                <w:b/>
                <w:bCs/>
                <w:i/>
                <w:iCs/>
                <w:color w:val="000000"/>
                <w:szCs w:val="20"/>
              </w:rPr>
              <w:t>Section 40AA</w:t>
            </w:r>
          </w:p>
          <w:p w:rsidR="003E24B5" w:rsidRPr="00C109AE" w:rsidRDefault="003E24B5" w:rsidP="000426C2">
            <w:pPr>
              <w:jc w:val="left"/>
              <w:rPr>
                <w:rFonts w:ascii="Calibri" w:hAnsi="Calibri" w:cs="Calibri"/>
                <w:b/>
                <w:bCs/>
                <w:i/>
                <w:iCs/>
                <w:color w:val="000000"/>
                <w:szCs w:val="20"/>
              </w:rPr>
            </w:pPr>
            <w:r w:rsidRPr="00C109AE">
              <w:rPr>
                <w:b/>
                <w:bCs/>
                <w:szCs w:val="20"/>
              </w:rPr>
              <w:t>Regulation of sale of hazardous waste</w:t>
            </w:r>
          </w:p>
        </w:tc>
        <w:tc>
          <w:tcPr>
            <w:tcW w:w="1480" w:type="dxa"/>
            <w:shd w:val="clear" w:color="auto" w:fill="FFC000"/>
          </w:tcPr>
          <w:p w:rsidR="003E24B5" w:rsidRDefault="003E24B5" w:rsidP="000426C2">
            <w:pPr>
              <w:spacing w:before="120" w:after="120"/>
              <w:jc w:val="left"/>
              <w:rPr>
                <w:rFonts w:ascii="Calibri" w:hAnsi="Calibri"/>
                <w:i/>
                <w:szCs w:val="20"/>
              </w:rPr>
            </w:pPr>
            <w:r>
              <w:rPr>
                <w:rFonts w:ascii="Calibri" w:hAnsi="Calibri"/>
                <w:i/>
                <w:szCs w:val="20"/>
              </w:rPr>
              <w:t xml:space="preserve">Sell waste to body corporate outside Australia where the body corporate does not have a </w:t>
            </w:r>
            <w:r>
              <w:rPr>
                <w:rFonts w:ascii="Calibri" w:hAnsi="Calibri"/>
                <w:i/>
                <w:szCs w:val="20"/>
              </w:rPr>
              <w:lastRenderedPageBreak/>
              <w:t xml:space="preserve">registered office and an executive in Australia; and knowing the waste will be exported by the body corporate (or is reckless as to whether knowing);and export permit not in force at time of sale. </w:t>
            </w:r>
          </w:p>
        </w:tc>
        <w:tc>
          <w:tcPr>
            <w:tcW w:w="1974" w:type="dxa"/>
            <w:shd w:val="clear" w:color="auto" w:fill="FFC000"/>
          </w:tcPr>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lastRenderedPageBreak/>
              <w:t>No due diligence undertaken</w:t>
            </w:r>
          </w:p>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Permit not obtained</w:t>
            </w:r>
          </w:p>
          <w:p w:rsidR="003E24B5" w:rsidRDefault="003E24B5" w:rsidP="000426C2">
            <w:pPr>
              <w:pStyle w:val="ListParagraph"/>
              <w:spacing w:before="120" w:after="120"/>
              <w:ind w:left="360"/>
              <w:jc w:val="left"/>
              <w:rPr>
                <w:rFonts w:ascii="Calibri" w:hAnsi="Calibri"/>
                <w:szCs w:val="20"/>
              </w:rPr>
            </w:pPr>
          </w:p>
        </w:tc>
        <w:tc>
          <w:tcPr>
            <w:tcW w:w="1891" w:type="dxa"/>
            <w:shd w:val="clear" w:color="auto" w:fill="FFC000"/>
          </w:tcPr>
          <w:p w:rsidR="003E24B5" w:rsidRPr="00796ABF"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Conviction</w:t>
            </w:r>
          </w:p>
        </w:tc>
        <w:tc>
          <w:tcPr>
            <w:tcW w:w="2959" w:type="dxa"/>
            <w:shd w:val="clear" w:color="auto" w:fill="FFC000"/>
          </w:tcPr>
          <w:p w:rsidR="003E24B5" w:rsidRDefault="003E24B5" w:rsidP="000426C2">
            <w:pPr>
              <w:autoSpaceDE w:val="0"/>
              <w:autoSpaceDN w:val="0"/>
              <w:adjustRightInd w:val="0"/>
              <w:spacing w:before="120" w:after="120"/>
              <w:jc w:val="left"/>
              <w:rPr>
                <w:rFonts w:ascii="Calibri" w:hAnsi="Calibri"/>
                <w:szCs w:val="20"/>
              </w:rPr>
            </w:pPr>
            <w:r>
              <w:rPr>
                <w:rFonts w:ascii="Calibri" w:hAnsi="Calibri"/>
                <w:szCs w:val="20"/>
              </w:rPr>
              <w:t xml:space="preserve">Section 2 of the standard – </w:t>
            </w:r>
            <w:r>
              <w:rPr>
                <w:rFonts w:ascii="Calibri" w:hAnsi="Calibri"/>
                <w:i/>
                <w:szCs w:val="20"/>
              </w:rPr>
              <w:t>Application</w:t>
            </w:r>
            <w:r>
              <w:rPr>
                <w:rFonts w:ascii="Calibri" w:hAnsi="Calibri"/>
                <w:szCs w:val="20"/>
              </w:rPr>
              <w:t xml:space="preserve"> – includes the following control:</w:t>
            </w:r>
          </w:p>
          <w:p w:rsidR="003E24B5" w:rsidRPr="00070F71" w:rsidRDefault="003E24B5" w:rsidP="000426C2">
            <w:pPr>
              <w:autoSpaceDE w:val="0"/>
              <w:autoSpaceDN w:val="0"/>
              <w:adjustRightInd w:val="0"/>
              <w:spacing w:before="120" w:after="120"/>
              <w:jc w:val="left"/>
              <w:rPr>
                <w:rFonts w:ascii="Calibri" w:hAnsi="Calibri"/>
                <w:i/>
                <w:szCs w:val="20"/>
              </w:rPr>
            </w:pPr>
            <w:r w:rsidRPr="00070F71">
              <w:rPr>
                <w:rFonts w:ascii="Calibri" w:hAnsi="Calibri"/>
                <w:i/>
                <w:szCs w:val="20"/>
                <w:lang w:val="en-US"/>
              </w:rPr>
              <w:t xml:space="preserve">“The Interim industry Standard does not absolve collection locations, transporters or recyclers from any federal, state </w:t>
            </w:r>
            <w:r w:rsidRPr="00070F71">
              <w:rPr>
                <w:rFonts w:ascii="Calibri" w:hAnsi="Calibri"/>
                <w:i/>
                <w:szCs w:val="20"/>
                <w:lang w:val="en-US"/>
              </w:rPr>
              <w:lastRenderedPageBreak/>
              <w:t>and/or municipal legislation and regulations applicable to their business operation. It is the responsibility of the operator to be aware of and abide by all such legislation and regulations.”</w:t>
            </w:r>
          </w:p>
        </w:tc>
        <w:tc>
          <w:tcPr>
            <w:tcW w:w="1151" w:type="dxa"/>
            <w:shd w:val="clear" w:color="auto" w:fill="FFC000"/>
          </w:tcPr>
          <w:p w:rsidR="003E24B5" w:rsidRDefault="003E24B5" w:rsidP="000426C2">
            <w:pPr>
              <w:spacing w:before="120" w:after="120"/>
              <w:jc w:val="left"/>
              <w:rPr>
                <w:rFonts w:ascii="Calibri" w:hAnsi="Calibri"/>
                <w:szCs w:val="20"/>
              </w:rPr>
            </w:pPr>
            <w:r>
              <w:rPr>
                <w:rFonts w:ascii="Calibri" w:hAnsi="Calibri"/>
                <w:szCs w:val="20"/>
              </w:rPr>
              <w:lastRenderedPageBreak/>
              <w:t xml:space="preserve">Adequate </w:t>
            </w:r>
          </w:p>
        </w:tc>
        <w:tc>
          <w:tcPr>
            <w:tcW w:w="659" w:type="dxa"/>
            <w:shd w:val="clear" w:color="auto" w:fill="FFC000"/>
          </w:tcPr>
          <w:p w:rsidR="003E24B5" w:rsidRDefault="003E24B5" w:rsidP="000426C2">
            <w:pPr>
              <w:spacing w:before="120" w:after="120"/>
              <w:jc w:val="left"/>
              <w:rPr>
                <w:rFonts w:ascii="Calibri" w:hAnsi="Calibri"/>
                <w:szCs w:val="20"/>
              </w:rPr>
            </w:pPr>
            <w:r>
              <w:rPr>
                <w:rFonts w:ascii="Calibri" w:hAnsi="Calibri"/>
                <w:szCs w:val="20"/>
              </w:rPr>
              <w:t>Unlikely</w:t>
            </w:r>
          </w:p>
        </w:tc>
        <w:tc>
          <w:tcPr>
            <w:tcW w:w="659" w:type="dxa"/>
            <w:shd w:val="clear" w:color="auto" w:fill="FFC000"/>
          </w:tcPr>
          <w:p w:rsidR="003E24B5" w:rsidRDefault="003E24B5" w:rsidP="000426C2">
            <w:pPr>
              <w:spacing w:before="120" w:after="120"/>
              <w:ind w:firstLine="3"/>
              <w:jc w:val="left"/>
              <w:rPr>
                <w:rFonts w:ascii="Calibri" w:hAnsi="Calibri"/>
                <w:szCs w:val="20"/>
              </w:rPr>
            </w:pPr>
            <w:r>
              <w:rPr>
                <w:rFonts w:ascii="Calibri" w:hAnsi="Calibri"/>
                <w:szCs w:val="20"/>
              </w:rPr>
              <w:t>Major</w:t>
            </w:r>
          </w:p>
        </w:tc>
        <w:tc>
          <w:tcPr>
            <w:tcW w:w="575" w:type="dxa"/>
            <w:shd w:val="clear" w:color="auto" w:fill="FFC000"/>
          </w:tcPr>
          <w:p w:rsidR="003E24B5" w:rsidRDefault="003E24B5" w:rsidP="000426C2">
            <w:pPr>
              <w:spacing w:before="120" w:after="120"/>
              <w:jc w:val="left"/>
              <w:rPr>
                <w:rFonts w:ascii="Calibri" w:hAnsi="Calibri"/>
                <w:szCs w:val="20"/>
              </w:rPr>
            </w:pPr>
            <w:r>
              <w:rPr>
                <w:rFonts w:ascii="Calibri" w:hAnsi="Calibri"/>
                <w:szCs w:val="20"/>
              </w:rPr>
              <w:t>High</w:t>
            </w:r>
          </w:p>
        </w:tc>
        <w:tc>
          <w:tcPr>
            <w:tcW w:w="1151" w:type="dxa"/>
            <w:shd w:val="clear" w:color="auto" w:fill="FFC000"/>
          </w:tcPr>
          <w:p w:rsidR="003E24B5" w:rsidRDefault="003E24B5" w:rsidP="000426C2">
            <w:pPr>
              <w:spacing w:before="120" w:after="120"/>
              <w:jc w:val="left"/>
              <w:rPr>
                <w:rFonts w:ascii="Calibri" w:hAnsi="Calibri"/>
                <w:szCs w:val="20"/>
              </w:rPr>
            </w:pPr>
            <w:r>
              <w:rPr>
                <w:rFonts w:ascii="Calibri" w:hAnsi="Calibri"/>
                <w:szCs w:val="20"/>
              </w:rPr>
              <w:t>Refer to Risk treatment plan</w:t>
            </w:r>
          </w:p>
        </w:tc>
      </w:tr>
      <w:tr w:rsidR="003E24B5" w:rsidTr="000426C2">
        <w:trPr>
          <w:trHeight w:val="173"/>
          <w:jc w:val="center"/>
        </w:trPr>
        <w:tc>
          <w:tcPr>
            <w:tcW w:w="13814" w:type="dxa"/>
            <w:gridSpan w:val="10"/>
          </w:tcPr>
          <w:p w:rsidR="003E24B5" w:rsidRPr="00C109AE" w:rsidRDefault="003E24B5" w:rsidP="000426C2">
            <w:pPr>
              <w:spacing w:before="120" w:after="120"/>
              <w:jc w:val="left"/>
              <w:rPr>
                <w:rFonts w:ascii="Calibri" w:hAnsi="Calibri"/>
                <w:szCs w:val="20"/>
              </w:rPr>
            </w:pPr>
            <w:r w:rsidRPr="00C109AE">
              <w:rPr>
                <w:rFonts w:ascii="Calibri" w:hAnsi="Calibri" w:cs="Calibri"/>
                <w:b/>
                <w:bCs/>
                <w:i/>
                <w:iCs/>
                <w:color w:val="000000"/>
                <w:szCs w:val="20"/>
              </w:rPr>
              <w:lastRenderedPageBreak/>
              <w:t>Basel Convention on the Control of Transboundary Movements of Hazardous Wastes and their Disposal</w:t>
            </w:r>
          </w:p>
        </w:tc>
      </w:tr>
      <w:tr w:rsidR="003E24B5" w:rsidTr="000426C2">
        <w:trPr>
          <w:trHeight w:val="173"/>
          <w:jc w:val="center"/>
        </w:trPr>
        <w:tc>
          <w:tcPr>
            <w:tcW w:w="1315" w:type="dxa"/>
            <w:shd w:val="clear" w:color="auto" w:fill="FFC000"/>
          </w:tcPr>
          <w:p w:rsidR="003E24B5" w:rsidRPr="00C109AE" w:rsidRDefault="003E24B5" w:rsidP="000426C2">
            <w:pPr>
              <w:jc w:val="left"/>
              <w:rPr>
                <w:rFonts w:ascii="Calibri" w:hAnsi="Calibri" w:cs="Calibri"/>
                <w:b/>
                <w:bCs/>
                <w:i/>
                <w:iCs/>
                <w:color w:val="000000"/>
                <w:szCs w:val="20"/>
              </w:rPr>
            </w:pPr>
            <w:r w:rsidRPr="00C109AE">
              <w:rPr>
                <w:rFonts w:ascii="Calibri" w:hAnsi="Calibri" w:cs="Calibri"/>
                <w:b/>
                <w:bCs/>
                <w:i/>
                <w:iCs/>
                <w:color w:val="000000"/>
                <w:szCs w:val="20"/>
              </w:rPr>
              <w:t>Article 4(b)</w:t>
            </w:r>
          </w:p>
        </w:tc>
        <w:tc>
          <w:tcPr>
            <w:tcW w:w="1480" w:type="dxa"/>
            <w:shd w:val="clear" w:color="auto" w:fill="FFC000"/>
          </w:tcPr>
          <w:p w:rsidR="003E24B5" w:rsidRDefault="003E24B5" w:rsidP="000426C2">
            <w:pPr>
              <w:spacing w:before="120" w:after="120"/>
              <w:jc w:val="left"/>
              <w:rPr>
                <w:rFonts w:ascii="Calibri" w:hAnsi="Calibri"/>
                <w:i/>
                <w:szCs w:val="20"/>
              </w:rPr>
            </w:pPr>
            <w:r w:rsidRPr="001A2696">
              <w:rPr>
                <w:rFonts w:ascii="Calibri" w:hAnsi="Calibri"/>
                <w:i/>
                <w:szCs w:val="20"/>
              </w:rPr>
              <w:t xml:space="preserve">Parties shall prohibit or shall not permit the export of hazardous wastes and other wastes to the Parties which have </w:t>
            </w:r>
            <w:r w:rsidRPr="001A2696">
              <w:rPr>
                <w:rFonts w:ascii="Calibri" w:hAnsi="Calibri"/>
                <w:i/>
                <w:szCs w:val="20"/>
              </w:rPr>
              <w:lastRenderedPageBreak/>
              <w:t>prohibited the import of such wastes</w:t>
            </w:r>
          </w:p>
        </w:tc>
        <w:tc>
          <w:tcPr>
            <w:tcW w:w="1974" w:type="dxa"/>
            <w:shd w:val="clear" w:color="auto" w:fill="FFC000"/>
          </w:tcPr>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lastRenderedPageBreak/>
              <w:t xml:space="preserve">Prohibited waste exported </w:t>
            </w:r>
          </w:p>
        </w:tc>
        <w:tc>
          <w:tcPr>
            <w:tcW w:w="1891" w:type="dxa"/>
            <w:shd w:val="clear" w:color="auto" w:fill="FFC000"/>
          </w:tcPr>
          <w:p w:rsidR="003E24B5" w:rsidRPr="00796ABF"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Contravention of Basel Convention</w:t>
            </w:r>
          </w:p>
        </w:tc>
        <w:tc>
          <w:tcPr>
            <w:tcW w:w="2959" w:type="dxa"/>
            <w:shd w:val="clear" w:color="auto" w:fill="FFC000"/>
          </w:tcPr>
          <w:p w:rsidR="003E24B5" w:rsidRDefault="003E24B5" w:rsidP="000426C2">
            <w:pPr>
              <w:autoSpaceDE w:val="0"/>
              <w:autoSpaceDN w:val="0"/>
              <w:adjustRightInd w:val="0"/>
              <w:spacing w:before="120" w:after="120"/>
              <w:jc w:val="left"/>
              <w:rPr>
                <w:rFonts w:ascii="Calibri" w:hAnsi="Calibri"/>
                <w:szCs w:val="20"/>
              </w:rPr>
            </w:pPr>
            <w:r>
              <w:rPr>
                <w:rFonts w:ascii="Calibri" w:hAnsi="Calibri"/>
                <w:szCs w:val="20"/>
              </w:rPr>
              <w:t xml:space="preserve">Compliance with Section 40A of the Hazardous </w:t>
            </w:r>
            <w:r w:rsidRPr="001A2696">
              <w:rPr>
                <w:rFonts w:ascii="Calibri" w:hAnsi="Calibri"/>
                <w:bCs/>
                <w:iCs/>
                <w:szCs w:val="20"/>
                <w:lang w:val="en-US"/>
              </w:rPr>
              <w:t xml:space="preserve">Waste (Regulation of Exports and Imports) Act 1989 </w:t>
            </w:r>
          </w:p>
        </w:tc>
        <w:tc>
          <w:tcPr>
            <w:tcW w:w="1151" w:type="dxa"/>
            <w:shd w:val="clear" w:color="auto" w:fill="FFC000"/>
          </w:tcPr>
          <w:p w:rsidR="003E24B5" w:rsidRDefault="003E24B5" w:rsidP="000426C2">
            <w:pPr>
              <w:spacing w:before="120" w:after="120"/>
              <w:jc w:val="left"/>
              <w:rPr>
                <w:rFonts w:ascii="Calibri" w:hAnsi="Calibri"/>
                <w:szCs w:val="20"/>
              </w:rPr>
            </w:pPr>
            <w:r>
              <w:rPr>
                <w:rFonts w:ascii="Calibri" w:hAnsi="Calibri"/>
                <w:szCs w:val="20"/>
              </w:rPr>
              <w:t xml:space="preserve">Adequate </w:t>
            </w:r>
          </w:p>
        </w:tc>
        <w:tc>
          <w:tcPr>
            <w:tcW w:w="659" w:type="dxa"/>
            <w:shd w:val="clear" w:color="auto" w:fill="FFC000"/>
          </w:tcPr>
          <w:p w:rsidR="003E24B5" w:rsidRDefault="003E24B5" w:rsidP="000426C2">
            <w:pPr>
              <w:spacing w:before="120" w:after="120"/>
              <w:jc w:val="left"/>
              <w:rPr>
                <w:rFonts w:ascii="Calibri" w:hAnsi="Calibri"/>
                <w:szCs w:val="20"/>
              </w:rPr>
            </w:pPr>
            <w:r>
              <w:rPr>
                <w:rFonts w:ascii="Calibri" w:hAnsi="Calibri"/>
                <w:szCs w:val="20"/>
              </w:rPr>
              <w:t>Unlikely</w:t>
            </w:r>
          </w:p>
        </w:tc>
        <w:tc>
          <w:tcPr>
            <w:tcW w:w="659" w:type="dxa"/>
            <w:shd w:val="clear" w:color="auto" w:fill="FFC000"/>
          </w:tcPr>
          <w:p w:rsidR="003E24B5" w:rsidRDefault="003E24B5" w:rsidP="000426C2">
            <w:pPr>
              <w:spacing w:before="120" w:after="120"/>
              <w:ind w:firstLine="3"/>
              <w:jc w:val="left"/>
              <w:rPr>
                <w:rFonts w:ascii="Calibri" w:hAnsi="Calibri"/>
                <w:szCs w:val="20"/>
              </w:rPr>
            </w:pPr>
            <w:r>
              <w:rPr>
                <w:rFonts w:ascii="Calibri" w:hAnsi="Calibri"/>
                <w:szCs w:val="20"/>
              </w:rPr>
              <w:t>Major</w:t>
            </w:r>
          </w:p>
        </w:tc>
        <w:tc>
          <w:tcPr>
            <w:tcW w:w="575" w:type="dxa"/>
            <w:shd w:val="clear" w:color="auto" w:fill="FFC000"/>
          </w:tcPr>
          <w:p w:rsidR="003E24B5" w:rsidRDefault="003E24B5" w:rsidP="000426C2">
            <w:pPr>
              <w:spacing w:before="120" w:after="120"/>
              <w:jc w:val="left"/>
              <w:rPr>
                <w:rFonts w:ascii="Calibri" w:hAnsi="Calibri"/>
                <w:szCs w:val="20"/>
              </w:rPr>
            </w:pPr>
            <w:r>
              <w:rPr>
                <w:rFonts w:ascii="Calibri" w:hAnsi="Calibri"/>
                <w:szCs w:val="20"/>
              </w:rPr>
              <w:t>High</w:t>
            </w:r>
          </w:p>
        </w:tc>
        <w:tc>
          <w:tcPr>
            <w:tcW w:w="1151" w:type="dxa"/>
            <w:shd w:val="clear" w:color="auto" w:fill="FFC000"/>
          </w:tcPr>
          <w:p w:rsidR="003E24B5" w:rsidRDefault="003E24B5" w:rsidP="000426C2">
            <w:pPr>
              <w:spacing w:before="120" w:after="120"/>
              <w:jc w:val="left"/>
              <w:rPr>
                <w:rFonts w:ascii="Calibri" w:hAnsi="Calibri"/>
                <w:szCs w:val="20"/>
              </w:rPr>
            </w:pPr>
            <w:r>
              <w:rPr>
                <w:rFonts w:ascii="Calibri" w:hAnsi="Calibri"/>
                <w:szCs w:val="20"/>
              </w:rPr>
              <w:t>Refer to Risk treatment plan</w:t>
            </w:r>
          </w:p>
        </w:tc>
      </w:tr>
      <w:tr w:rsidR="003E24B5" w:rsidTr="000426C2">
        <w:trPr>
          <w:trHeight w:val="173"/>
          <w:jc w:val="center"/>
        </w:trPr>
        <w:tc>
          <w:tcPr>
            <w:tcW w:w="1315" w:type="dxa"/>
            <w:shd w:val="clear" w:color="auto" w:fill="FFC000"/>
          </w:tcPr>
          <w:p w:rsidR="003E24B5" w:rsidRPr="00C109AE" w:rsidRDefault="003E24B5" w:rsidP="000426C2">
            <w:pPr>
              <w:jc w:val="left"/>
              <w:rPr>
                <w:rFonts w:ascii="Calibri" w:hAnsi="Calibri" w:cs="Calibri"/>
                <w:b/>
                <w:bCs/>
                <w:i/>
                <w:iCs/>
                <w:color w:val="000000"/>
                <w:szCs w:val="20"/>
              </w:rPr>
            </w:pPr>
            <w:r w:rsidRPr="00C109AE">
              <w:rPr>
                <w:rFonts w:ascii="Calibri" w:hAnsi="Calibri" w:cs="Calibri"/>
                <w:b/>
                <w:bCs/>
                <w:i/>
                <w:iCs/>
                <w:color w:val="000000"/>
                <w:szCs w:val="20"/>
              </w:rPr>
              <w:lastRenderedPageBreak/>
              <w:t xml:space="preserve">Article 6 </w:t>
            </w:r>
          </w:p>
          <w:p w:rsidR="003E24B5" w:rsidRPr="00C109AE" w:rsidRDefault="003E24B5" w:rsidP="000426C2">
            <w:pPr>
              <w:jc w:val="left"/>
              <w:rPr>
                <w:rFonts w:ascii="Calibri" w:hAnsi="Calibri" w:cs="Calibri"/>
                <w:b/>
                <w:bCs/>
                <w:iCs/>
                <w:color w:val="000000"/>
                <w:szCs w:val="20"/>
                <w:lang w:val="en-GB"/>
              </w:rPr>
            </w:pPr>
            <w:r w:rsidRPr="00C109AE">
              <w:rPr>
                <w:rFonts w:ascii="Calibri" w:hAnsi="Calibri" w:cs="Calibri"/>
                <w:b/>
                <w:bCs/>
                <w:iCs/>
                <w:color w:val="000000"/>
                <w:szCs w:val="20"/>
                <w:lang w:val="en-GB"/>
              </w:rPr>
              <w:t>Transboundary Movement between Parties</w:t>
            </w:r>
          </w:p>
          <w:p w:rsidR="003E24B5" w:rsidRPr="00C109AE" w:rsidRDefault="003E24B5" w:rsidP="000426C2">
            <w:pPr>
              <w:jc w:val="left"/>
              <w:rPr>
                <w:rFonts w:ascii="Calibri" w:hAnsi="Calibri" w:cs="Calibri"/>
                <w:b/>
                <w:bCs/>
                <w:i/>
                <w:iCs/>
                <w:color w:val="000000"/>
                <w:szCs w:val="20"/>
              </w:rPr>
            </w:pPr>
          </w:p>
        </w:tc>
        <w:tc>
          <w:tcPr>
            <w:tcW w:w="1480" w:type="dxa"/>
            <w:shd w:val="clear" w:color="auto" w:fill="FFC000"/>
          </w:tcPr>
          <w:p w:rsidR="003E24B5" w:rsidRPr="001A2696" w:rsidRDefault="003E24B5" w:rsidP="000426C2">
            <w:pPr>
              <w:spacing w:before="120" w:after="120"/>
              <w:jc w:val="left"/>
              <w:rPr>
                <w:rFonts w:ascii="Calibri" w:hAnsi="Calibri"/>
                <w:i/>
                <w:szCs w:val="20"/>
                <w:lang w:val="en-GB"/>
              </w:rPr>
            </w:pPr>
            <w:r w:rsidRPr="001A2696">
              <w:rPr>
                <w:rFonts w:ascii="Calibri" w:hAnsi="Calibri"/>
                <w:i/>
                <w:szCs w:val="20"/>
                <w:lang w:val="en-GB"/>
              </w:rPr>
              <w:t>The State of export shall not allow the generator or exporter to commence the transboundary movement until it has received written confirmation that:</w:t>
            </w:r>
          </w:p>
          <w:p w:rsidR="003E24B5" w:rsidRPr="001A2696" w:rsidRDefault="003E24B5" w:rsidP="000426C2">
            <w:pPr>
              <w:spacing w:before="120" w:after="120"/>
              <w:jc w:val="left"/>
              <w:rPr>
                <w:rFonts w:ascii="Calibri" w:hAnsi="Calibri"/>
                <w:i/>
                <w:szCs w:val="20"/>
                <w:lang w:val="en-GB"/>
              </w:rPr>
            </w:pPr>
            <w:r>
              <w:rPr>
                <w:rFonts w:ascii="Calibri" w:hAnsi="Calibri"/>
                <w:i/>
                <w:szCs w:val="20"/>
                <w:lang w:val="en-GB"/>
              </w:rPr>
              <w:t xml:space="preserve">(a) </w:t>
            </w:r>
            <w:r w:rsidRPr="001A2696">
              <w:rPr>
                <w:rFonts w:ascii="Calibri" w:hAnsi="Calibri"/>
                <w:i/>
                <w:szCs w:val="20"/>
                <w:lang w:val="en-GB"/>
              </w:rPr>
              <w:t>The notifier has received the written consent of the State of import; and</w:t>
            </w:r>
          </w:p>
          <w:p w:rsidR="003E24B5" w:rsidRDefault="003E24B5" w:rsidP="000426C2">
            <w:pPr>
              <w:spacing w:before="120" w:after="120"/>
              <w:jc w:val="left"/>
              <w:rPr>
                <w:rFonts w:ascii="Calibri" w:hAnsi="Calibri"/>
                <w:i/>
                <w:szCs w:val="20"/>
              </w:rPr>
            </w:pPr>
            <w:r>
              <w:rPr>
                <w:rFonts w:ascii="Calibri" w:hAnsi="Calibri"/>
                <w:i/>
                <w:szCs w:val="20"/>
                <w:lang w:val="en-GB"/>
              </w:rPr>
              <w:t xml:space="preserve">(b) </w:t>
            </w:r>
            <w:r w:rsidRPr="001A2696">
              <w:rPr>
                <w:rFonts w:ascii="Calibri" w:hAnsi="Calibri"/>
                <w:i/>
                <w:szCs w:val="20"/>
                <w:lang w:val="en-GB"/>
              </w:rPr>
              <w:t xml:space="preserve">The notifier has received from the State of import </w:t>
            </w:r>
            <w:r w:rsidRPr="001A2696">
              <w:rPr>
                <w:rFonts w:ascii="Calibri" w:hAnsi="Calibri"/>
                <w:i/>
                <w:szCs w:val="20"/>
                <w:lang w:val="en-GB"/>
              </w:rPr>
              <w:lastRenderedPageBreak/>
              <w:t>confirmation of the existence of a contract between the exporter and the disposer specifying environmentally sound management of the wastes in question.</w:t>
            </w:r>
          </w:p>
        </w:tc>
        <w:tc>
          <w:tcPr>
            <w:tcW w:w="1974" w:type="dxa"/>
            <w:shd w:val="clear" w:color="auto" w:fill="FFC000"/>
          </w:tcPr>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lastRenderedPageBreak/>
              <w:t>Waste exported prior to receiving written consent</w:t>
            </w:r>
          </w:p>
        </w:tc>
        <w:tc>
          <w:tcPr>
            <w:tcW w:w="1891" w:type="dxa"/>
            <w:shd w:val="clear" w:color="auto" w:fill="FFC000"/>
          </w:tcPr>
          <w:p w:rsidR="003E24B5" w:rsidRPr="00796ABF"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Contravention of Basel Convention</w:t>
            </w:r>
          </w:p>
        </w:tc>
        <w:tc>
          <w:tcPr>
            <w:tcW w:w="2959" w:type="dxa"/>
            <w:shd w:val="clear" w:color="auto" w:fill="FFC000"/>
          </w:tcPr>
          <w:p w:rsidR="003E24B5" w:rsidRDefault="003E24B5" w:rsidP="000426C2">
            <w:pPr>
              <w:autoSpaceDE w:val="0"/>
              <w:autoSpaceDN w:val="0"/>
              <w:adjustRightInd w:val="0"/>
              <w:spacing w:before="120" w:after="120"/>
              <w:jc w:val="left"/>
              <w:rPr>
                <w:rFonts w:ascii="Calibri" w:hAnsi="Calibri"/>
                <w:szCs w:val="20"/>
              </w:rPr>
            </w:pPr>
            <w:r>
              <w:rPr>
                <w:rFonts w:ascii="Calibri" w:hAnsi="Calibri"/>
                <w:szCs w:val="20"/>
              </w:rPr>
              <w:t xml:space="preserve">Compliance with Section 40A of the Hazardous </w:t>
            </w:r>
            <w:r w:rsidRPr="001A2696">
              <w:rPr>
                <w:rFonts w:ascii="Calibri" w:hAnsi="Calibri"/>
                <w:bCs/>
                <w:iCs/>
                <w:szCs w:val="20"/>
                <w:lang w:val="en-US"/>
              </w:rPr>
              <w:t>Waste (Regulation of Exports and Imports) Act 1989</w:t>
            </w:r>
          </w:p>
        </w:tc>
        <w:tc>
          <w:tcPr>
            <w:tcW w:w="1151" w:type="dxa"/>
            <w:shd w:val="clear" w:color="auto" w:fill="FFC000"/>
          </w:tcPr>
          <w:p w:rsidR="003E24B5" w:rsidRDefault="003E24B5" w:rsidP="000426C2">
            <w:pPr>
              <w:spacing w:before="120" w:after="120"/>
              <w:jc w:val="left"/>
              <w:rPr>
                <w:rFonts w:ascii="Calibri" w:hAnsi="Calibri"/>
                <w:szCs w:val="20"/>
              </w:rPr>
            </w:pPr>
            <w:r>
              <w:rPr>
                <w:rFonts w:ascii="Calibri" w:hAnsi="Calibri"/>
                <w:szCs w:val="20"/>
              </w:rPr>
              <w:t xml:space="preserve">Adequate </w:t>
            </w:r>
          </w:p>
        </w:tc>
        <w:tc>
          <w:tcPr>
            <w:tcW w:w="659" w:type="dxa"/>
            <w:shd w:val="clear" w:color="auto" w:fill="FFC000"/>
          </w:tcPr>
          <w:p w:rsidR="003E24B5" w:rsidRDefault="003E24B5" w:rsidP="000426C2">
            <w:pPr>
              <w:spacing w:before="120" w:after="120"/>
              <w:jc w:val="left"/>
              <w:rPr>
                <w:rFonts w:ascii="Calibri" w:hAnsi="Calibri"/>
                <w:szCs w:val="20"/>
              </w:rPr>
            </w:pPr>
            <w:r>
              <w:rPr>
                <w:rFonts w:ascii="Calibri" w:hAnsi="Calibri"/>
                <w:szCs w:val="20"/>
              </w:rPr>
              <w:t>Unlikely</w:t>
            </w:r>
          </w:p>
        </w:tc>
        <w:tc>
          <w:tcPr>
            <w:tcW w:w="659" w:type="dxa"/>
            <w:shd w:val="clear" w:color="auto" w:fill="FFC000"/>
          </w:tcPr>
          <w:p w:rsidR="003E24B5" w:rsidRDefault="003E24B5" w:rsidP="000426C2">
            <w:pPr>
              <w:spacing w:before="120" w:after="120"/>
              <w:ind w:firstLine="3"/>
              <w:jc w:val="left"/>
              <w:rPr>
                <w:rFonts w:ascii="Calibri" w:hAnsi="Calibri"/>
                <w:szCs w:val="20"/>
              </w:rPr>
            </w:pPr>
            <w:r>
              <w:rPr>
                <w:rFonts w:ascii="Calibri" w:hAnsi="Calibri"/>
                <w:szCs w:val="20"/>
              </w:rPr>
              <w:t>Major</w:t>
            </w:r>
          </w:p>
        </w:tc>
        <w:tc>
          <w:tcPr>
            <w:tcW w:w="575" w:type="dxa"/>
            <w:shd w:val="clear" w:color="auto" w:fill="FFC000"/>
          </w:tcPr>
          <w:p w:rsidR="003E24B5" w:rsidRDefault="003E24B5" w:rsidP="000426C2">
            <w:pPr>
              <w:spacing w:before="120" w:after="120"/>
              <w:jc w:val="left"/>
              <w:rPr>
                <w:rFonts w:ascii="Calibri" w:hAnsi="Calibri"/>
                <w:szCs w:val="20"/>
              </w:rPr>
            </w:pPr>
            <w:r>
              <w:rPr>
                <w:rFonts w:ascii="Calibri" w:hAnsi="Calibri"/>
                <w:szCs w:val="20"/>
              </w:rPr>
              <w:t>High</w:t>
            </w:r>
          </w:p>
        </w:tc>
        <w:tc>
          <w:tcPr>
            <w:tcW w:w="1151" w:type="dxa"/>
            <w:shd w:val="clear" w:color="auto" w:fill="FFC000"/>
          </w:tcPr>
          <w:p w:rsidR="003E24B5" w:rsidRDefault="003E24B5" w:rsidP="000426C2">
            <w:pPr>
              <w:spacing w:before="120" w:after="120"/>
              <w:jc w:val="left"/>
              <w:rPr>
                <w:rFonts w:ascii="Calibri" w:hAnsi="Calibri"/>
                <w:szCs w:val="20"/>
              </w:rPr>
            </w:pPr>
            <w:r>
              <w:rPr>
                <w:rFonts w:ascii="Calibri" w:hAnsi="Calibri"/>
                <w:szCs w:val="20"/>
              </w:rPr>
              <w:t>Refer to Risk treatment plan</w:t>
            </w:r>
          </w:p>
        </w:tc>
      </w:tr>
      <w:tr w:rsidR="003E24B5" w:rsidTr="000426C2">
        <w:trPr>
          <w:trHeight w:val="173"/>
          <w:jc w:val="center"/>
        </w:trPr>
        <w:tc>
          <w:tcPr>
            <w:tcW w:w="1315" w:type="dxa"/>
            <w:shd w:val="clear" w:color="auto" w:fill="FFC000"/>
          </w:tcPr>
          <w:p w:rsidR="003E24B5" w:rsidRPr="00C109AE" w:rsidRDefault="003E24B5" w:rsidP="000426C2">
            <w:pPr>
              <w:jc w:val="left"/>
              <w:rPr>
                <w:rFonts w:ascii="Calibri" w:hAnsi="Calibri" w:cs="Calibri"/>
                <w:b/>
                <w:bCs/>
                <w:i/>
                <w:iCs/>
                <w:color w:val="000000"/>
                <w:szCs w:val="20"/>
              </w:rPr>
            </w:pPr>
            <w:r w:rsidRPr="00C109AE">
              <w:rPr>
                <w:rFonts w:ascii="Calibri" w:hAnsi="Calibri" w:cs="Calibri"/>
                <w:b/>
                <w:bCs/>
                <w:i/>
                <w:iCs/>
                <w:color w:val="000000"/>
                <w:szCs w:val="20"/>
              </w:rPr>
              <w:lastRenderedPageBreak/>
              <w:t>Article 9</w:t>
            </w:r>
          </w:p>
          <w:p w:rsidR="003E24B5" w:rsidRPr="00C109AE" w:rsidRDefault="003E24B5" w:rsidP="000426C2">
            <w:pPr>
              <w:jc w:val="left"/>
              <w:rPr>
                <w:rFonts w:ascii="Calibri" w:hAnsi="Calibri" w:cs="Calibri"/>
                <w:b/>
                <w:bCs/>
                <w:i/>
                <w:iCs/>
                <w:color w:val="000000"/>
                <w:szCs w:val="20"/>
              </w:rPr>
            </w:pPr>
            <w:r w:rsidRPr="00C109AE">
              <w:rPr>
                <w:rFonts w:ascii="Calibri" w:hAnsi="Calibri" w:cs="Calibri"/>
                <w:b/>
                <w:bCs/>
                <w:i/>
                <w:iCs/>
                <w:color w:val="000000"/>
                <w:szCs w:val="20"/>
              </w:rPr>
              <w:t>Illegal Traffic</w:t>
            </w:r>
          </w:p>
        </w:tc>
        <w:tc>
          <w:tcPr>
            <w:tcW w:w="1480" w:type="dxa"/>
            <w:shd w:val="clear" w:color="auto" w:fill="FFC000"/>
          </w:tcPr>
          <w:p w:rsidR="003E24B5" w:rsidRPr="001A2696" w:rsidRDefault="003E24B5" w:rsidP="000426C2">
            <w:pPr>
              <w:spacing w:before="120" w:after="120"/>
              <w:jc w:val="left"/>
              <w:rPr>
                <w:rFonts w:ascii="Calibri" w:hAnsi="Calibri"/>
                <w:i/>
                <w:szCs w:val="20"/>
                <w:lang w:val="en-GB"/>
              </w:rPr>
            </w:pPr>
            <w:r w:rsidRPr="001A2696">
              <w:rPr>
                <w:rFonts w:ascii="Calibri" w:hAnsi="Calibri"/>
                <w:i/>
                <w:szCs w:val="20"/>
                <w:lang w:val="en-GB"/>
              </w:rPr>
              <w:t>For the purpose of this Convention, any transboundary movement of hazardous wastes or other wastes:</w:t>
            </w:r>
          </w:p>
          <w:p w:rsidR="003E24B5" w:rsidRPr="001A2696" w:rsidRDefault="003E24B5" w:rsidP="000426C2">
            <w:pPr>
              <w:spacing w:before="120" w:after="120"/>
              <w:jc w:val="left"/>
              <w:rPr>
                <w:rFonts w:ascii="Calibri" w:hAnsi="Calibri"/>
                <w:i/>
                <w:szCs w:val="20"/>
                <w:lang w:val="en-GB"/>
              </w:rPr>
            </w:pPr>
            <w:r>
              <w:rPr>
                <w:rFonts w:ascii="Calibri" w:hAnsi="Calibri"/>
                <w:i/>
                <w:szCs w:val="20"/>
                <w:lang w:val="en-GB"/>
              </w:rPr>
              <w:t xml:space="preserve">(a) </w:t>
            </w:r>
            <w:r w:rsidRPr="001A2696">
              <w:rPr>
                <w:rFonts w:ascii="Calibri" w:hAnsi="Calibri"/>
                <w:i/>
                <w:szCs w:val="20"/>
                <w:lang w:val="en-GB"/>
              </w:rPr>
              <w:t xml:space="preserve">without notification pursuant to the provisions of this Convention to all States </w:t>
            </w:r>
            <w:r w:rsidRPr="001A2696">
              <w:rPr>
                <w:rFonts w:ascii="Calibri" w:hAnsi="Calibri"/>
                <w:i/>
                <w:szCs w:val="20"/>
                <w:lang w:val="en-GB"/>
              </w:rPr>
              <w:lastRenderedPageBreak/>
              <w:t>concerned; or</w:t>
            </w:r>
          </w:p>
          <w:p w:rsidR="003E24B5" w:rsidRPr="001A2696" w:rsidRDefault="003E24B5" w:rsidP="000426C2">
            <w:pPr>
              <w:spacing w:before="120" w:after="120"/>
              <w:jc w:val="left"/>
              <w:rPr>
                <w:rFonts w:ascii="Calibri" w:hAnsi="Calibri"/>
                <w:i/>
                <w:szCs w:val="20"/>
                <w:lang w:val="en-GB"/>
              </w:rPr>
            </w:pPr>
            <w:r>
              <w:rPr>
                <w:rFonts w:ascii="Calibri" w:hAnsi="Calibri"/>
                <w:i/>
                <w:szCs w:val="20"/>
                <w:lang w:val="en-GB"/>
              </w:rPr>
              <w:t xml:space="preserve">(b) </w:t>
            </w:r>
            <w:r w:rsidRPr="001A2696">
              <w:rPr>
                <w:rFonts w:ascii="Calibri" w:hAnsi="Calibri"/>
                <w:i/>
                <w:szCs w:val="20"/>
                <w:lang w:val="en-GB"/>
              </w:rPr>
              <w:t>without the consent pursuant to the provisions of this Convention of a State concerned; or</w:t>
            </w:r>
          </w:p>
          <w:p w:rsidR="003E24B5" w:rsidRPr="001A2696" w:rsidRDefault="003E24B5" w:rsidP="000426C2">
            <w:pPr>
              <w:spacing w:before="120" w:after="120"/>
              <w:jc w:val="left"/>
              <w:rPr>
                <w:rFonts w:ascii="Calibri" w:hAnsi="Calibri"/>
                <w:i/>
                <w:szCs w:val="20"/>
                <w:lang w:val="en-GB"/>
              </w:rPr>
            </w:pPr>
            <w:r>
              <w:rPr>
                <w:rFonts w:ascii="Calibri" w:hAnsi="Calibri"/>
                <w:i/>
                <w:szCs w:val="20"/>
                <w:lang w:val="en-GB"/>
              </w:rPr>
              <w:t xml:space="preserve">(c) </w:t>
            </w:r>
            <w:r w:rsidRPr="001A2696">
              <w:rPr>
                <w:rFonts w:ascii="Calibri" w:hAnsi="Calibri"/>
                <w:i/>
                <w:szCs w:val="20"/>
                <w:lang w:val="en-GB"/>
              </w:rPr>
              <w:t>with consent obtained from States concerned through falsification, misrepresentation or fraud; or</w:t>
            </w:r>
          </w:p>
          <w:p w:rsidR="003E24B5" w:rsidRPr="001A2696" w:rsidRDefault="003E24B5" w:rsidP="000426C2">
            <w:pPr>
              <w:spacing w:before="120" w:after="120"/>
              <w:jc w:val="left"/>
              <w:rPr>
                <w:rFonts w:ascii="Calibri" w:hAnsi="Calibri"/>
                <w:i/>
                <w:szCs w:val="20"/>
                <w:lang w:val="en-GB"/>
              </w:rPr>
            </w:pPr>
            <w:r>
              <w:rPr>
                <w:rFonts w:ascii="Calibri" w:hAnsi="Calibri"/>
                <w:i/>
                <w:szCs w:val="20"/>
                <w:lang w:val="en-GB"/>
              </w:rPr>
              <w:t xml:space="preserve">(d) </w:t>
            </w:r>
            <w:r w:rsidRPr="001A2696">
              <w:rPr>
                <w:rFonts w:ascii="Calibri" w:hAnsi="Calibri"/>
                <w:i/>
                <w:szCs w:val="20"/>
                <w:lang w:val="en-GB"/>
              </w:rPr>
              <w:t>that does not conform in a material way with the documents; or</w:t>
            </w:r>
          </w:p>
          <w:p w:rsidR="003E24B5" w:rsidRDefault="003E24B5" w:rsidP="000426C2">
            <w:pPr>
              <w:spacing w:before="120" w:after="120"/>
              <w:jc w:val="left"/>
              <w:rPr>
                <w:rFonts w:ascii="Calibri" w:hAnsi="Calibri"/>
                <w:i/>
                <w:szCs w:val="20"/>
                <w:lang w:val="en-GB"/>
              </w:rPr>
            </w:pPr>
            <w:r>
              <w:rPr>
                <w:rFonts w:ascii="Calibri" w:hAnsi="Calibri"/>
                <w:i/>
                <w:szCs w:val="20"/>
                <w:lang w:val="en-GB"/>
              </w:rPr>
              <w:t xml:space="preserve">(e) </w:t>
            </w:r>
            <w:r w:rsidRPr="001A2696">
              <w:rPr>
                <w:rFonts w:ascii="Calibri" w:hAnsi="Calibri"/>
                <w:i/>
                <w:szCs w:val="20"/>
                <w:lang w:val="en-GB"/>
              </w:rPr>
              <w:t xml:space="preserve">that results in deliberate disposal (e.g. dumping) of </w:t>
            </w:r>
            <w:r w:rsidRPr="001A2696">
              <w:rPr>
                <w:rFonts w:ascii="Calibri" w:hAnsi="Calibri"/>
                <w:i/>
                <w:szCs w:val="20"/>
                <w:lang w:val="en-GB"/>
              </w:rPr>
              <w:lastRenderedPageBreak/>
              <w:t>hazardous wastes or other wastes in contravention of this Convention and of general principles of international law,</w:t>
            </w:r>
            <w:r>
              <w:rPr>
                <w:rFonts w:ascii="Calibri" w:hAnsi="Calibri"/>
                <w:i/>
                <w:szCs w:val="20"/>
                <w:lang w:val="en-GB"/>
              </w:rPr>
              <w:t xml:space="preserve"> </w:t>
            </w:r>
          </w:p>
          <w:p w:rsidR="003E24B5" w:rsidRPr="001A2696" w:rsidRDefault="003E24B5" w:rsidP="000426C2">
            <w:pPr>
              <w:spacing w:before="120" w:after="120"/>
              <w:jc w:val="left"/>
              <w:rPr>
                <w:rFonts w:ascii="Calibri" w:hAnsi="Calibri"/>
                <w:i/>
                <w:szCs w:val="20"/>
                <w:lang w:val="en-GB"/>
              </w:rPr>
            </w:pPr>
            <w:r w:rsidRPr="001A2696">
              <w:rPr>
                <w:rFonts w:ascii="Calibri" w:hAnsi="Calibri"/>
                <w:i/>
                <w:szCs w:val="20"/>
                <w:lang w:val="en-GB"/>
              </w:rPr>
              <w:t>shall be deemed to be illegal traffic.</w:t>
            </w:r>
          </w:p>
          <w:p w:rsidR="003E24B5" w:rsidRDefault="003E24B5" w:rsidP="000426C2">
            <w:pPr>
              <w:spacing w:before="120" w:after="120"/>
              <w:jc w:val="left"/>
              <w:rPr>
                <w:rFonts w:ascii="Calibri" w:hAnsi="Calibri"/>
                <w:i/>
                <w:szCs w:val="20"/>
              </w:rPr>
            </w:pPr>
          </w:p>
        </w:tc>
        <w:tc>
          <w:tcPr>
            <w:tcW w:w="1974" w:type="dxa"/>
            <w:shd w:val="clear" w:color="auto" w:fill="FFC000"/>
          </w:tcPr>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lastRenderedPageBreak/>
              <w:t>Consent not obtained;</w:t>
            </w:r>
          </w:p>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Falsification of consent</w:t>
            </w:r>
          </w:p>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Non-conforming consent</w:t>
            </w:r>
          </w:p>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Disposal contravenes intent of Basel convention</w:t>
            </w:r>
          </w:p>
        </w:tc>
        <w:tc>
          <w:tcPr>
            <w:tcW w:w="1891" w:type="dxa"/>
            <w:shd w:val="clear" w:color="auto" w:fill="FFC000"/>
          </w:tcPr>
          <w:p w:rsidR="003E24B5" w:rsidRPr="00796ABF"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Contravention of Basel Convention</w:t>
            </w:r>
          </w:p>
        </w:tc>
        <w:tc>
          <w:tcPr>
            <w:tcW w:w="2959" w:type="dxa"/>
            <w:shd w:val="clear" w:color="auto" w:fill="FFC000"/>
          </w:tcPr>
          <w:p w:rsidR="003E24B5" w:rsidRDefault="003E24B5" w:rsidP="000426C2">
            <w:pPr>
              <w:autoSpaceDE w:val="0"/>
              <w:autoSpaceDN w:val="0"/>
              <w:adjustRightInd w:val="0"/>
              <w:spacing w:before="120" w:after="120"/>
              <w:jc w:val="left"/>
              <w:rPr>
                <w:rFonts w:ascii="Calibri" w:hAnsi="Calibri"/>
                <w:szCs w:val="20"/>
              </w:rPr>
            </w:pPr>
            <w:r>
              <w:rPr>
                <w:rFonts w:ascii="Calibri" w:hAnsi="Calibri"/>
                <w:szCs w:val="20"/>
              </w:rPr>
              <w:t xml:space="preserve">Compliance with Section 40A of the Hazardous </w:t>
            </w:r>
            <w:r w:rsidRPr="001A2696">
              <w:rPr>
                <w:rFonts w:ascii="Calibri" w:hAnsi="Calibri"/>
                <w:bCs/>
                <w:iCs/>
                <w:szCs w:val="20"/>
                <w:lang w:val="en-US"/>
              </w:rPr>
              <w:t>Waste (Regulation of Exports and Imports) Act 1989</w:t>
            </w:r>
          </w:p>
        </w:tc>
        <w:tc>
          <w:tcPr>
            <w:tcW w:w="1151" w:type="dxa"/>
            <w:shd w:val="clear" w:color="auto" w:fill="FFC000"/>
          </w:tcPr>
          <w:p w:rsidR="003E24B5" w:rsidRDefault="003E24B5" w:rsidP="000426C2">
            <w:pPr>
              <w:spacing w:before="120" w:after="120"/>
              <w:jc w:val="left"/>
              <w:rPr>
                <w:rFonts w:ascii="Calibri" w:hAnsi="Calibri"/>
                <w:szCs w:val="20"/>
              </w:rPr>
            </w:pPr>
            <w:r>
              <w:rPr>
                <w:rFonts w:ascii="Calibri" w:hAnsi="Calibri"/>
                <w:szCs w:val="20"/>
              </w:rPr>
              <w:t xml:space="preserve">Adequate </w:t>
            </w:r>
          </w:p>
        </w:tc>
        <w:tc>
          <w:tcPr>
            <w:tcW w:w="659" w:type="dxa"/>
            <w:shd w:val="clear" w:color="auto" w:fill="FFC000"/>
          </w:tcPr>
          <w:p w:rsidR="003E24B5" w:rsidRDefault="003E24B5" w:rsidP="000426C2">
            <w:pPr>
              <w:spacing w:before="120" w:after="120"/>
              <w:jc w:val="left"/>
              <w:rPr>
                <w:rFonts w:ascii="Calibri" w:hAnsi="Calibri"/>
                <w:szCs w:val="20"/>
              </w:rPr>
            </w:pPr>
            <w:r>
              <w:rPr>
                <w:rFonts w:ascii="Calibri" w:hAnsi="Calibri"/>
                <w:szCs w:val="20"/>
              </w:rPr>
              <w:t>Unlikely</w:t>
            </w:r>
          </w:p>
        </w:tc>
        <w:tc>
          <w:tcPr>
            <w:tcW w:w="659" w:type="dxa"/>
            <w:shd w:val="clear" w:color="auto" w:fill="FFC000"/>
          </w:tcPr>
          <w:p w:rsidR="003E24B5" w:rsidRDefault="003E24B5" w:rsidP="000426C2">
            <w:pPr>
              <w:spacing w:before="120" w:after="120"/>
              <w:ind w:firstLine="3"/>
              <w:jc w:val="left"/>
              <w:rPr>
                <w:rFonts w:ascii="Calibri" w:hAnsi="Calibri"/>
                <w:szCs w:val="20"/>
              </w:rPr>
            </w:pPr>
            <w:r>
              <w:rPr>
                <w:rFonts w:ascii="Calibri" w:hAnsi="Calibri"/>
                <w:szCs w:val="20"/>
              </w:rPr>
              <w:t>Major</w:t>
            </w:r>
          </w:p>
        </w:tc>
        <w:tc>
          <w:tcPr>
            <w:tcW w:w="575" w:type="dxa"/>
            <w:shd w:val="clear" w:color="auto" w:fill="FFC000"/>
          </w:tcPr>
          <w:p w:rsidR="003E24B5" w:rsidRDefault="003E24B5" w:rsidP="000426C2">
            <w:pPr>
              <w:spacing w:before="120" w:after="120"/>
              <w:jc w:val="left"/>
              <w:rPr>
                <w:rFonts w:ascii="Calibri" w:hAnsi="Calibri"/>
                <w:szCs w:val="20"/>
              </w:rPr>
            </w:pPr>
            <w:r>
              <w:rPr>
                <w:rFonts w:ascii="Calibri" w:hAnsi="Calibri"/>
                <w:szCs w:val="20"/>
              </w:rPr>
              <w:t>High</w:t>
            </w:r>
          </w:p>
        </w:tc>
        <w:tc>
          <w:tcPr>
            <w:tcW w:w="1151" w:type="dxa"/>
            <w:shd w:val="clear" w:color="auto" w:fill="FFC000"/>
          </w:tcPr>
          <w:p w:rsidR="003E24B5" w:rsidRDefault="003E24B5" w:rsidP="000426C2">
            <w:pPr>
              <w:spacing w:before="120" w:after="120"/>
              <w:jc w:val="left"/>
              <w:rPr>
                <w:rFonts w:ascii="Calibri" w:hAnsi="Calibri"/>
                <w:szCs w:val="20"/>
              </w:rPr>
            </w:pPr>
            <w:r>
              <w:rPr>
                <w:rFonts w:ascii="Calibri" w:hAnsi="Calibri"/>
                <w:szCs w:val="20"/>
              </w:rPr>
              <w:t>Refer to Risk treatment plan</w:t>
            </w:r>
          </w:p>
        </w:tc>
      </w:tr>
      <w:tr w:rsidR="003E24B5" w:rsidTr="000426C2">
        <w:trPr>
          <w:trHeight w:val="173"/>
          <w:jc w:val="center"/>
        </w:trPr>
        <w:tc>
          <w:tcPr>
            <w:tcW w:w="13814" w:type="dxa"/>
            <w:gridSpan w:val="10"/>
            <w:shd w:val="clear" w:color="auto" w:fill="B8CCE4"/>
          </w:tcPr>
          <w:p w:rsidR="003E24B5" w:rsidRPr="00C109AE" w:rsidRDefault="003E24B5" w:rsidP="000426C2">
            <w:pPr>
              <w:spacing w:before="120" w:after="120"/>
              <w:jc w:val="left"/>
              <w:rPr>
                <w:rFonts w:ascii="Calibri" w:hAnsi="Calibri"/>
                <w:szCs w:val="20"/>
              </w:rPr>
            </w:pPr>
            <w:r w:rsidRPr="00C109AE">
              <w:rPr>
                <w:rFonts w:ascii="Calibri" w:hAnsi="Calibri" w:cs="Calibri"/>
                <w:b/>
                <w:bCs/>
                <w:i/>
                <w:iCs/>
                <w:color w:val="000000"/>
                <w:szCs w:val="20"/>
              </w:rPr>
              <w:lastRenderedPageBreak/>
              <w:t>Stockholm Convention on POPs</w:t>
            </w:r>
          </w:p>
        </w:tc>
      </w:tr>
      <w:tr w:rsidR="003E24B5" w:rsidTr="000426C2">
        <w:trPr>
          <w:trHeight w:val="173"/>
          <w:jc w:val="center"/>
        </w:trPr>
        <w:tc>
          <w:tcPr>
            <w:tcW w:w="1315" w:type="dxa"/>
            <w:tcBorders>
              <w:bottom w:val="nil"/>
            </w:tcBorders>
            <w:shd w:val="clear" w:color="auto" w:fill="FFC000"/>
          </w:tcPr>
          <w:p w:rsidR="003E24B5" w:rsidRPr="00C109AE" w:rsidRDefault="003E24B5" w:rsidP="000426C2">
            <w:pPr>
              <w:jc w:val="left"/>
              <w:rPr>
                <w:rFonts w:ascii="Calibri" w:hAnsi="Calibri" w:cs="Calibri"/>
                <w:b/>
                <w:bCs/>
                <w:i/>
                <w:iCs/>
                <w:color w:val="000000"/>
                <w:szCs w:val="20"/>
              </w:rPr>
            </w:pPr>
            <w:r w:rsidRPr="00C109AE">
              <w:rPr>
                <w:rFonts w:ascii="Calibri" w:hAnsi="Calibri" w:cs="Calibri"/>
                <w:b/>
                <w:bCs/>
                <w:i/>
                <w:iCs/>
                <w:color w:val="000000"/>
                <w:szCs w:val="20"/>
              </w:rPr>
              <w:t xml:space="preserve">Article 3 </w:t>
            </w:r>
            <w:r w:rsidRPr="00C109AE">
              <w:rPr>
                <w:rFonts w:ascii="Calibri" w:hAnsi="Calibri" w:cs="Calibri"/>
                <w:b/>
                <w:bCs/>
                <w:i/>
                <w:iCs/>
                <w:color w:val="000000"/>
                <w:szCs w:val="20"/>
                <w:lang w:val="en-US"/>
              </w:rPr>
              <w:t>Measures to reduce or eliminate releases from intentional production and use</w:t>
            </w:r>
          </w:p>
        </w:tc>
        <w:tc>
          <w:tcPr>
            <w:tcW w:w="1480" w:type="dxa"/>
            <w:tcBorders>
              <w:bottom w:val="nil"/>
            </w:tcBorders>
            <w:shd w:val="clear" w:color="auto" w:fill="FFC000"/>
          </w:tcPr>
          <w:p w:rsidR="003E24B5" w:rsidRDefault="003E24B5" w:rsidP="000426C2">
            <w:pPr>
              <w:spacing w:before="120" w:after="120"/>
              <w:jc w:val="left"/>
              <w:rPr>
                <w:rFonts w:ascii="Calibri" w:hAnsi="Calibri"/>
                <w:i/>
                <w:szCs w:val="20"/>
              </w:rPr>
            </w:pPr>
            <w:r w:rsidRPr="00237E46">
              <w:rPr>
                <w:rFonts w:ascii="Calibri" w:hAnsi="Calibri"/>
                <w:i/>
                <w:szCs w:val="20"/>
                <w:lang w:val="en-US"/>
              </w:rPr>
              <w:t>That a chemical listed in Annex A for which any production or use specific</w:t>
            </w:r>
            <w:r>
              <w:rPr>
                <w:rFonts w:ascii="Calibri" w:hAnsi="Calibri"/>
                <w:i/>
                <w:szCs w:val="20"/>
                <w:lang w:val="en-US"/>
              </w:rPr>
              <w:t xml:space="preserve"> </w:t>
            </w:r>
            <w:r w:rsidRPr="00237E46">
              <w:rPr>
                <w:rFonts w:ascii="Calibri" w:hAnsi="Calibri"/>
                <w:i/>
                <w:szCs w:val="20"/>
                <w:lang w:val="en-US"/>
              </w:rPr>
              <w:t xml:space="preserve">exemption is in effect or a chemical listed in Annex B for </w:t>
            </w:r>
            <w:r w:rsidRPr="00237E46">
              <w:rPr>
                <w:rFonts w:ascii="Calibri" w:hAnsi="Calibri"/>
                <w:i/>
                <w:szCs w:val="20"/>
                <w:lang w:val="en-US"/>
              </w:rPr>
              <w:lastRenderedPageBreak/>
              <w:t>which any production or use</w:t>
            </w:r>
            <w:r>
              <w:rPr>
                <w:rFonts w:ascii="Calibri" w:hAnsi="Calibri"/>
                <w:i/>
                <w:szCs w:val="20"/>
                <w:lang w:val="en-US"/>
              </w:rPr>
              <w:t xml:space="preserve"> </w:t>
            </w:r>
            <w:r w:rsidRPr="00237E46">
              <w:rPr>
                <w:rFonts w:ascii="Calibri" w:hAnsi="Calibri"/>
                <w:i/>
                <w:szCs w:val="20"/>
                <w:lang w:val="en-US"/>
              </w:rPr>
              <w:t>specific exemption or acceptable purpose is in effect, taking into account any relevant</w:t>
            </w:r>
            <w:r>
              <w:rPr>
                <w:rFonts w:ascii="Calibri" w:hAnsi="Calibri"/>
                <w:i/>
                <w:szCs w:val="20"/>
                <w:lang w:val="en-US"/>
              </w:rPr>
              <w:t xml:space="preserve"> </w:t>
            </w:r>
            <w:r w:rsidRPr="00237E46">
              <w:rPr>
                <w:rFonts w:ascii="Calibri" w:hAnsi="Calibri"/>
                <w:i/>
                <w:szCs w:val="20"/>
                <w:lang w:val="en-US"/>
              </w:rPr>
              <w:t>provisions in existing international prior informed consent instruments, is exported only:</w:t>
            </w:r>
            <w:r w:rsidRPr="00237E46">
              <w:rPr>
                <w:rFonts w:ascii="Calibri" w:hAnsi="Calibri"/>
                <w:i/>
                <w:szCs w:val="20"/>
              </w:rPr>
              <w:t xml:space="preserve"> </w:t>
            </w:r>
          </w:p>
        </w:tc>
        <w:tc>
          <w:tcPr>
            <w:tcW w:w="1974" w:type="dxa"/>
            <w:tcBorders>
              <w:bottom w:val="nil"/>
            </w:tcBorders>
            <w:shd w:val="clear" w:color="auto" w:fill="FFC000"/>
          </w:tcPr>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lastRenderedPageBreak/>
              <w:t>Export not for environmentally sound disposal</w:t>
            </w:r>
          </w:p>
        </w:tc>
        <w:tc>
          <w:tcPr>
            <w:tcW w:w="1891" w:type="dxa"/>
            <w:tcBorders>
              <w:bottom w:val="nil"/>
            </w:tcBorders>
            <w:shd w:val="clear" w:color="auto" w:fill="FFC000"/>
          </w:tcPr>
          <w:p w:rsidR="003E24B5" w:rsidRPr="00796ABF"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Contravention of the Basel and Stockholm Conventions</w:t>
            </w:r>
          </w:p>
        </w:tc>
        <w:tc>
          <w:tcPr>
            <w:tcW w:w="2959" w:type="dxa"/>
            <w:tcBorders>
              <w:bottom w:val="nil"/>
            </w:tcBorders>
            <w:shd w:val="clear" w:color="auto" w:fill="FFC000"/>
          </w:tcPr>
          <w:p w:rsidR="003E24B5" w:rsidRDefault="003E24B5" w:rsidP="000426C2">
            <w:pPr>
              <w:autoSpaceDE w:val="0"/>
              <w:autoSpaceDN w:val="0"/>
              <w:adjustRightInd w:val="0"/>
              <w:spacing w:before="120" w:after="120"/>
              <w:jc w:val="left"/>
              <w:rPr>
                <w:rFonts w:ascii="Calibri" w:hAnsi="Calibri"/>
                <w:szCs w:val="20"/>
              </w:rPr>
            </w:pPr>
            <w:r>
              <w:rPr>
                <w:rFonts w:ascii="Calibri" w:hAnsi="Calibri"/>
                <w:szCs w:val="20"/>
              </w:rPr>
              <w:t xml:space="preserve">Where the Stockholm POP is identified as a waste that requires final disposal, then compliance with Section 40A of the Hazardous </w:t>
            </w:r>
            <w:r w:rsidRPr="001A2696">
              <w:rPr>
                <w:rFonts w:ascii="Calibri" w:hAnsi="Calibri"/>
                <w:bCs/>
                <w:iCs/>
                <w:szCs w:val="20"/>
                <w:lang w:val="en-US"/>
              </w:rPr>
              <w:t>Waste (Regulation of Exports and Imports) Act 1989</w:t>
            </w:r>
            <w:r>
              <w:rPr>
                <w:rFonts w:ascii="Calibri" w:hAnsi="Calibri"/>
                <w:bCs/>
                <w:iCs/>
                <w:szCs w:val="20"/>
                <w:lang w:val="en-US"/>
              </w:rPr>
              <w:t xml:space="preserve"> is required. </w:t>
            </w:r>
          </w:p>
        </w:tc>
        <w:tc>
          <w:tcPr>
            <w:tcW w:w="1151" w:type="dxa"/>
            <w:tcBorders>
              <w:bottom w:val="nil"/>
            </w:tcBorders>
            <w:shd w:val="clear" w:color="auto" w:fill="FFC000"/>
          </w:tcPr>
          <w:p w:rsidR="003E24B5" w:rsidRDefault="003E24B5" w:rsidP="000426C2">
            <w:pPr>
              <w:spacing w:before="120" w:after="120"/>
              <w:jc w:val="left"/>
              <w:rPr>
                <w:rFonts w:ascii="Calibri" w:hAnsi="Calibri"/>
                <w:szCs w:val="20"/>
              </w:rPr>
            </w:pPr>
            <w:r>
              <w:rPr>
                <w:rFonts w:ascii="Calibri" w:hAnsi="Calibri"/>
                <w:szCs w:val="20"/>
              </w:rPr>
              <w:t xml:space="preserve">Adequate </w:t>
            </w:r>
          </w:p>
        </w:tc>
        <w:tc>
          <w:tcPr>
            <w:tcW w:w="659" w:type="dxa"/>
            <w:tcBorders>
              <w:bottom w:val="nil"/>
            </w:tcBorders>
            <w:shd w:val="clear" w:color="auto" w:fill="FFC000"/>
          </w:tcPr>
          <w:p w:rsidR="003E24B5" w:rsidRDefault="003E24B5" w:rsidP="000426C2">
            <w:pPr>
              <w:spacing w:before="120" w:after="120"/>
              <w:jc w:val="left"/>
              <w:rPr>
                <w:rFonts w:ascii="Calibri" w:hAnsi="Calibri"/>
                <w:szCs w:val="20"/>
              </w:rPr>
            </w:pPr>
            <w:r>
              <w:rPr>
                <w:rFonts w:ascii="Calibri" w:hAnsi="Calibri"/>
                <w:szCs w:val="20"/>
              </w:rPr>
              <w:t>Unlikely</w:t>
            </w:r>
          </w:p>
        </w:tc>
        <w:tc>
          <w:tcPr>
            <w:tcW w:w="659" w:type="dxa"/>
            <w:tcBorders>
              <w:bottom w:val="nil"/>
            </w:tcBorders>
            <w:shd w:val="clear" w:color="auto" w:fill="FFC000"/>
          </w:tcPr>
          <w:p w:rsidR="003E24B5" w:rsidRDefault="003E24B5" w:rsidP="000426C2">
            <w:pPr>
              <w:spacing w:before="120" w:after="120"/>
              <w:ind w:firstLine="3"/>
              <w:jc w:val="left"/>
              <w:rPr>
                <w:rFonts w:ascii="Calibri" w:hAnsi="Calibri"/>
                <w:szCs w:val="20"/>
              </w:rPr>
            </w:pPr>
            <w:r>
              <w:rPr>
                <w:rFonts w:ascii="Calibri" w:hAnsi="Calibri"/>
                <w:szCs w:val="20"/>
              </w:rPr>
              <w:t>Major</w:t>
            </w:r>
          </w:p>
        </w:tc>
        <w:tc>
          <w:tcPr>
            <w:tcW w:w="575" w:type="dxa"/>
            <w:tcBorders>
              <w:bottom w:val="nil"/>
            </w:tcBorders>
            <w:shd w:val="clear" w:color="auto" w:fill="FFC000"/>
          </w:tcPr>
          <w:p w:rsidR="003E24B5" w:rsidRDefault="003E24B5" w:rsidP="000426C2">
            <w:pPr>
              <w:spacing w:before="120" w:after="120"/>
              <w:jc w:val="left"/>
              <w:rPr>
                <w:rFonts w:ascii="Calibri" w:hAnsi="Calibri"/>
                <w:szCs w:val="20"/>
              </w:rPr>
            </w:pPr>
            <w:r>
              <w:rPr>
                <w:rFonts w:ascii="Calibri" w:hAnsi="Calibri"/>
                <w:szCs w:val="20"/>
              </w:rPr>
              <w:t>High</w:t>
            </w:r>
          </w:p>
        </w:tc>
        <w:tc>
          <w:tcPr>
            <w:tcW w:w="1151" w:type="dxa"/>
            <w:tcBorders>
              <w:bottom w:val="nil"/>
            </w:tcBorders>
            <w:shd w:val="clear" w:color="auto" w:fill="FFC000"/>
          </w:tcPr>
          <w:p w:rsidR="003E24B5" w:rsidRDefault="003E24B5" w:rsidP="000426C2">
            <w:pPr>
              <w:spacing w:before="120" w:after="120"/>
              <w:jc w:val="left"/>
              <w:rPr>
                <w:rFonts w:ascii="Calibri" w:hAnsi="Calibri"/>
                <w:szCs w:val="20"/>
              </w:rPr>
            </w:pPr>
          </w:p>
        </w:tc>
      </w:tr>
      <w:tr w:rsidR="003E24B5" w:rsidTr="000426C2">
        <w:trPr>
          <w:trHeight w:val="173"/>
          <w:jc w:val="center"/>
        </w:trPr>
        <w:tc>
          <w:tcPr>
            <w:tcW w:w="1315" w:type="dxa"/>
            <w:tcBorders>
              <w:top w:val="nil"/>
            </w:tcBorders>
            <w:shd w:val="clear" w:color="auto" w:fill="FFC000"/>
          </w:tcPr>
          <w:p w:rsidR="003E24B5" w:rsidRPr="00C109AE" w:rsidRDefault="003E24B5" w:rsidP="000426C2">
            <w:pPr>
              <w:jc w:val="left"/>
              <w:rPr>
                <w:rFonts w:ascii="Calibri" w:hAnsi="Calibri" w:cs="Calibri"/>
                <w:b/>
                <w:bCs/>
                <w:i/>
                <w:iCs/>
                <w:color w:val="000000"/>
                <w:szCs w:val="20"/>
              </w:rPr>
            </w:pPr>
          </w:p>
        </w:tc>
        <w:tc>
          <w:tcPr>
            <w:tcW w:w="1480" w:type="dxa"/>
            <w:tcBorders>
              <w:top w:val="nil"/>
            </w:tcBorders>
            <w:shd w:val="clear" w:color="auto" w:fill="FFC000"/>
          </w:tcPr>
          <w:p w:rsidR="003E24B5" w:rsidRDefault="003E24B5" w:rsidP="000426C2">
            <w:pPr>
              <w:spacing w:before="120" w:after="120"/>
              <w:jc w:val="left"/>
              <w:rPr>
                <w:rFonts w:ascii="Calibri" w:hAnsi="Calibri"/>
                <w:i/>
                <w:szCs w:val="20"/>
              </w:rPr>
            </w:pPr>
            <w:r w:rsidRPr="00237E46">
              <w:rPr>
                <w:rFonts w:ascii="Calibri" w:hAnsi="Calibri"/>
                <w:i/>
                <w:szCs w:val="20"/>
                <w:lang w:val="en-US"/>
              </w:rPr>
              <w:t>(i) For the purpose of environmentally sound disposal as set forth in paragraph1 (d) of Article 6;</w:t>
            </w:r>
          </w:p>
        </w:tc>
        <w:tc>
          <w:tcPr>
            <w:tcW w:w="1974" w:type="dxa"/>
            <w:tcBorders>
              <w:top w:val="nil"/>
            </w:tcBorders>
            <w:shd w:val="clear" w:color="auto" w:fill="FFC000"/>
          </w:tcPr>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Export not for environmentally sound disposal</w:t>
            </w:r>
          </w:p>
        </w:tc>
        <w:tc>
          <w:tcPr>
            <w:tcW w:w="1891" w:type="dxa"/>
            <w:tcBorders>
              <w:top w:val="nil"/>
            </w:tcBorders>
            <w:shd w:val="clear" w:color="auto" w:fill="FFC000"/>
          </w:tcPr>
          <w:p w:rsidR="003E24B5" w:rsidRPr="00796ABF"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Contravention of Basel and Stockholm Conventions</w:t>
            </w:r>
          </w:p>
        </w:tc>
        <w:tc>
          <w:tcPr>
            <w:tcW w:w="2959" w:type="dxa"/>
            <w:tcBorders>
              <w:top w:val="nil"/>
            </w:tcBorders>
            <w:shd w:val="clear" w:color="auto" w:fill="FFC000"/>
          </w:tcPr>
          <w:p w:rsidR="003E24B5" w:rsidRDefault="003E24B5" w:rsidP="000426C2">
            <w:pPr>
              <w:autoSpaceDE w:val="0"/>
              <w:autoSpaceDN w:val="0"/>
              <w:adjustRightInd w:val="0"/>
              <w:spacing w:before="120" w:after="120"/>
              <w:jc w:val="left"/>
              <w:rPr>
                <w:rFonts w:ascii="Calibri" w:hAnsi="Calibri"/>
                <w:szCs w:val="20"/>
              </w:rPr>
            </w:pPr>
            <w:r>
              <w:rPr>
                <w:rFonts w:ascii="Calibri" w:hAnsi="Calibri"/>
                <w:szCs w:val="20"/>
              </w:rPr>
              <w:t xml:space="preserve">Compliance with Section 40A of the Hazardous </w:t>
            </w:r>
            <w:r w:rsidRPr="001A2696">
              <w:rPr>
                <w:rFonts w:ascii="Calibri" w:hAnsi="Calibri"/>
                <w:bCs/>
                <w:iCs/>
                <w:szCs w:val="20"/>
                <w:lang w:val="en-US"/>
              </w:rPr>
              <w:t>Waste (Regulation of Exports and Imports) Act 1989</w:t>
            </w:r>
          </w:p>
        </w:tc>
        <w:tc>
          <w:tcPr>
            <w:tcW w:w="1151" w:type="dxa"/>
            <w:tcBorders>
              <w:top w:val="nil"/>
            </w:tcBorders>
            <w:shd w:val="clear" w:color="auto" w:fill="FFC000"/>
          </w:tcPr>
          <w:p w:rsidR="003E24B5" w:rsidRDefault="003E24B5" w:rsidP="000426C2">
            <w:pPr>
              <w:spacing w:before="120" w:after="120"/>
              <w:jc w:val="left"/>
              <w:rPr>
                <w:rFonts w:ascii="Calibri" w:hAnsi="Calibri"/>
                <w:szCs w:val="20"/>
              </w:rPr>
            </w:pPr>
            <w:r>
              <w:rPr>
                <w:rFonts w:ascii="Calibri" w:hAnsi="Calibri"/>
                <w:szCs w:val="20"/>
              </w:rPr>
              <w:t xml:space="preserve">Adequate </w:t>
            </w:r>
          </w:p>
        </w:tc>
        <w:tc>
          <w:tcPr>
            <w:tcW w:w="659" w:type="dxa"/>
            <w:tcBorders>
              <w:top w:val="nil"/>
            </w:tcBorders>
            <w:shd w:val="clear" w:color="auto" w:fill="FFC000"/>
          </w:tcPr>
          <w:p w:rsidR="003E24B5" w:rsidRDefault="003E24B5" w:rsidP="000426C2">
            <w:pPr>
              <w:spacing w:before="120" w:after="120"/>
              <w:jc w:val="left"/>
              <w:rPr>
                <w:rFonts w:ascii="Calibri" w:hAnsi="Calibri"/>
                <w:szCs w:val="20"/>
              </w:rPr>
            </w:pPr>
            <w:r>
              <w:rPr>
                <w:rFonts w:ascii="Calibri" w:hAnsi="Calibri"/>
                <w:szCs w:val="20"/>
              </w:rPr>
              <w:t>Unlikely</w:t>
            </w:r>
          </w:p>
        </w:tc>
        <w:tc>
          <w:tcPr>
            <w:tcW w:w="659" w:type="dxa"/>
            <w:tcBorders>
              <w:top w:val="nil"/>
            </w:tcBorders>
            <w:shd w:val="clear" w:color="auto" w:fill="FFC000"/>
          </w:tcPr>
          <w:p w:rsidR="003E24B5" w:rsidRDefault="003E24B5" w:rsidP="000426C2">
            <w:pPr>
              <w:spacing w:before="120" w:after="120"/>
              <w:ind w:firstLine="3"/>
              <w:jc w:val="left"/>
              <w:rPr>
                <w:rFonts w:ascii="Calibri" w:hAnsi="Calibri"/>
                <w:szCs w:val="20"/>
              </w:rPr>
            </w:pPr>
            <w:r>
              <w:rPr>
                <w:rFonts w:ascii="Calibri" w:hAnsi="Calibri"/>
                <w:szCs w:val="20"/>
              </w:rPr>
              <w:t>Major</w:t>
            </w:r>
          </w:p>
        </w:tc>
        <w:tc>
          <w:tcPr>
            <w:tcW w:w="575" w:type="dxa"/>
            <w:tcBorders>
              <w:top w:val="nil"/>
            </w:tcBorders>
            <w:shd w:val="clear" w:color="auto" w:fill="FFC000"/>
          </w:tcPr>
          <w:p w:rsidR="003E24B5" w:rsidRDefault="003E24B5" w:rsidP="000426C2">
            <w:pPr>
              <w:spacing w:before="120" w:after="120"/>
              <w:jc w:val="left"/>
              <w:rPr>
                <w:rFonts w:ascii="Calibri" w:hAnsi="Calibri"/>
                <w:szCs w:val="20"/>
              </w:rPr>
            </w:pPr>
            <w:r>
              <w:rPr>
                <w:rFonts w:ascii="Calibri" w:hAnsi="Calibri"/>
                <w:szCs w:val="20"/>
              </w:rPr>
              <w:t>High</w:t>
            </w:r>
          </w:p>
        </w:tc>
        <w:tc>
          <w:tcPr>
            <w:tcW w:w="1151" w:type="dxa"/>
            <w:tcBorders>
              <w:top w:val="nil"/>
            </w:tcBorders>
            <w:shd w:val="clear" w:color="auto" w:fill="FFC000"/>
          </w:tcPr>
          <w:p w:rsidR="003E24B5" w:rsidRDefault="003E24B5" w:rsidP="000426C2">
            <w:pPr>
              <w:spacing w:before="120" w:after="120"/>
              <w:jc w:val="left"/>
              <w:rPr>
                <w:rFonts w:ascii="Calibri" w:hAnsi="Calibri"/>
                <w:szCs w:val="20"/>
              </w:rPr>
            </w:pPr>
          </w:p>
        </w:tc>
      </w:tr>
      <w:tr w:rsidR="003E24B5" w:rsidTr="00EC6CB0">
        <w:trPr>
          <w:trHeight w:val="173"/>
          <w:jc w:val="center"/>
        </w:trPr>
        <w:tc>
          <w:tcPr>
            <w:tcW w:w="1315" w:type="dxa"/>
            <w:tcBorders>
              <w:bottom w:val="nil"/>
            </w:tcBorders>
            <w:shd w:val="clear" w:color="auto" w:fill="FFC000"/>
          </w:tcPr>
          <w:p w:rsidR="003E24B5" w:rsidRPr="00C109AE" w:rsidRDefault="003E24B5" w:rsidP="000426C2">
            <w:pPr>
              <w:jc w:val="left"/>
              <w:rPr>
                <w:rFonts w:ascii="Calibri" w:hAnsi="Calibri" w:cs="Calibri"/>
                <w:b/>
                <w:bCs/>
                <w:i/>
                <w:iCs/>
                <w:color w:val="000000"/>
                <w:szCs w:val="20"/>
              </w:rPr>
            </w:pPr>
          </w:p>
        </w:tc>
        <w:tc>
          <w:tcPr>
            <w:tcW w:w="1480" w:type="dxa"/>
            <w:tcBorders>
              <w:bottom w:val="nil"/>
            </w:tcBorders>
            <w:shd w:val="clear" w:color="auto" w:fill="FFC000"/>
          </w:tcPr>
          <w:p w:rsidR="003E24B5" w:rsidRPr="00237E46" w:rsidRDefault="003E24B5" w:rsidP="000426C2">
            <w:pPr>
              <w:spacing w:before="120" w:after="120"/>
              <w:jc w:val="left"/>
              <w:rPr>
                <w:rFonts w:ascii="Calibri" w:hAnsi="Calibri"/>
                <w:i/>
                <w:szCs w:val="20"/>
                <w:lang w:val="en-US"/>
              </w:rPr>
            </w:pPr>
            <w:r w:rsidRPr="00237E46">
              <w:rPr>
                <w:rFonts w:ascii="Calibri" w:hAnsi="Calibri"/>
                <w:i/>
                <w:szCs w:val="20"/>
                <w:lang w:val="en-US"/>
              </w:rPr>
              <w:t>(ii) To a Party which is</w:t>
            </w:r>
            <w:r>
              <w:rPr>
                <w:rFonts w:ascii="Calibri" w:hAnsi="Calibri"/>
                <w:i/>
                <w:szCs w:val="20"/>
                <w:lang w:val="en-US"/>
              </w:rPr>
              <w:t xml:space="preserve"> </w:t>
            </w:r>
            <w:r>
              <w:rPr>
                <w:rFonts w:ascii="Calibri" w:hAnsi="Calibri"/>
                <w:i/>
                <w:szCs w:val="20"/>
                <w:lang w:val="en-US"/>
              </w:rPr>
              <w:lastRenderedPageBreak/>
              <w:t xml:space="preserve">permitted to use that chemical </w:t>
            </w:r>
            <w:r w:rsidRPr="00237E46">
              <w:rPr>
                <w:rFonts w:ascii="Calibri" w:hAnsi="Calibri"/>
                <w:i/>
                <w:szCs w:val="20"/>
                <w:lang w:val="en-US"/>
              </w:rPr>
              <w:t>under Annex A or</w:t>
            </w:r>
            <w:r>
              <w:rPr>
                <w:rFonts w:ascii="Calibri" w:hAnsi="Calibri"/>
                <w:i/>
                <w:szCs w:val="20"/>
                <w:lang w:val="en-US"/>
              </w:rPr>
              <w:t xml:space="preserve"> </w:t>
            </w:r>
            <w:r w:rsidRPr="00237E46">
              <w:rPr>
                <w:rFonts w:ascii="Calibri" w:hAnsi="Calibri"/>
                <w:i/>
                <w:szCs w:val="20"/>
                <w:lang w:val="en-US"/>
              </w:rPr>
              <w:t>Annex B; or</w:t>
            </w:r>
          </w:p>
        </w:tc>
        <w:tc>
          <w:tcPr>
            <w:tcW w:w="1974" w:type="dxa"/>
            <w:tcBorders>
              <w:bottom w:val="nil"/>
            </w:tcBorders>
            <w:shd w:val="clear" w:color="auto" w:fill="FFC000"/>
          </w:tcPr>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lastRenderedPageBreak/>
              <w:t xml:space="preserve">Export not to party permitted </w:t>
            </w:r>
            <w:r>
              <w:rPr>
                <w:rFonts w:ascii="Calibri" w:hAnsi="Calibri"/>
                <w:szCs w:val="20"/>
              </w:rPr>
              <w:lastRenderedPageBreak/>
              <w:t>to use the chemical</w:t>
            </w:r>
          </w:p>
        </w:tc>
        <w:tc>
          <w:tcPr>
            <w:tcW w:w="1891" w:type="dxa"/>
            <w:tcBorders>
              <w:bottom w:val="nil"/>
            </w:tcBorders>
            <w:shd w:val="clear" w:color="auto" w:fill="FFC000"/>
          </w:tcPr>
          <w:p w:rsidR="003E24B5" w:rsidRPr="00796ABF" w:rsidRDefault="003E24B5" w:rsidP="00162446">
            <w:pPr>
              <w:pStyle w:val="ListParagraph"/>
              <w:numPr>
                <w:ilvl w:val="0"/>
                <w:numId w:val="41"/>
              </w:numPr>
              <w:spacing w:before="120" w:after="120"/>
              <w:jc w:val="left"/>
              <w:rPr>
                <w:rFonts w:ascii="Calibri" w:hAnsi="Calibri"/>
                <w:szCs w:val="20"/>
              </w:rPr>
            </w:pPr>
            <w:r>
              <w:rPr>
                <w:rFonts w:ascii="Calibri" w:hAnsi="Calibri"/>
                <w:szCs w:val="20"/>
              </w:rPr>
              <w:lastRenderedPageBreak/>
              <w:t xml:space="preserve">Contravention of Stockholm </w:t>
            </w:r>
            <w:r>
              <w:rPr>
                <w:rFonts w:ascii="Calibri" w:hAnsi="Calibri"/>
                <w:szCs w:val="20"/>
              </w:rPr>
              <w:lastRenderedPageBreak/>
              <w:t>Convention</w:t>
            </w:r>
          </w:p>
        </w:tc>
        <w:tc>
          <w:tcPr>
            <w:tcW w:w="2959" w:type="dxa"/>
            <w:tcBorders>
              <w:bottom w:val="nil"/>
            </w:tcBorders>
            <w:shd w:val="clear" w:color="auto" w:fill="FFC000"/>
          </w:tcPr>
          <w:p w:rsidR="003E24B5" w:rsidRDefault="003E24B5" w:rsidP="00EC6CB0">
            <w:pPr>
              <w:spacing w:before="120" w:after="120"/>
              <w:jc w:val="left"/>
              <w:rPr>
                <w:rFonts w:ascii="Calibri" w:hAnsi="Calibri"/>
                <w:szCs w:val="20"/>
              </w:rPr>
            </w:pPr>
            <w:r>
              <w:rPr>
                <w:rFonts w:ascii="Calibri" w:hAnsi="Calibri"/>
                <w:szCs w:val="20"/>
              </w:rPr>
              <w:lastRenderedPageBreak/>
              <w:t xml:space="preserve">Commonwealth Government does not appear to have a direct </w:t>
            </w:r>
            <w:r>
              <w:rPr>
                <w:rFonts w:ascii="Calibri" w:hAnsi="Calibri"/>
                <w:szCs w:val="20"/>
              </w:rPr>
              <w:lastRenderedPageBreak/>
              <w:t>control in place*</w:t>
            </w:r>
          </w:p>
        </w:tc>
        <w:tc>
          <w:tcPr>
            <w:tcW w:w="1151" w:type="dxa"/>
            <w:tcBorders>
              <w:bottom w:val="nil"/>
            </w:tcBorders>
            <w:shd w:val="clear" w:color="auto" w:fill="FFC000"/>
          </w:tcPr>
          <w:p w:rsidR="003E24B5" w:rsidRDefault="003E24B5" w:rsidP="00EC6CB0">
            <w:pPr>
              <w:spacing w:before="120" w:after="120"/>
              <w:jc w:val="left"/>
              <w:rPr>
                <w:rFonts w:ascii="Calibri" w:hAnsi="Calibri"/>
                <w:szCs w:val="20"/>
              </w:rPr>
            </w:pPr>
            <w:r>
              <w:rPr>
                <w:rFonts w:ascii="Calibri" w:hAnsi="Calibri"/>
                <w:szCs w:val="20"/>
              </w:rPr>
              <w:lastRenderedPageBreak/>
              <w:t xml:space="preserve">Inadequate* </w:t>
            </w:r>
          </w:p>
        </w:tc>
        <w:tc>
          <w:tcPr>
            <w:tcW w:w="659" w:type="dxa"/>
            <w:tcBorders>
              <w:bottom w:val="nil"/>
            </w:tcBorders>
            <w:shd w:val="clear" w:color="auto" w:fill="FFC000"/>
          </w:tcPr>
          <w:p w:rsidR="003E24B5" w:rsidRDefault="003E24B5" w:rsidP="000426C2">
            <w:pPr>
              <w:spacing w:before="120" w:after="120"/>
              <w:jc w:val="left"/>
              <w:rPr>
                <w:rFonts w:ascii="Calibri" w:hAnsi="Calibri"/>
                <w:szCs w:val="20"/>
              </w:rPr>
            </w:pPr>
            <w:r>
              <w:rPr>
                <w:rFonts w:ascii="Calibri" w:hAnsi="Calibri"/>
                <w:szCs w:val="20"/>
              </w:rPr>
              <w:t>*</w:t>
            </w:r>
          </w:p>
        </w:tc>
        <w:tc>
          <w:tcPr>
            <w:tcW w:w="659" w:type="dxa"/>
            <w:tcBorders>
              <w:bottom w:val="nil"/>
            </w:tcBorders>
            <w:shd w:val="clear" w:color="auto" w:fill="FFC000"/>
          </w:tcPr>
          <w:p w:rsidR="003E24B5" w:rsidRDefault="003E24B5" w:rsidP="000426C2">
            <w:pPr>
              <w:spacing w:before="120" w:after="120"/>
              <w:ind w:firstLine="3"/>
              <w:jc w:val="left"/>
              <w:rPr>
                <w:rFonts w:ascii="Calibri" w:hAnsi="Calibri"/>
                <w:szCs w:val="20"/>
              </w:rPr>
            </w:pPr>
            <w:r>
              <w:rPr>
                <w:rFonts w:ascii="Calibri" w:hAnsi="Calibri"/>
                <w:szCs w:val="20"/>
              </w:rPr>
              <w:t>*</w:t>
            </w:r>
          </w:p>
        </w:tc>
        <w:tc>
          <w:tcPr>
            <w:tcW w:w="575" w:type="dxa"/>
            <w:tcBorders>
              <w:bottom w:val="nil"/>
            </w:tcBorders>
            <w:shd w:val="clear" w:color="auto" w:fill="FFC000"/>
          </w:tcPr>
          <w:p w:rsidR="003E24B5" w:rsidRDefault="003E24B5" w:rsidP="000426C2">
            <w:pPr>
              <w:spacing w:before="120" w:after="120"/>
              <w:jc w:val="left"/>
              <w:rPr>
                <w:rFonts w:ascii="Calibri" w:hAnsi="Calibri"/>
                <w:szCs w:val="20"/>
              </w:rPr>
            </w:pPr>
            <w:r>
              <w:rPr>
                <w:rFonts w:ascii="Calibri" w:hAnsi="Calibri"/>
                <w:szCs w:val="20"/>
              </w:rPr>
              <w:t>*</w:t>
            </w:r>
          </w:p>
        </w:tc>
        <w:tc>
          <w:tcPr>
            <w:tcW w:w="1151" w:type="dxa"/>
            <w:tcBorders>
              <w:bottom w:val="nil"/>
            </w:tcBorders>
            <w:shd w:val="clear" w:color="auto" w:fill="FFC000"/>
          </w:tcPr>
          <w:p w:rsidR="003E24B5" w:rsidRDefault="003E24B5" w:rsidP="000426C2">
            <w:pPr>
              <w:spacing w:before="120" w:after="120"/>
              <w:jc w:val="left"/>
              <w:rPr>
                <w:rFonts w:ascii="Calibri" w:hAnsi="Calibri"/>
                <w:szCs w:val="20"/>
              </w:rPr>
            </w:pPr>
            <w:r>
              <w:rPr>
                <w:rFonts w:ascii="Calibri" w:hAnsi="Calibri"/>
                <w:szCs w:val="20"/>
              </w:rPr>
              <w:t>*</w:t>
            </w:r>
          </w:p>
        </w:tc>
      </w:tr>
      <w:tr w:rsidR="003E24B5" w:rsidTr="00EC6CB0">
        <w:trPr>
          <w:trHeight w:val="173"/>
          <w:jc w:val="center"/>
        </w:trPr>
        <w:tc>
          <w:tcPr>
            <w:tcW w:w="1315" w:type="dxa"/>
            <w:tcBorders>
              <w:top w:val="nil"/>
              <w:bottom w:val="nil"/>
            </w:tcBorders>
            <w:shd w:val="clear" w:color="auto" w:fill="FFC000"/>
          </w:tcPr>
          <w:p w:rsidR="003E24B5" w:rsidRPr="00C109AE" w:rsidRDefault="003E24B5" w:rsidP="000426C2">
            <w:pPr>
              <w:jc w:val="left"/>
              <w:rPr>
                <w:rFonts w:ascii="Calibri" w:hAnsi="Calibri" w:cs="Calibri"/>
                <w:b/>
                <w:bCs/>
                <w:i/>
                <w:iCs/>
                <w:color w:val="000000"/>
                <w:szCs w:val="20"/>
              </w:rPr>
            </w:pPr>
          </w:p>
        </w:tc>
        <w:tc>
          <w:tcPr>
            <w:tcW w:w="1480" w:type="dxa"/>
            <w:tcBorders>
              <w:top w:val="nil"/>
              <w:bottom w:val="nil"/>
            </w:tcBorders>
            <w:shd w:val="clear" w:color="auto" w:fill="FFC000"/>
          </w:tcPr>
          <w:p w:rsidR="003E24B5" w:rsidRDefault="003E24B5" w:rsidP="000426C2">
            <w:pPr>
              <w:spacing w:before="120" w:after="120"/>
              <w:jc w:val="left"/>
              <w:rPr>
                <w:rFonts w:ascii="Calibri" w:hAnsi="Calibri"/>
                <w:i/>
                <w:szCs w:val="20"/>
                <w:lang w:val="en-US"/>
              </w:rPr>
            </w:pPr>
            <w:r w:rsidRPr="00237E46">
              <w:rPr>
                <w:rFonts w:ascii="Calibri" w:hAnsi="Calibri"/>
                <w:i/>
                <w:szCs w:val="20"/>
                <w:lang w:val="en-US"/>
              </w:rPr>
              <w:t>(iii) To a State not Party to this Convention which has provided an annual</w:t>
            </w:r>
            <w:r>
              <w:rPr>
                <w:rFonts w:ascii="Calibri" w:hAnsi="Calibri"/>
                <w:i/>
                <w:szCs w:val="20"/>
                <w:lang w:val="en-US"/>
              </w:rPr>
              <w:t xml:space="preserve"> </w:t>
            </w:r>
            <w:r w:rsidRPr="00237E46">
              <w:rPr>
                <w:rFonts w:ascii="Calibri" w:hAnsi="Calibri"/>
                <w:i/>
                <w:szCs w:val="20"/>
                <w:lang w:val="en-US"/>
              </w:rPr>
              <w:t>certification to the exporting Party.</w:t>
            </w:r>
            <w:r>
              <w:rPr>
                <w:rFonts w:ascii="Calibri" w:hAnsi="Calibri"/>
                <w:i/>
                <w:szCs w:val="20"/>
                <w:lang w:val="en-US"/>
              </w:rPr>
              <w:t xml:space="preserve"> </w:t>
            </w:r>
            <w:r w:rsidRPr="00237E46">
              <w:rPr>
                <w:rFonts w:ascii="Calibri" w:hAnsi="Calibri"/>
                <w:i/>
                <w:szCs w:val="20"/>
                <w:lang w:val="en-US"/>
              </w:rPr>
              <w:t>Such certification shall specify the</w:t>
            </w:r>
            <w:r>
              <w:rPr>
                <w:rFonts w:ascii="Calibri" w:hAnsi="Calibri"/>
                <w:i/>
                <w:szCs w:val="20"/>
                <w:lang w:val="en-US"/>
              </w:rPr>
              <w:t xml:space="preserve"> </w:t>
            </w:r>
            <w:r w:rsidRPr="00237E46">
              <w:rPr>
                <w:rFonts w:ascii="Calibri" w:hAnsi="Calibri"/>
                <w:i/>
                <w:szCs w:val="20"/>
                <w:lang w:val="en-US"/>
              </w:rPr>
              <w:t>intended use of the chemical and include a statement that, with respect to</w:t>
            </w:r>
            <w:r>
              <w:rPr>
                <w:rFonts w:ascii="Calibri" w:hAnsi="Calibri"/>
                <w:i/>
                <w:szCs w:val="20"/>
                <w:lang w:val="en-US"/>
              </w:rPr>
              <w:t xml:space="preserve"> </w:t>
            </w:r>
            <w:r w:rsidRPr="00237E46">
              <w:rPr>
                <w:rFonts w:ascii="Calibri" w:hAnsi="Calibri"/>
                <w:i/>
                <w:szCs w:val="20"/>
                <w:lang w:val="en-US"/>
              </w:rPr>
              <w:t>that chemical, the importing State is committed to:</w:t>
            </w:r>
          </w:p>
          <w:p w:rsidR="003E24B5" w:rsidRPr="00237E46" w:rsidRDefault="003E24B5" w:rsidP="000426C2">
            <w:pPr>
              <w:spacing w:before="120" w:after="120"/>
              <w:jc w:val="left"/>
              <w:rPr>
                <w:rFonts w:ascii="Calibri" w:hAnsi="Calibri"/>
                <w:i/>
                <w:szCs w:val="20"/>
                <w:lang w:val="en-US"/>
              </w:rPr>
            </w:pPr>
            <w:r w:rsidRPr="00237E46">
              <w:rPr>
                <w:rFonts w:ascii="Calibri" w:hAnsi="Calibri"/>
                <w:i/>
                <w:szCs w:val="20"/>
                <w:lang w:val="en-US"/>
              </w:rPr>
              <w:lastRenderedPageBreak/>
              <w:t>a. Protect human health and the environment by taking the necessary</w:t>
            </w:r>
          </w:p>
          <w:p w:rsidR="003E24B5" w:rsidRPr="00237E46" w:rsidRDefault="003E24B5" w:rsidP="000426C2">
            <w:pPr>
              <w:spacing w:before="120" w:after="120"/>
              <w:jc w:val="left"/>
              <w:rPr>
                <w:rFonts w:ascii="Calibri" w:hAnsi="Calibri"/>
                <w:i/>
                <w:szCs w:val="20"/>
                <w:lang w:val="en-US"/>
              </w:rPr>
            </w:pPr>
            <w:r w:rsidRPr="00237E46">
              <w:rPr>
                <w:rFonts w:ascii="Calibri" w:hAnsi="Calibri"/>
                <w:i/>
                <w:szCs w:val="20"/>
                <w:lang w:val="en-US"/>
              </w:rPr>
              <w:t>measures to minimize or prevent releases;</w:t>
            </w:r>
          </w:p>
          <w:p w:rsidR="003E24B5" w:rsidRPr="00237E46" w:rsidRDefault="003E24B5" w:rsidP="000426C2">
            <w:pPr>
              <w:spacing w:before="120" w:after="120"/>
              <w:jc w:val="left"/>
              <w:rPr>
                <w:rFonts w:ascii="Calibri" w:hAnsi="Calibri"/>
                <w:i/>
                <w:szCs w:val="20"/>
                <w:lang w:val="en-US"/>
              </w:rPr>
            </w:pPr>
            <w:r w:rsidRPr="00237E46">
              <w:rPr>
                <w:rFonts w:ascii="Calibri" w:hAnsi="Calibri"/>
                <w:i/>
                <w:szCs w:val="20"/>
                <w:lang w:val="en-US"/>
              </w:rPr>
              <w:t>b. Comply with the provisions of paragraph 1 of Article 6; and</w:t>
            </w:r>
          </w:p>
          <w:p w:rsidR="003E24B5" w:rsidRPr="00237E46" w:rsidRDefault="003E24B5" w:rsidP="000426C2">
            <w:pPr>
              <w:spacing w:before="120" w:after="120"/>
              <w:jc w:val="left"/>
              <w:rPr>
                <w:rFonts w:ascii="Calibri" w:hAnsi="Calibri"/>
                <w:i/>
                <w:szCs w:val="20"/>
                <w:lang w:val="en-US"/>
              </w:rPr>
            </w:pPr>
            <w:r w:rsidRPr="00237E46">
              <w:rPr>
                <w:rFonts w:ascii="Calibri" w:hAnsi="Calibri"/>
                <w:i/>
                <w:szCs w:val="20"/>
                <w:lang w:val="en-US"/>
              </w:rPr>
              <w:t>c. Comply, where appropriate, with the provisions of paragraph 2 of Part</w:t>
            </w:r>
            <w:r>
              <w:rPr>
                <w:rFonts w:ascii="Calibri" w:hAnsi="Calibri"/>
                <w:i/>
                <w:szCs w:val="20"/>
                <w:lang w:val="en-US"/>
              </w:rPr>
              <w:t xml:space="preserve"> </w:t>
            </w:r>
            <w:r w:rsidRPr="00237E46">
              <w:rPr>
                <w:rFonts w:ascii="Calibri" w:hAnsi="Calibri"/>
                <w:i/>
                <w:szCs w:val="20"/>
                <w:lang w:val="en-US"/>
              </w:rPr>
              <w:t>II of Annex B.</w:t>
            </w:r>
          </w:p>
        </w:tc>
        <w:tc>
          <w:tcPr>
            <w:tcW w:w="1974" w:type="dxa"/>
            <w:tcBorders>
              <w:top w:val="nil"/>
              <w:bottom w:val="nil"/>
            </w:tcBorders>
            <w:shd w:val="clear" w:color="auto" w:fill="FFC000"/>
          </w:tcPr>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lastRenderedPageBreak/>
              <w:t>Export not to party which has provided export certification.</w:t>
            </w:r>
          </w:p>
        </w:tc>
        <w:tc>
          <w:tcPr>
            <w:tcW w:w="1891" w:type="dxa"/>
            <w:tcBorders>
              <w:top w:val="nil"/>
              <w:bottom w:val="nil"/>
            </w:tcBorders>
            <w:shd w:val="clear" w:color="auto" w:fill="FFC000"/>
          </w:tcPr>
          <w:p w:rsidR="003E24B5" w:rsidRPr="00796ABF"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Contravention of Stockholm Convention</w:t>
            </w:r>
          </w:p>
        </w:tc>
        <w:tc>
          <w:tcPr>
            <w:tcW w:w="2959" w:type="dxa"/>
            <w:tcBorders>
              <w:top w:val="nil"/>
              <w:bottom w:val="nil"/>
            </w:tcBorders>
            <w:shd w:val="clear" w:color="auto" w:fill="FFC000"/>
          </w:tcPr>
          <w:p w:rsidR="003E24B5" w:rsidRDefault="003E24B5" w:rsidP="00EC6CB0">
            <w:pPr>
              <w:spacing w:before="120" w:after="120"/>
              <w:jc w:val="left"/>
              <w:rPr>
                <w:rFonts w:ascii="Calibri" w:hAnsi="Calibri"/>
                <w:szCs w:val="20"/>
              </w:rPr>
            </w:pPr>
            <w:r>
              <w:rPr>
                <w:rFonts w:ascii="Calibri" w:hAnsi="Calibri"/>
                <w:szCs w:val="20"/>
              </w:rPr>
              <w:t>Commonwealth Government does not appear to have a direct control in place*</w:t>
            </w:r>
          </w:p>
        </w:tc>
        <w:tc>
          <w:tcPr>
            <w:tcW w:w="1151" w:type="dxa"/>
            <w:tcBorders>
              <w:top w:val="nil"/>
              <w:bottom w:val="nil"/>
            </w:tcBorders>
            <w:shd w:val="clear" w:color="auto" w:fill="FFC000"/>
          </w:tcPr>
          <w:p w:rsidR="003E24B5" w:rsidRDefault="003E24B5" w:rsidP="00EC6CB0">
            <w:pPr>
              <w:spacing w:before="120" w:after="120"/>
              <w:jc w:val="left"/>
              <w:rPr>
                <w:rFonts w:ascii="Calibri" w:hAnsi="Calibri"/>
                <w:szCs w:val="20"/>
              </w:rPr>
            </w:pPr>
            <w:r>
              <w:rPr>
                <w:rFonts w:ascii="Calibri" w:hAnsi="Calibri"/>
                <w:szCs w:val="20"/>
              </w:rPr>
              <w:t xml:space="preserve">Inadequate* </w:t>
            </w:r>
          </w:p>
        </w:tc>
        <w:tc>
          <w:tcPr>
            <w:tcW w:w="659" w:type="dxa"/>
            <w:tcBorders>
              <w:top w:val="nil"/>
              <w:bottom w:val="nil"/>
            </w:tcBorders>
            <w:shd w:val="clear" w:color="auto" w:fill="FFC000"/>
          </w:tcPr>
          <w:p w:rsidR="003E24B5" w:rsidRDefault="003E24B5" w:rsidP="000426C2">
            <w:pPr>
              <w:spacing w:before="120" w:after="120"/>
              <w:jc w:val="left"/>
              <w:rPr>
                <w:rFonts w:ascii="Calibri" w:hAnsi="Calibri"/>
                <w:szCs w:val="20"/>
              </w:rPr>
            </w:pPr>
            <w:r>
              <w:rPr>
                <w:rFonts w:ascii="Calibri" w:hAnsi="Calibri"/>
                <w:szCs w:val="20"/>
              </w:rPr>
              <w:t>*</w:t>
            </w:r>
          </w:p>
        </w:tc>
        <w:tc>
          <w:tcPr>
            <w:tcW w:w="659" w:type="dxa"/>
            <w:tcBorders>
              <w:top w:val="nil"/>
              <w:bottom w:val="nil"/>
            </w:tcBorders>
            <w:shd w:val="clear" w:color="auto" w:fill="FFC000"/>
          </w:tcPr>
          <w:p w:rsidR="003E24B5" w:rsidRDefault="003E24B5" w:rsidP="000426C2">
            <w:pPr>
              <w:spacing w:before="120" w:after="120"/>
              <w:ind w:firstLine="3"/>
              <w:jc w:val="left"/>
              <w:rPr>
                <w:rFonts w:ascii="Calibri" w:hAnsi="Calibri"/>
                <w:szCs w:val="20"/>
              </w:rPr>
            </w:pPr>
            <w:r>
              <w:rPr>
                <w:rFonts w:ascii="Calibri" w:hAnsi="Calibri"/>
                <w:szCs w:val="20"/>
              </w:rPr>
              <w:t>*</w:t>
            </w:r>
          </w:p>
        </w:tc>
        <w:tc>
          <w:tcPr>
            <w:tcW w:w="575" w:type="dxa"/>
            <w:tcBorders>
              <w:top w:val="nil"/>
              <w:bottom w:val="nil"/>
            </w:tcBorders>
            <w:shd w:val="clear" w:color="auto" w:fill="FFC000"/>
          </w:tcPr>
          <w:p w:rsidR="003E24B5" w:rsidRDefault="003E24B5" w:rsidP="000426C2">
            <w:pPr>
              <w:spacing w:before="120" w:after="120"/>
              <w:jc w:val="left"/>
              <w:rPr>
                <w:rFonts w:ascii="Calibri" w:hAnsi="Calibri"/>
                <w:szCs w:val="20"/>
              </w:rPr>
            </w:pPr>
            <w:r>
              <w:rPr>
                <w:rFonts w:ascii="Calibri" w:hAnsi="Calibri"/>
                <w:szCs w:val="20"/>
              </w:rPr>
              <w:t>*</w:t>
            </w:r>
          </w:p>
        </w:tc>
        <w:tc>
          <w:tcPr>
            <w:tcW w:w="1151" w:type="dxa"/>
            <w:tcBorders>
              <w:top w:val="nil"/>
              <w:bottom w:val="nil"/>
            </w:tcBorders>
            <w:shd w:val="clear" w:color="auto" w:fill="FFC000"/>
          </w:tcPr>
          <w:p w:rsidR="003E24B5" w:rsidRDefault="003E24B5" w:rsidP="000426C2">
            <w:pPr>
              <w:spacing w:before="120" w:after="120"/>
              <w:jc w:val="left"/>
              <w:rPr>
                <w:rFonts w:ascii="Calibri" w:hAnsi="Calibri"/>
                <w:szCs w:val="20"/>
              </w:rPr>
            </w:pPr>
            <w:r>
              <w:rPr>
                <w:rFonts w:ascii="Calibri" w:hAnsi="Calibri"/>
                <w:szCs w:val="20"/>
              </w:rPr>
              <w:t>*</w:t>
            </w:r>
          </w:p>
        </w:tc>
      </w:tr>
      <w:tr w:rsidR="003E24B5" w:rsidTr="000426C2">
        <w:trPr>
          <w:trHeight w:val="173"/>
          <w:jc w:val="center"/>
        </w:trPr>
        <w:tc>
          <w:tcPr>
            <w:tcW w:w="1315" w:type="dxa"/>
            <w:tcBorders>
              <w:top w:val="nil"/>
            </w:tcBorders>
            <w:shd w:val="clear" w:color="auto" w:fill="FFC000"/>
          </w:tcPr>
          <w:p w:rsidR="003E24B5" w:rsidRPr="00C109AE" w:rsidRDefault="003E24B5" w:rsidP="000426C2">
            <w:pPr>
              <w:jc w:val="left"/>
              <w:rPr>
                <w:rFonts w:ascii="Calibri" w:hAnsi="Calibri" w:cs="Calibri"/>
                <w:b/>
                <w:bCs/>
                <w:i/>
                <w:iCs/>
                <w:color w:val="000000"/>
                <w:szCs w:val="20"/>
              </w:rPr>
            </w:pPr>
          </w:p>
        </w:tc>
        <w:tc>
          <w:tcPr>
            <w:tcW w:w="1480" w:type="dxa"/>
            <w:tcBorders>
              <w:top w:val="nil"/>
            </w:tcBorders>
            <w:shd w:val="clear" w:color="auto" w:fill="FFC000"/>
          </w:tcPr>
          <w:p w:rsidR="003E24B5" w:rsidRPr="00237E46" w:rsidRDefault="003E24B5" w:rsidP="000426C2">
            <w:pPr>
              <w:spacing w:before="120" w:after="120"/>
              <w:jc w:val="left"/>
              <w:rPr>
                <w:rFonts w:ascii="Calibri" w:hAnsi="Calibri"/>
                <w:i/>
                <w:szCs w:val="20"/>
                <w:lang w:val="en-US"/>
              </w:rPr>
            </w:pPr>
            <w:r w:rsidRPr="00237E46">
              <w:rPr>
                <w:rFonts w:ascii="Calibri" w:hAnsi="Calibri"/>
                <w:i/>
                <w:szCs w:val="20"/>
                <w:lang w:val="en-US"/>
              </w:rPr>
              <w:t xml:space="preserve">(c) That a chemical listed in Annex A, for </w:t>
            </w:r>
            <w:r w:rsidRPr="00237E46">
              <w:rPr>
                <w:rFonts w:ascii="Calibri" w:hAnsi="Calibri"/>
                <w:i/>
                <w:szCs w:val="20"/>
                <w:lang w:val="en-US"/>
              </w:rPr>
              <w:lastRenderedPageBreak/>
              <w:t>which production and use specific</w:t>
            </w:r>
            <w:r>
              <w:rPr>
                <w:rFonts w:ascii="Calibri" w:hAnsi="Calibri"/>
                <w:i/>
                <w:szCs w:val="20"/>
                <w:lang w:val="en-US"/>
              </w:rPr>
              <w:t xml:space="preserve"> </w:t>
            </w:r>
            <w:r w:rsidRPr="00237E46">
              <w:rPr>
                <w:rFonts w:ascii="Calibri" w:hAnsi="Calibri"/>
                <w:i/>
                <w:szCs w:val="20"/>
                <w:lang w:val="en-US"/>
              </w:rPr>
              <w:t>exemptions are no longer in effect for any Party, is not exported from it except for the purpose</w:t>
            </w:r>
            <w:r>
              <w:rPr>
                <w:rFonts w:ascii="Calibri" w:hAnsi="Calibri"/>
                <w:i/>
                <w:szCs w:val="20"/>
                <w:lang w:val="en-US"/>
              </w:rPr>
              <w:t xml:space="preserve"> </w:t>
            </w:r>
            <w:r w:rsidRPr="00237E46">
              <w:rPr>
                <w:rFonts w:ascii="Calibri" w:hAnsi="Calibri"/>
                <w:i/>
                <w:szCs w:val="20"/>
                <w:lang w:val="en-US"/>
              </w:rPr>
              <w:t>of environmentally sound disposal as set forth in paragraph 1 (d) of Article 6;</w:t>
            </w:r>
          </w:p>
        </w:tc>
        <w:tc>
          <w:tcPr>
            <w:tcW w:w="1974" w:type="dxa"/>
            <w:tcBorders>
              <w:top w:val="nil"/>
            </w:tcBorders>
            <w:shd w:val="clear" w:color="auto" w:fill="FFC000"/>
          </w:tcPr>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lastRenderedPageBreak/>
              <w:t>Export not for environmentally sound disposal</w:t>
            </w:r>
          </w:p>
        </w:tc>
        <w:tc>
          <w:tcPr>
            <w:tcW w:w="1891" w:type="dxa"/>
            <w:tcBorders>
              <w:top w:val="nil"/>
            </w:tcBorders>
            <w:shd w:val="clear" w:color="auto" w:fill="FFC000"/>
          </w:tcPr>
          <w:p w:rsidR="003E24B5" w:rsidRPr="00796ABF"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 xml:space="preserve">Contravention of Basel and Stockholm </w:t>
            </w:r>
            <w:r>
              <w:rPr>
                <w:rFonts w:ascii="Calibri" w:hAnsi="Calibri"/>
                <w:szCs w:val="20"/>
              </w:rPr>
              <w:lastRenderedPageBreak/>
              <w:t>Conventions</w:t>
            </w:r>
          </w:p>
        </w:tc>
        <w:tc>
          <w:tcPr>
            <w:tcW w:w="2959" w:type="dxa"/>
            <w:tcBorders>
              <w:top w:val="nil"/>
            </w:tcBorders>
            <w:shd w:val="clear" w:color="auto" w:fill="FFC000"/>
          </w:tcPr>
          <w:p w:rsidR="003E24B5" w:rsidRDefault="003E24B5" w:rsidP="000426C2">
            <w:pPr>
              <w:autoSpaceDE w:val="0"/>
              <w:autoSpaceDN w:val="0"/>
              <w:adjustRightInd w:val="0"/>
              <w:spacing w:before="120" w:after="120"/>
              <w:jc w:val="left"/>
              <w:rPr>
                <w:rFonts w:ascii="Calibri" w:hAnsi="Calibri"/>
                <w:szCs w:val="20"/>
              </w:rPr>
            </w:pPr>
            <w:r>
              <w:rPr>
                <w:rFonts w:ascii="Calibri" w:hAnsi="Calibri"/>
                <w:szCs w:val="20"/>
              </w:rPr>
              <w:lastRenderedPageBreak/>
              <w:t xml:space="preserve">Compliance with Section 40A of the Hazardous </w:t>
            </w:r>
            <w:r w:rsidRPr="001A2696">
              <w:rPr>
                <w:rFonts w:ascii="Calibri" w:hAnsi="Calibri"/>
                <w:bCs/>
                <w:iCs/>
                <w:szCs w:val="20"/>
                <w:lang w:val="en-US"/>
              </w:rPr>
              <w:t xml:space="preserve">Waste (Regulation </w:t>
            </w:r>
            <w:r w:rsidRPr="001A2696">
              <w:rPr>
                <w:rFonts w:ascii="Calibri" w:hAnsi="Calibri"/>
                <w:bCs/>
                <w:iCs/>
                <w:szCs w:val="20"/>
                <w:lang w:val="en-US"/>
              </w:rPr>
              <w:lastRenderedPageBreak/>
              <w:t>of Exports and Imports) Act 1989</w:t>
            </w:r>
          </w:p>
        </w:tc>
        <w:tc>
          <w:tcPr>
            <w:tcW w:w="1151" w:type="dxa"/>
            <w:tcBorders>
              <w:top w:val="nil"/>
            </w:tcBorders>
            <w:shd w:val="clear" w:color="auto" w:fill="FFC000"/>
          </w:tcPr>
          <w:p w:rsidR="003E24B5" w:rsidRDefault="003E24B5" w:rsidP="000426C2">
            <w:pPr>
              <w:spacing w:before="120" w:after="120"/>
              <w:jc w:val="left"/>
              <w:rPr>
                <w:rFonts w:ascii="Calibri" w:hAnsi="Calibri"/>
                <w:szCs w:val="20"/>
              </w:rPr>
            </w:pPr>
            <w:r>
              <w:rPr>
                <w:rFonts w:ascii="Calibri" w:hAnsi="Calibri"/>
                <w:szCs w:val="20"/>
              </w:rPr>
              <w:lastRenderedPageBreak/>
              <w:t xml:space="preserve">Adequate </w:t>
            </w:r>
          </w:p>
        </w:tc>
        <w:tc>
          <w:tcPr>
            <w:tcW w:w="659" w:type="dxa"/>
            <w:tcBorders>
              <w:top w:val="nil"/>
            </w:tcBorders>
            <w:shd w:val="clear" w:color="auto" w:fill="FFC000"/>
          </w:tcPr>
          <w:p w:rsidR="003E24B5" w:rsidRDefault="003E24B5" w:rsidP="000426C2">
            <w:pPr>
              <w:spacing w:before="120" w:after="120"/>
              <w:jc w:val="left"/>
              <w:rPr>
                <w:rFonts w:ascii="Calibri" w:hAnsi="Calibri"/>
                <w:szCs w:val="20"/>
              </w:rPr>
            </w:pPr>
            <w:r>
              <w:rPr>
                <w:rFonts w:ascii="Calibri" w:hAnsi="Calibri"/>
                <w:szCs w:val="20"/>
              </w:rPr>
              <w:t>Unlikely</w:t>
            </w:r>
          </w:p>
        </w:tc>
        <w:tc>
          <w:tcPr>
            <w:tcW w:w="659" w:type="dxa"/>
            <w:tcBorders>
              <w:top w:val="nil"/>
            </w:tcBorders>
            <w:shd w:val="clear" w:color="auto" w:fill="FFC000"/>
          </w:tcPr>
          <w:p w:rsidR="003E24B5" w:rsidRDefault="003E24B5" w:rsidP="000426C2">
            <w:pPr>
              <w:spacing w:before="120" w:after="120"/>
              <w:ind w:firstLine="3"/>
              <w:jc w:val="left"/>
              <w:rPr>
                <w:rFonts w:ascii="Calibri" w:hAnsi="Calibri"/>
                <w:szCs w:val="20"/>
              </w:rPr>
            </w:pPr>
            <w:r>
              <w:rPr>
                <w:rFonts w:ascii="Calibri" w:hAnsi="Calibri"/>
                <w:szCs w:val="20"/>
              </w:rPr>
              <w:t>Major</w:t>
            </w:r>
          </w:p>
        </w:tc>
        <w:tc>
          <w:tcPr>
            <w:tcW w:w="575" w:type="dxa"/>
            <w:tcBorders>
              <w:top w:val="nil"/>
            </w:tcBorders>
            <w:shd w:val="clear" w:color="auto" w:fill="FFC000"/>
          </w:tcPr>
          <w:p w:rsidR="003E24B5" w:rsidRDefault="003E24B5" w:rsidP="000426C2">
            <w:pPr>
              <w:spacing w:before="120" w:after="120"/>
              <w:jc w:val="left"/>
              <w:rPr>
                <w:rFonts w:ascii="Calibri" w:hAnsi="Calibri"/>
                <w:szCs w:val="20"/>
              </w:rPr>
            </w:pPr>
            <w:r>
              <w:rPr>
                <w:rFonts w:ascii="Calibri" w:hAnsi="Calibri"/>
                <w:szCs w:val="20"/>
              </w:rPr>
              <w:t>High</w:t>
            </w:r>
          </w:p>
        </w:tc>
        <w:tc>
          <w:tcPr>
            <w:tcW w:w="1151" w:type="dxa"/>
            <w:tcBorders>
              <w:top w:val="nil"/>
            </w:tcBorders>
            <w:shd w:val="clear" w:color="auto" w:fill="FFC000"/>
          </w:tcPr>
          <w:p w:rsidR="003E24B5" w:rsidRDefault="003E24B5" w:rsidP="000426C2">
            <w:pPr>
              <w:spacing w:before="120" w:after="120"/>
              <w:jc w:val="left"/>
              <w:rPr>
                <w:rFonts w:ascii="Calibri" w:hAnsi="Calibri"/>
                <w:szCs w:val="20"/>
              </w:rPr>
            </w:pPr>
          </w:p>
        </w:tc>
      </w:tr>
    </w:tbl>
    <w:p w:rsidR="003E24B5" w:rsidRDefault="003E24B5" w:rsidP="000426C2">
      <w:pPr>
        <w:ind w:left="90" w:hanging="90"/>
      </w:pPr>
    </w:p>
    <w:p w:rsidR="003E24B5" w:rsidRDefault="003E24B5">
      <w:pPr>
        <w:spacing w:after="0"/>
        <w:jc w:val="left"/>
      </w:pPr>
    </w:p>
    <w:p w:rsidR="003E24B5" w:rsidRDefault="003E24B5">
      <w:pPr>
        <w:spacing w:after="0"/>
        <w:jc w:val="left"/>
        <w:sectPr w:rsidR="003E24B5" w:rsidSect="000426C2">
          <w:footerReference w:type="default" r:id="rId41"/>
          <w:pgSz w:w="16839" w:h="11907" w:orient="landscape" w:code="9"/>
          <w:pgMar w:top="1699" w:right="850" w:bottom="1138" w:left="850" w:header="432" w:footer="432" w:gutter="0"/>
          <w:cols w:space="708"/>
          <w:docGrid w:linePitch="360"/>
        </w:sectPr>
      </w:pPr>
      <w:r>
        <w:t xml:space="preserve">* When export of a Stockholm POP involves prior consent for use of the chemical, the </w:t>
      </w:r>
      <w:r w:rsidRPr="00EC6CB0">
        <w:t xml:space="preserve">Hazardous </w:t>
      </w:r>
      <w:r w:rsidRPr="00EC6CB0">
        <w:rPr>
          <w:bCs/>
          <w:iCs/>
          <w:lang w:val="en-US"/>
        </w:rPr>
        <w:t>Waste (Regulation of Exports and Imports) Act 1989</w:t>
      </w:r>
      <w:r>
        <w:rPr>
          <w:bCs/>
          <w:iCs/>
          <w:lang w:val="en-US"/>
        </w:rPr>
        <w:t xml:space="preserve"> </w:t>
      </w:r>
      <w:r>
        <w:t>does not apply. Consequently, this risk of the chemical being inappropriately used under the convention (by a party or State not permitted to use the chemical) appears to have no control. This has been flagged as an issue for the Commonwealth Government, but not considered specifically in the Risk Treatment Plan (Appendix F) since it is not a risk that either arises as a direct implication of the DIIS, or applies to parties to the scheme.</w:t>
      </w:r>
    </w:p>
    <w:p w:rsidR="003E24B5" w:rsidRDefault="003E24B5">
      <w:pPr>
        <w:spacing w:after="0"/>
        <w:jc w:val="left"/>
      </w:pPr>
    </w:p>
    <w:p w:rsidR="003E24B5" w:rsidRDefault="003E24B5">
      <w:pPr>
        <w:spacing w:after="0"/>
        <w:jc w:val="left"/>
      </w:pPr>
    </w:p>
    <w:p w:rsidR="003E24B5" w:rsidRDefault="003E24B5">
      <w:pPr>
        <w:spacing w:after="0"/>
        <w:jc w:val="left"/>
      </w:pPr>
    </w:p>
    <w:p w:rsidR="003E24B5" w:rsidRDefault="003E24B5">
      <w:pPr>
        <w:spacing w:after="0"/>
        <w:jc w:val="left"/>
      </w:pPr>
    </w:p>
    <w:p w:rsidR="003E24B5" w:rsidRDefault="003E24B5" w:rsidP="00F35FFC">
      <w:pPr>
        <w:pStyle w:val="KMHTitleAppendix"/>
        <w:rPr>
          <w:noProof/>
        </w:rPr>
      </w:pPr>
    </w:p>
    <w:p w:rsidR="003E24B5" w:rsidRDefault="003E24B5" w:rsidP="00F35FFC">
      <w:pPr>
        <w:pStyle w:val="KMHTitleAppendix"/>
        <w:rPr>
          <w:noProof/>
        </w:rPr>
      </w:pPr>
    </w:p>
    <w:p w:rsidR="003E24B5" w:rsidRDefault="003E24B5" w:rsidP="00F35FFC">
      <w:pPr>
        <w:pStyle w:val="KMHTitleAppendix"/>
        <w:rPr>
          <w:noProof/>
        </w:rPr>
      </w:pPr>
    </w:p>
    <w:p w:rsidR="003E24B5" w:rsidRDefault="003E24B5" w:rsidP="00F35FFC">
      <w:pPr>
        <w:pStyle w:val="KMHTitleAppendix"/>
        <w:rPr>
          <w:noProof/>
        </w:rPr>
      </w:pPr>
    </w:p>
    <w:p w:rsidR="003E24B5" w:rsidRDefault="003E24B5" w:rsidP="00F35FFC">
      <w:pPr>
        <w:pStyle w:val="KMHTitleAppendix"/>
        <w:rPr>
          <w:noProof/>
        </w:rPr>
      </w:pPr>
    </w:p>
    <w:p w:rsidR="003E24B5" w:rsidRDefault="003E24B5" w:rsidP="00F35FFC">
      <w:pPr>
        <w:pStyle w:val="KMHTitleAppendix"/>
        <w:rPr>
          <w:noProof/>
        </w:rPr>
      </w:pPr>
    </w:p>
    <w:p w:rsidR="003E24B5" w:rsidRDefault="003E24B5" w:rsidP="00F35FFC">
      <w:pPr>
        <w:pStyle w:val="KMHTitleAppendix"/>
        <w:rPr>
          <w:noProof/>
        </w:rPr>
      </w:pPr>
    </w:p>
    <w:p w:rsidR="003E24B5" w:rsidRDefault="003E24B5" w:rsidP="00F35FFC">
      <w:pPr>
        <w:pStyle w:val="KMHTitleAppendix"/>
        <w:rPr>
          <w:noProof/>
        </w:rPr>
      </w:pPr>
    </w:p>
    <w:p w:rsidR="003E24B5" w:rsidRDefault="003E24B5" w:rsidP="00F35FFC">
      <w:pPr>
        <w:pStyle w:val="KMHTitleAppendix"/>
        <w:rPr>
          <w:noProof/>
        </w:rPr>
      </w:pPr>
    </w:p>
    <w:p w:rsidR="003E24B5" w:rsidRDefault="003E24B5" w:rsidP="00F35FFC">
      <w:pPr>
        <w:pStyle w:val="KMHTitleAppendix"/>
        <w:rPr>
          <w:noProof/>
        </w:rPr>
      </w:pPr>
    </w:p>
    <w:p w:rsidR="003E24B5" w:rsidRDefault="003E24B5" w:rsidP="00F35FFC">
      <w:pPr>
        <w:pStyle w:val="KMHTitleAppendix"/>
        <w:rPr>
          <w:noProof/>
        </w:rPr>
      </w:pPr>
    </w:p>
    <w:p w:rsidR="003E24B5" w:rsidRDefault="003E24B5" w:rsidP="00F35FFC">
      <w:pPr>
        <w:pStyle w:val="KMHTitleAppendix"/>
        <w:rPr>
          <w:noProof/>
        </w:rPr>
      </w:pPr>
    </w:p>
    <w:p w:rsidR="003E24B5" w:rsidRDefault="003E24B5" w:rsidP="00F35FFC">
      <w:pPr>
        <w:pStyle w:val="KMHTitleAppendix"/>
        <w:rPr>
          <w:noProof/>
        </w:rPr>
      </w:pPr>
      <w:r>
        <w:rPr>
          <w:noProof/>
        </w:rPr>
        <w:t>Appendix F – Risk Treatment Plan</w:t>
      </w:r>
    </w:p>
    <w:p w:rsidR="003E24B5" w:rsidRDefault="003E24B5">
      <w:pPr>
        <w:spacing w:after="0"/>
        <w:jc w:val="left"/>
        <w:sectPr w:rsidR="003E24B5" w:rsidSect="000426C2">
          <w:footerReference w:type="default" r:id="rId42"/>
          <w:pgSz w:w="11907" w:h="16839" w:code="9"/>
          <w:pgMar w:top="850" w:right="1138" w:bottom="850" w:left="1699" w:header="432" w:footer="432" w:gutter="0"/>
          <w:cols w:space="708"/>
          <w:docGrid w:linePitch="360"/>
        </w:sectPr>
      </w:pPr>
    </w:p>
    <w:p w:rsidR="003E24B5" w:rsidRDefault="003E24B5" w:rsidP="00355341">
      <w:pPr>
        <w:pStyle w:val="Caption"/>
        <w:keepNext/>
      </w:pPr>
      <w:bookmarkStart w:id="117" w:name="_Toc287018312"/>
      <w:r>
        <w:lastRenderedPageBreak/>
        <w:t xml:space="preserve">Table </w:t>
      </w:r>
      <w:fldSimple w:instr=" SEQ Table \* ARABIC ">
        <w:r w:rsidR="00235045">
          <w:rPr>
            <w:noProof/>
          </w:rPr>
          <w:t>10</w:t>
        </w:r>
      </w:fldSimple>
      <w:r>
        <w:t>: Risk Treatment Plans</w:t>
      </w:r>
      <w:bookmarkEnd w:id="117"/>
    </w:p>
    <w:tbl>
      <w:tblPr>
        <w:tblW w:w="152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0"/>
        <w:gridCol w:w="1690"/>
        <w:gridCol w:w="1660"/>
        <w:gridCol w:w="270"/>
        <w:gridCol w:w="2250"/>
        <w:gridCol w:w="2880"/>
        <w:gridCol w:w="450"/>
        <w:gridCol w:w="450"/>
        <w:gridCol w:w="360"/>
        <w:gridCol w:w="1080"/>
        <w:gridCol w:w="90"/>
        <w:gridCol w:w="1260"/>
        <w:gridCol w:w="1080"/>
      </w:tblGrid>
      <w:tr w:rsidR="003E24B5" w:rsidTr="00970538">
        <w:trPr>
          <w:cantSplit/>
        </w:trPr>
        <w:tc>
          <w:tcPr>
            <w:tcW w:w="1690" w:type="dxa"/>
            <w:shd w:val="solid" w:color="C0C0C0" w:fill="auto"/>
          </w:tcPr>
          <w:p w:rsidR="003E24B5" w:rsidRPr="00FC535A" w:rsidRDefault="003E24B5" w:rsidP="00F35FFC">
            <w:pPr>
              <w:spacing w:before="120" w:after="120"/>
              <w:jc w:val="center"/>
              <w:rPr>
                <w:rFonts w:ascii="Calibri" w:hAnsi="Calibri"/>
                <w:b/>
                <w:szCs w:val="20"/>
              </w:rPr>
            </w:pPr>
            <w:r>
              <w:rPr>
                <w:rFonts w:ascii="Calibri" w:hAnsi="Calibri"/>
                <w:b/>
                <w:szCs w:val="20"/>
              </w:rPr>
              <w:t>Risk Category &amp; Origin</w:t>
            </w:r>
          </w:p>
        </w:tc>
        <w:tc>
          <w:tcPr>
            <w:tcW w:w="169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Description of risk</w:t>
            </w:r>
            <w:r w:rsidRPr="00FC535A">
              <w:rPr>
                <w:rFonts w:ascii="Calibri" w:hAnsi="Calibri"/>
                <w:b/>
                <w:sz w:val="18"/>
                <w:szCs w:val="18"/>
              </w:rPr>
              <w:br/>
              <w:t>(What can happen)</w:t>
            </w:r>
          </w:p>
        </w:tc>
        <w:tc>
          <w:tcPr>
            <w:tcW w:w="1930" w:type="dxa"/>
            <w:gridSpan w:val="2"/>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Potential causes/sources</w:t>
            </w:r>
            <w:r w:rsidRPr="00FC535A">
              <w:rPr>
                <w:rFonts w:ascii="Calibri" w:hAnsi="Calibri"/>
                <w:b/>
                <w:sz w:val="18"/>
                <w:szCs w:val="18"/>
              </w:rPr>
              <w:br/>
              <w:t>(of an event happening)</w:t>
            </w:r>
          </w:p>
        </w:tc>
        <w:tc>
          <w:tcPr>
            <w:tcW w:w="225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 xml:space="preserve">Potential impacts </w:t>
            </w:r>
            <w:r w:rsidRPr="00FC535A">
              <w:rPr>
                <w:rFonts w:ascii="Calibri" w:hAnsi="Calibri"/>
                <w:b/>
                <w:sz w:val="18"/>
                <w:szCs w:val="18"/>
              </w:rPr>
              <w:br/>
              <w:t>(if a risk event happens)</w:t>
            </w:r>
          </w:p>
        </w:tc>
        <w:tc>
          <w:tcPr>
            <w:tcW w:w="3330" w:type="dxa"/>
            <w:gridSpan w:val="2"/>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Existing controls</w:t>
            </w:r>
          </w:p>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(what is in place NOW to minimise risk)</w:t>
            </w:r>
          </w:p>
        </w:tc>
        <w:tc>
          <w:tcPr>
            <w:tcW w:w="810" w:type="dxa"/>
            <w:gridSpan w:val="2"/>
            <w:shd w:val="solid" w:color="C0C0C0" w:fill="auto"/>
          </w:tcPr>
          <w:p w:rsidR="003E24B5" w:rsidRPr="00FC535A" w:rsidRDefault="003E24B5" w:rsidP="00F35FFC">
            <w:pPr>
              <w:spacing w:before="120" w:after="120"/>
              <w:jc w:val="center"/>
              <w:rPr>
                <w:rFonts w:ascii="Calibri" w:hAnsi="Calibri"/>
                <w:b/>
                <w:sz w:val="18"/>
                <w:szCs w:val="18"/>
                <w:vertAlign w:val="superscript"/>
              </w:rPr>
            </w:pPr>
            <w:r w:rsidRPr="00FC535A">
              <w:rPr>
                <w:rFonts w:ascii="Calibri" w:hAnsi="Calibri"/>
                <w:b/>
                <w:sz w:val="18"/>
                <w:szCs w:val="18"/>
              </w:rPr>
              <w:t>Control ratings</w:t>
            </w:r>
          </w:p>
        </w:tc>
        <w:tc>
          <w:tcPr>
            <w:tcW w:w="1170" w:type="dxa"/>
            <w:gridSpan w:val="2"/>
            <w:shd w:val="solid" w:color="C0C0C0" w:fill="auto"/>
          </w:tcPr>
          <w:p w:rsidR="003E24B5" w:rsidRPr="00FC535A" w:rsidRDefault="003E24B5" w:rsidP="00F35FFC">
            <w:pPr>
              <w:spacing w:before="120" w:after="120"/>
              <w:jc w:val="center"/>
              <w:rPr>
                <w:rFonts w:ascii="Calibri" w:hAnsi="Calibri"/>
                <w:b/>
                <w:sz w:val="18"/>
                <w:szCs w:val="18"/>
              </w:rPr>
            </w:pPr>
            <w:r>
              <w:rPr>
                <w:rFonts w:ascii="Calibri" w:hAnsi="Calibri"/>
                <w:b/>
                <w:sz w:val="18"/>
                <w:szCs w:val="18"/>
              </w:rPr>
              <w:t>Likeli</w:t>
            </w:r>
            <w:r w:rsidRPr="00FC535A">
              <w:rPr>
                <w:rFonts w:ascii="Calibri" w:hAnsi="Calibri"/>
                <w:b/>
                <w:sz w:val="18"/>
                <w:szCs w:val="18"/>
              </w:rPr>
              <w:t>hood</w:t>
            </w:r>
          </w:p>
        </w:tc>
        <w:tc>
          <w:tcPr>
            <w:tcW w:w="1260" w:type="dxa"/>
            <w:shd w:val="solid" w:color="C0C0C0" w:fill="auto"/>
          </w:tcPr>
          <w:p w:rsidR="003E24B5" w:rsidRPr="00FC535A" w:rsidRDefault="003E24B5" w:rsidP="00F35FFC">
            <w:pPr>
              <w:spacing w:before="120" w:after="120"/>
              <w:ind w:right="-84"/>
              <w:jc w:val="center"/>
              <w:rPr>
                <w:rFonts w:ascii="Calibri" w:hAnsi="Calibri"/>
                <w:b/>
                <w:sz w:val="18"/>
                <w:szCs w:val="18"/>
              </w:rPr>
            </w:pPr>
            <w:r>
              <w:rPr>
                <w:rFonts w:ascii="Calibri" w:hAnsi="Calibri"/>
                <w:b/>
                <w:sz w:val="18"/>
                <w:szCs w:val="18"/>
              </w:rPr>
              <w:t>Conse</w:t>
            </w:r>
            <w:r w:rsidRPr="00FC535A">
              <w:rPr>
                <w:rFonts w:ascii="Calibri" w:hAnsi="Calibri"/>
                <w:b/>
                <w:sz w:val="18"/>
                <w:szCs w:val="18"/>
              </w:rPr>
              <w:t>quence</w:t>
            </w:r>
          </w:p>
        </w:tc>
        <w:tc>
          <w:tcPr>
            <w:tcW w:w="108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Risk Level</w:t>
            </w:r>
          </w:p>
        </w:tc>
      </w:tr>
      <w:tr w:rsidR="003E24B5" w:rsidTr="00970538">
        <w:trPr>
          <w:cantSplit/>
        </w:trPr>
        <w:tc>
          <w:tcPr>
            <w:tcW w:w="1690" w:type="dxa"/>
            <w:shd w:val="clear" w:color="auto" w:fill="FFC000"/>
          </w:tcPr>
          <w:p w:rsidR="003E24B5" w:rsidRDefault="003E24B5" w:rsidP="00F35FFC">
            <w:pPr>
              <w:spacing w:before="120" w:after="120"/>
              <w:jc w:val="left"/>
              <w:rPr>
                <w:rFonts w:ascii="Calibri" w:hAnsi="Calibri"/>
                <w:b/>
                <w:i/>
                <w:szCs w:val="20"/>
              </w:rPr>
            </w:pPr>
            <w:r w:rsidRPr="002C5E72">
              <w:rPr>
                <w:rFonts w:ascii="Calibri" w:hAnsi="Calibri"/>
                <w:b/>
                <w:i/>
                <w:szCs w:val="20"/>
              </w:rPr>
              <w:t xml:space="preserve">General Requirements </w:t>
            </w:r>
          </w:p>
          <w:p w:rsidR="003E24B5" w:rsidRPr="002C5E72" w:rsidRDefault="003E24B5" w:rsidP="00F35FFC">
            <w:pPr>
              <w:spacing w:before="120" w:after="120"/>
              <w:jc w:val="left"/>
              <w:rPr>
                <w:rFonts w:ascii="Calibri" w:hAnsi="Calibri"/>
                <w:b/>
                <w:i/>
                <w:szCs w:val="20"/>
              </w:rPr>
            </w:pPr>
            <w:r>
              <w:rPr>
                <w:rFonts w:ascii="Calibri" w:hAnsi="Calibri"/>
                <w:b/>
                <w:i/>
                <w:szCs w:val="20"/>
              </w:rPr>
              <w:t>(Section 4.1 DIIS)</w:t>
            </w:r>
          </w:p>
        </w:tc>
        <w:tc>
          <w:tcPr>
            <w:tcW w:w="1690" w:type="dxa"/>
            <w:shd w:val="clear" w:color="auto" w:fill="FFC000"/>
          </w:tcPr>
          <w:p w:rsidR="003E24B5" w:rsidRDefault="003E24B5" w:rsidP="00F35FFC">
            <w:pPr>
              <w:spacing w:before="120" w:after="120"/>
              <w:jc w:val="left"/>
              <w:rPr>
                <w:rFonts w:ascii="Calibri" w:hAnsi="Calibri"/>
                <w:i/>
                <w:szCs w:val="20"/>
              </w:rPr>
            </w:pPr>
            <w:r>
              <w:rPr>
                <w:rFonts w:ascii="Calibri" w:hAnsi="Calibri"/>
                <w:i/>
                <w:szCs w:val="20"/>
              </w:rPr>
              <w:t xml:space="preserve">Operator fails to develop and implement </w:t>
            </w:r>
            <w:r w:rsidRPr="007860F3">
              <w:rPr>
                <w:rFonts w:ascii="Calibri" w:hAnsi="Calibri"/>
                <w:i/>
                <w:szCs w:val="20"/>
              </w:rPr>
              <w:t>documented work methods describing safe and environmentally sound practices</w:t>
            </w:r>
          </w:p>
        </w:tc>
        <w:tc>
          <w:tcPr>
            <w:tcW w:w="1930" w:type="dxa"/>
            <w:gridSpan w:val="2"/>
            <w:shd w:val="clear" w:color="auto" w:fill="FFC000"/>
          </w:tcPr>
          <w:p w:rsidR="003E24B5" w:rsidRDefault="003E24B5" w:rsidP="00162446">
            <w:pPr>
              <w:pStyle w:val="ListParagraph"/>
              <w:numPr>
                <w:ilvl w:val="0"/>
                <w:numId w:val="15"/>
              </w:numPr>
              <w:spacing w:before="120" w:after="120"/>
              <w:jc w:val="left"/>
              <w:rPr>
                <w:rFonts w:ascii="Calibri" w:hAnsi="Calibri"/>
                <w:szCs w:val="20"/>
              </w:rPr>
            </w:pPr>
            <w:r>
              <w:rPr>
                <w:rFonts w:ascii="Calibri" w:hAnsi="Calibri"/>
                <w:szCs w:val="20"/>
              </w:rPr>
              <w:t>Untrained operator doesn’t understand the operational risks and requirements</w:t>
            </w:r>
          </w:p>
          <w:p w:rsidR="003E24B5" w:rsidRPr="00092BA7" w:rsidRDefault="003E24B5" w:rsidP="00162446">
            <w:pPr>
              <w:pStyle w:val="ListParagraph"/>
              <w:numPr>
                <w:ilvl w:val="0"/>
                <w:numId w:val="15"/>
              </w:numPr>
              <w:spacing w:before="120" w:after="120"/>
              <w:jc w:val="left"/>
              <w:rPr>
                <w:rFonts w:ascii="Calibri" w:hAnsi="Calibri"/>
                <w:szCs w:val="20"/>
              </w:rPr>
            </w:pPr>
            <w:r>
              <w:rPr>
                <w:rFonts w:ascii="Calibri" w:hAnsi="Calibri"/>
                <w:szCs w:val="20"/>
              </w:rPr>
              <w:t>Lack of industry standard requirement and/or enforcement.</w:t>
            </w:r>
          </w:p>
        </w:tc>
        <w:tc>
          <w:tcPr>
            <w:tcW w:w="2250" w:type="dxa"/>
            <w:shd w:val="clear" w:color="auto" w:fill="FFC000"/>
          </w:tcPr>
          <w:p w:rsidR="003E24B5" w:rsidRPr="00092BA7" w:rsidRDefault="003E24B5" w:rsidP="00162446">
            <w:pPr>
              <w:pStyle w:val="ListParagraph"/>
              <w:numPr>
                <w:ilvl w:val="0"/>
                <w:numId w:val="15"/>
              </w:numPr>
              <w:spacing w:before="120" w:after="120"/>
              <w:jc w:val="left"/>
              <w:rPr>
                <w:rFonts w:ascii="Calibri" w:hAnsi="Calibri"/>
                <w:szCs w:val="20"/>
              </w:rPr>
            </w:pPr>
            <w:r>
              <w:rPr>
                <w:rFonts w:ascii="Calibri" w:hAnsi="Calibri"/>
                <w:szCs w:val="20"/>
              </w:rPr>
              <w:t>Potential harm to employees and the environment as a result of unsafe work practices.</w:t>
            </w:r>
          </w:p>
        </w:tc>
        <w:tc>
          <w:tcPr>
            <w:tcW w:w="3330" w:type="dxa"/>
            <w:gridSpan w:val="2"/>
            <w:shd w:val="clear" w:color="auto" w:fill="FFC000"/>
          </w:tcPr>
          <w:p w:rsidR="003E24B5" w:rsidRDefault="003E24B5" w:rsidP="00F35FFC">
            <w:pPr>
              <w:autoSpaceDE w:val="0"/>
              <w:autoSpaceDN w:val="0"/>
              <w:adjustRightInd w:val="0"/>
              <w:spacing w:before="120" w:after="120"/>
              <w:jc w:val="left"/>
              <w:rPr>
                <w:rFonts w:ascii="Calibri" w:hAnsi="Calibri"/>
                <w:szCs w:val="20"/>
              </w:rPr>
            </w:pPr>
            <w:r>
              <w:rPr>
                <w:rFonts w:ascii="Calibri" w:hAnsi="Calibri"/>
                <w:szCs w:val="20"/>
              </w:rPr>
              <w:t xml:space="preserve">Section 4.1 of the DIIS requires collection locations, transporters and recyclers to have documented work methods describing safe and environmentally sound practices. </w:t>
            </w:r>
          </w:p>
        </w:tc>
        <w:tc>
          <w:tcPr>
            <w:tcW w:w="810" w:type="dxa"/>
            <w:gridSpan w:val="2"/>
            <w:shd w:val="clear" w:color="auto" w:fill="FFC000"/>
          </w:tcPr>
          <w:p w:rsidR="003E24B5" w:rsidRDefault="003E24B5" w:rsidP="00F35FFC">
            <w:pPr>
              <w:spacing w:before="120" w:after="120"/>
              <w:jc w:val="left"/>
              <w:rPr>
                <w:rFonts w:ascii="Calibri" w:hAnsi="Calibri"/>
                <w:szCs w:val="20"/>
              </w:rPr>
            </w:pPr>
            <w:r>
              <w:rPr>
                <w:rFonts w:ascii="Calibri" w:hAnsi="Calibri"/>
                <w:szCs w:val="20"/>
              </w:rPr>
              <w:t>Adequate</w:t>
            </w:r>
          </w:p>
        </w:tc>
        <w:tc>
          <w:tcPr>
            <w:tcW w:w="1170" w:type="dxa"/>
            <w:gridSpan w:val="2"/>
            <w:shd w:val="clear" w:color="auto" w:fill="FFC000"/>
          </w:tcPr>
          <w:p w:rsidR="003E24B5" w:rsidRDefault="003E24B5" w:rsidP="00F35FFC">
            <w:pPr>
              <w:spacing w:before="120" w:after="120"/>
              <w:jc w:val="left"/>
              <w:rPr>
                <w:rFonts w:ascii="Calibri" w:hAnsi="Calibri"/>
                <w:szCs w:val="20"/>
              </w:rPr>
            </w:pPr>
            <w:r>
              <w:rPr>
                <w:rFonts w:ascii="Calibri" w:hAnsi="Calibri"/>
                <w:szCs w:val="20"/>
              </w:rPr>
              <w:t>possible</w:t>
            </w:r>
          </w:p>
        </w:tc>
        <w:tc>
          <w:tcPr>
            <w:tcW w:w="1260" w:type="dxa"/>
            <w:shd w:val="clear" w:color="auto" w:fill="FFC000"/>
          </w:tcPr>
          <w:p w:rsidR="003E24B5" w:rsidRDefault="003E24B5" w:rsidP="00F35FFC">
            <w:pPr>
              <w:spacing w:before="120" w:after="120"/>
              <w:ind w:firstLine="3"/>
              <w:jc w:val="left"/>
              <w:rPr>
                <w:rFonts w:ascii="Calibri" w:hAnsi="Calibri"/>
                <w:szCs w:val="20"/>
              </w:rPr>
            </w:pPr>
            <w:r>
              <w:rPr>
                <w:rFonts w:ascii="Calibri" w:hAnsi="Calibri"/>
                <w:szCs w:val="20"/>
              </w:rPr>
              <w:t>Moderate</w:t>
            </w:r>
          </w:p>
        </w:tc>
        <w:tc>
          <w:tcPr>
            <w:tcW w:w="1080" w:type="dxa"/>
            <w:shd w:val="clear" w:color="auto" w:fill="FFC000"/>
          </w:tcPr>
          <w:p w:rsidR="003E24B5" w:rsidRDefault="003E24B5" w:rsidP="00F35FFC">
            <w:pPr>
              <w:spacing w:before="120" w:after="120"/>
              <w:jc w:val="left"/>
              <w:rPr>
                <w:rFonts w:ascii="Calibri" w:hAnsi="Calibri"/>
                <w:szCs w:val="20"/>
              </w:rPr>
            </w:pPr>
            <w:r>
              <w:rPr>
                <w:rFonts w:ascii="Calibri" w:hAnsi="Calibri"/>
                <w:szCs w:val="20"/>
              </w:rPr>
              <w:t>High</w:t>
            </w:r>
          </w:p>
        </w:tc>
      </w:tr>
      <w:tr w:rsidR="003E24B5" w:rsidTr="00970538">
        <w:trPr>
          <w:cantSplit/>
        </w:trPr>
        <w:tc>
          <w:tcPr>
            <w:tcW w:w="15210" w:type="dxa"/>
            <w:gridSpan w:val="13"/>
          </w:tcPr>
          <w:p w:rsidR="003E24B5" w:rsidRPr="00635E42" w:rsidRDefault="003E24B5" w:rsidP="00F35FFC">
            <w:pPr>
              <w:spacing w:before="120" w:after="120"/>
              <w:jc w:val="left"/>
              <w:rPr>
                <w:rFonts w:ascii="Calibri" w:hAnsi="Calibri"/>
                <w:b/>
                <w:szCs w:val="20"/>
              </w:rPr>
            </w:pPr>
            <w:r>
              <w:rPr>
                <w:rFonts w:ascii="Calibri" w:hAnsi="Calibri"/>
                <w:b/>
                <w:szCs w:val="20"/>
              </w:rPr>
              <w:t>Further Treatment:</w:t>
            </w:r>
          </w:p>
        </w:tc>
      </w:tr>
      <w:tr w:rsidR="003E24B5" w:rsidTr="00970538">
        <w:trPr>
          <w:cantSplit/>
        </w:trPr>
        <w:tc>
          <w:tcPr>
            <w:tcW w:w="15210" w:type="dxa"/>
            <w:gridSpan w:val="13"/>
          </w:tcPr>
          <w:p w:rsidR="003E24B5" w:rsidRDefault="003E24B5" w:rsidP="00F35FFC">
            <w:pPr>
              <w:autoSpaceDE w:val="0"/>
              <w:autoSpaceDN w:val="0"/>
              <w:adjustRightInd w:val="0"/>
              <w:spacing w:before="120" w:after="120"/>
              <w:rPr>
                <w:rFonts w:ascii="Calibri" w:hAnsi="Calibri"/>
                <w:szCs w:val="20"/>
              </w:rPr>
            </w:pPr>
            <w:r>
              <w:rPr>
                <w:rFonts w:ascii="Calibri" w:hAnsi="Calibri"/>
                <w:szCs w:val="20"/>
              </w:rPr>
              <w:t xml:space="preserve">To coincide with the implementation of the DIIS, DSEWPaC in cooperation with the Product Stewardship Organisation, need to implement the auditing regime suggested in the notes attached to Section 2 to monitor compliance of operators. Whilst Section 4.2 Legal Compliance, requires operators to maintain a documented process to identify, assess and ensure compliance with this standard and all applicable regulatory requirements, without a robust monitoring/auditing scheme in place and an accompanying timetable, the risk of harm to an employee and/or the environment remains high. </w:t>
            </w:r>
          </w:p>
          <w:p w:rsidR="003E24B5" w:rsidRDefault="003E24B5" w:rsidP="00F35FFC">
            <w:pPr>
              <w:autoSpaceDE w:val="0"/>
              <w:autoSpaceDN w:val="0"/>
              <w:adjustRightInd w:val="0"/>
              <w:spacing w:before="120" w:after="120"/>
              <w:rPr>
                <w:rFonts w:ascii="Calibri" w:hAnsi="Calibri"/>
                <w:szCs w:val="20"/>
              </w:rPr>
            </w:pPr>
            <w:r>
              <w:rPr>
                <w:rFonts w:ascii="Calibri" w:hAnsi="Calibri"/>
                <w:szCs w:val="20"/>
              </w:rPr>
              <w:t>The development and rollout of a familiarisation/training program for operators is also recommended to provide detailed information on the specific reporting requirements of the Standard.</w:t>
            </w:r>
          </w:p>
          <w:p w:rsidR="003E24B5" w:rsidRDefault="003E24B5" w:rsidP="00F35FFC">
            <w:pPr>
              <w:autoSpaceDE w:val="0"/>
              <w:autoSpaceDN w:val="0"/>
              <w:adjustRightInd w:val="0"/>
              <w:spacing w:before="120" w:after="120"/>
              <w:rPr>
                <w:rFonts w:ascii="Calibri" w:hAnsi="Calibri"/>
                <w:szCs w:val="20"/>
              </w:rPr>
            </w:pPr>
            <w:r w:rsidRPr="001C66C2">
              <w:rPr>
                <w:rFonts w:ascii="Calibri" w:hAnsi="Calibri"/>
                <w:b/>
                <w:szCs w:val="20"/>
              </w:rPr>
              <w:t>Timeframe for Implementation</w:t>
            </w:r>
            <w:r>
              <w:rPr>
                <w:rFonts w:ascii="Calibri" w:hAnsi="Calibri"/>
                <w:szCs w:val="20"/>
              </w:rPr>
              <w:t xml:space="preserve">: </w:t>
            </w:r>
          </w:p>
          <w:p w:rsidR="003E24B5" w:rsidRDefault="003E24B5" w:rsidP="00F35FFC">
            <w:pPr>
              <w:autoSpaceDE w:val="0"/>
              <w:autoSpaceDN w:val="0"/>
              <w:adjustRightInd w:val="0"/>
              <w:spacing w:before="120" w:after="120"/>
              <w:rPr>
                <w:rFonts w:ascii="Calibri" w:hAnsi="Calibri"/>
                <w:szCs w:val="20"/>
              </w:rPr>
            </w:pPr>
            <w:r>
              <w:rPr>
                <w:rFonts w:ascii="Calibri" w:hAnsi="Calibri"/>
                <w:szCs w:val="20"/>
              </w:rPr>
              <w:t>To coincide with the implementation of the Standard.</w:t>
            </w:r>
          </w:p>
          <w:p w:rsidR="003E24B5" w:rsidRDefault="003E24B5" w:rsidP="00F35FFC">
            <w:pPr>
              <w:autoSpaceDE w:val="0"/>
              <w:autoSpaceDN w:val="0"/>
              <w:adjustRightInd w:val="0"/>
              <w:spacing w:before="120" w:after="120"/>
              <w:rPr>
                <w:rFonts w:ascii="Calibri" w:hAnsi="Calibri"/>
                <w:szCs w:val="20"/>
              </w:rPr>
            </w:pPr>
            <w:r w:rsidRPr="001C66C2">
              <w:rPr>
                <w:rFonts w:ascii="Calibri" w:hAnsi="Calibri"/>
                <w:b/>
                <w:szCs w:val="20"/>
              </w:rPr>
              <w:t>Responsibility</w:t>
            </w:r>
            <w:r>
              <w:rPr>
                <w:rFonts w:ascii="Calibri" w:hAnsi="Calibri"/>
                <w:szCs w:val="20"/>
              </w:rPr>
              <w:t xml:space="preserve">: PSO under the approved arrangement. </w:t>
            </w:r>
          </w:p>
          <w:p w:rsidR="003E24B5" w:rsidRPr="00B727DC" w:rsidRDefault="003E24B5" w:rsidP="003547DB">
            <w:pPr>
              <w:autoSpaceDE w:val="0"/>
              <w:autoSpaceDN w:val="0"/>
              <w:adjustRightInd w:val="0"/>
              <w:spacing w:before="120" w:after="120"/>
              <w:rPr>
                <w:rFonts w:ascii="Calibri" w:hAnsi="Calibri"/>
                <w:b/>
                <w:i/>
                <w:szCs w:val="20"/>
              </w:rPr>
            </w:pPr>
            <w:r w:rsidRPr="00B727DC">
              <w:rPr>
                <w:rFonts w:ascii="Calibri" w:hAnsi="Calibri"/>
                <w:b/>
                <w:i/>
                <w:sz w:val="18"/>
                <w:szCs w:val="20"/>
              </w:rPr>
              <w:t>It should be noted that this risk is likely to remain “</w:t>
            </w:r>
            <w:r>
              <w:rPr>
                <w:rFonts w:ascii="Calibri" w:hAnsi="Calibri"/>
                <w:b/>
                <w:i/>
                <w:sz w:val="18"/>
                <w:szCs w:val="20"/>
              </w:rPr>
              <w:t>H</w:t>
            </w:r>
            <w:r w:rsidRPr="00B727DC">
              <w:rPr>
                <w:rFonts w:ascii="Calibri" w:hAnsi="Calibri"/>
                <w:b/>
                <w:i/>
                <w:sz w:val="18"/>
                <w:szCs w:val="20"/>
              </w:rPr>
              <w:t xml:space="preserve">igh” as there is always the possibility that this may occur and the consequences would remain at least “moderate.” </w:t>
            </w:r>
          </w:p>
        </w:tc>
      </w:tr>
      <w:tr w:rsidR="003E24B5" w:rsidTr="00970538">
        <w:trPr>
          <w:cantSplit/>
        </w:trPr>
        <w:tc>
          <w:tcPr>
            <w:tcW w:w="1690" w:type="dxa"/>
            <w:shd w:val="solid" w:color="C0C0C0" w:fill="auto"/>
          </w:tcPr>
          <w:p w:rsidR="003E24B5" w:rsidRPr="00FC535A" w:rsidRDefault="003E24B5" w:rsidP="0060640C">
            <w:pPr>
              <w:spacing w:before="120" w:after="120"/>
              <w:jc w:val="center"/>
              <w:rPr>
                <w:rFonts w:ascii="Calibri" w:hAnsi="Calibri"/>
                <w:b/>
                <w:szCs w:val="20"/>
              </w:rPr>
            </w:pPr>
            <w:r>
              <w:lastRenderedPageBreak/>
              <w:br w:type="page"/>
            </w:r>
            <w:r>
              <w:br w:type="page"/>
            </w:r>
            <w:r>
              <w:rPr>
                <w:rFonts w:ascii="Calibri" w:hAnsi="Calibri"/>
                <w:b/>
                <w:szCs w:val="20"/>
              </w:rPr>
              <w:t>Risk Category &amp; Origin</w:t>
            </w:r>
          </w:p>
        </w:tc>
        <w:tc>
          <w:tcPr>
            <w:tcW w:w="1690" w:type="dxa"/>
            <w:shd w:val="solid" w:color="C0C0C0" w:fill="auto"/>
          </w:tcPr>
          <w:p w:rsidR="003E24B5" w:rsidRPr="00FC535A" w:rsidRDefault="003E24B5" w:rsidP="0060640C">
            <w:pPr>
              <w:spacing w:before="120" w:after="120"/>
              <w:jc w:val="center"/>
              <w:rPr>
                <w:rFonts w:ascii="Calibri" w:hAnsi="Calibri"/>
                <w:b/>
                <w:sz w:val="18"/>
                <w:szCs w:val="18"/>
              </w:rPr>
            </w:pPr>
            <w:r w:rsidRPr="00FC535A">
              <w:rPr>
                <w:rFonts w:ascii="Calibri" w:hAnsi="Calibri"/>
                <w:b/>
                <w:sz w:val="18"/>
                <w:szCs w:val="18"/>
              </w:rPr>
              <w:t>Description of risk</w:t>
            </w:r>
            <w:r w:rsidRPr="00FC535A">
              <w:rPr>
                <w:rFonts w:ascii="Calibri" w:hAnsi="Calibri"/>
                <w:b/>
                <w:sz w:val="18"/>
                <w:szCs w:val="18"/>
              </w:rPr>
              <w:br/>
              <w:t>(What can happen)</w:t>
            </w:r>
          </w:p>
        </w:tc>
        <w:tc>
          <w:tcPr>
            <w:tcW w:w="1660" w:type="dxa"/>
            <w:shd w:val="solid" w:color="C0C0C0" w:fill="auto"/>
          </w:tcPr>
          <w:p w:rsidR="003E24B5" w:rsidRPr="00FC535A" w:rsidRDefault="003E24B5" w:rsidP="0060640C">
            <w:pPr>
              <w:spacing w:before="120" w:after="120"/>
              <w:jc w:val="center"/>
              <w:rPr>
                <w:rFonts w:ascii="Calibri" w:hAnsi="Calibri"/>
                <w:b/>
                <w:sz w:val="18"/>
                <w:szCs w:val="18"/>
              </w:rPr>
            </w:pPr>
            <w:r w:rsidRPr="00FC535A">
              <w:rPr>
                <w:rFonts w:ascii="Calibri" w:hAnsi="Calibri"/>
                <w:b/>
                <w:sz w:val="18"/>
                <w:szCs w:val="18"/>
              </w:rPr>
              <w:t>Potential causes/sources</w:t>
            </w:r>
            <w:r w:rsidRPr="00FC535A">
              <w:rPr>
                <w:rFonts w:ascii="Calibri" w:hAnsi="Calibri"/>
                <w:b/>
                <w:sz w:val="18"/>
                <w:szCs w:val="18"/>
              </w:rPr>
              <w:br/>
              <w:t>(of an event happening)</w:t>
            </w:r>
          </w:p>
        </w:tc>
        <w:tc>
          <w:tcPr>
            <w:tcW w:w="2520" w:type="dxa"/>
            <w:gridSpan w:val="2"/>
            <w:shd w:val="solid" w:color="C0C0C0" w:fill="auto"/>
          </w:tcPr>
          <w:p w:rsidR="003E24B5" w:rsidRPr="00FC535A" w:rsidRDefault="003E24B5" w:rsidP="0060640C">
            <w:pPr>
              <w:spacing w:before="120" w:after="120"/>
              <w:jc w:val="center"/>
              <w:rPr>
                <w:rFonts w:ascii="Calibri" w:hAnsi="Calibri"/>
                <w:b/>
                <w:sz w:val="18"/>
                <w:szCs w:val="18"/>
              </w:rPr>
            </w:pPr>
            <w:r w:rsidRPr="00FC535A">
              <w:rPr>
                <w:rFonts w:ascii="Calibri" w:hAnsi="Calibri"/>
                <w:b/>
                <w:sz w:val="18"/>
                <w:szCs w:val="18"/>
              </w:rPr>
              <w:t xml:space="preserve">Potential impacts </w:t>
            </w:r>
            <w:r w:rsidRPr="00FC535A">
              <w:rPr>
                <w:rFonts w:ascii="Calibri" w:hAnsi="Calibri"/>
                <w:b/>
                <w:sz w:val="18"/>
                <w:szCs w:val="18"/>
              </w:rPr>
              <w:br/>
              <w:t>(if a risk event happens)</w:t>
            </w:r>
          </w:p>
        </w:tc>
        <w:tc>
          <w:tcPr>
            <w:tcW w:w="2880" w:type="dxa"/>
            <w:shd w:val="solid" w:color="C0C0C0" w:fill="auto"/>
          </w:tcPr>
          <w:p w:rsidR="003E24B5" w:rsidRPr="00FC535A" w:rsidRDefault="003E24B5" w:rsidP="0060640C">
            <w:pPr>
              <w:spacing w:before="120" w:after="120"/>
              <w:jc w:val="center"/>
              <w:rPr>
                <w:rFonts w:ascii="Calibri" w:hAnsi="Calibri"/>
                <w:b/>
                <w:sz w:val="18"/>
                <w:szCs w:val="18"/>
              </w:rPr>
            </w:pPr>
            <w:r w:rsidRPr="00FC535A">
              <w:rPr>
                <w:rFonts w:ascii="Calibri" w:hAnsi="Calibri"/>
                <w:b/>
                <w:sz w:val="18"/>
                <w:szCs w:val="18"/>
              </w:rPr>
              <w:t>Existing controls</w:t>
            </w:r>
          </w:p>
          <w:p w:rsidR="003E24B5" w:rsidRPr="00FC535A" w:rsidRDefault="003E24B5" w:rsidP="0060640C">
            <w:pPr>
              <w:spacing w:before="120" w:after="120"/>
              <w:jc w:val="center"/>
              <w:rPr>
                <w:rFonts w:ascii="Calibri" w:hAnsi="Calibri"/>
                <w:b/>
                <w:sz w:val="18"/>
                <w:szCs w:val="18"/>
              </w:rPr>
            </w:pPr>
            <w:r w:rsidRPr="00FC535A">
              <w:rPr>
                <w:rFonts w:ascii="Calibri" w:hAnsi="Calibri"/>
                <w:b/>
                <w:sz w:val="18"/>
                <w:szCs w:val="18"/>
              </w:rPr>
              <w:t>(what is in place NOW to minimise risk)</w:t>
            </w:r>
          </w:p>
        </w:tc>
        <w:tc>
          <w:tcPr>
            <w:tcW w:w="900" w:type="dxa"/>
            <w:gridSpan w:val="2"/>
            <w:shd w:val="solid" w:color="C0C0C0" w:fill="auto"/>
          </w:tcPr>
          <w:p w:rsidR="003E24B5" w:rsidRPr="00FC535A" w:rsidRDefault="003E24B5" w:rsidP="0060640C">
            <w:pPr>
              <w:spacing w:before="120" w:after="120"/>
              <w:jc w:val="center"/>
              <w:rPr>
                <w:rFonts w:ascii="Calibri" w:hAnsi="Calibri"/>
                <w:b/>
                <w:sz w:val="18"/>
                <w:szCs w:val="18"/>
                <w:vertAlign w:val="superscript"/>
              </w:rPr>
            </w:pPr>
            <w:r w:rsidRPr="00FC535A">
              <w:rPr>
                <w:rFonts w:ascii="Calibri" w:hAnsi="Calibri"/>
                <w:b/>
                <w:sz w:val="18"/>
                <w:szCs w:val="18"/>
              </w:rPr>
              <w:t>Control ratings</w:t>
            </w:r>
          </w:p>
        </w:tc>
        <w:tc>
          <w:tcPr>
            <w:tcW w:w="1440" w:type="dxa"/>
            <w:gridSpan w:val="2"/>
            <w:shd w:val="solid" w:color="C0C0C0" w:fill="auto"/>
          </w:tcPr>
          <w:p w:rsidR="003E24B5" w:rsidRPr="00FC535A" w:rsidRDefault="003E24B5" w:rsidP="0060640C">
            <w:pPr>
              <w:spacing w:before="120" w:after="120"/>
              <w:jc w:val="center"/>
              <w:rPr>
                <w:rFonts w:ascii="Calibri" w:hAnsi="Calibri"/>
                <w:b/>
                <w:sz w:val="18"/>
                <w:szCs w:val="18"/>
              </w:rPr>
            </w:pPr>
            <w:r>
              <w:rPr>
                <w:rFonts w:ascii="Calibri" w:hAnsi="Calibri"/>
                <w:b/>
                <w:sz w:val="18"/>
                <w:szCs w:val="18"/>
              </w:rPr>
              <w:t>Likeli</w:t>
            </w:r>
            <w:r w:rsidRPr="00FC535A">
              <w:rPr>
                <w:rFonts w:ascii="Calibri" w:hAnsi="Calibri"/>
                <w:b/>
                <w:sz w:val="18"/>
                <w:szCs w:val="18"/>
              </w:rPr>
              <w:t>hood</w:t>
            </w:r>
          </w:p>
        </w:tc>
        <w:tc>
          <w:tcPr>
            <w:tcW w:w="1350" w:type="dxa"/>
            <w:gridSpan w:val="2"/>
            <w:shd w:val="solid" w:color="C0C0C0" w:fill="auto"/>
          </w:tcPr>
          <w:p w:rsidR="003E24B5" w:rsidRPr="00FC535A" w:rsidRDefault="003E24B5" w:rsidP="0060640C">
            <w:pPr>
              <w:spacing w:before="120" w:after="120"/>
              <w:ind w:right="-84"/>
              <w:jc w:val="center"/>
              <w:rPr>
                <w:rFonts w:ascii="Calibri" w:hAnsi="Calibri"/>
                <w:b/>
                <w:sz w:val="18"/>
                <w:szCs w:val="18"/>
              </w:rPr>
            </w:pPr>
            <w:r>
              <w:rPr>
                <w:rFonts w:ascii="Calibri" w:hAnsi="Calibri"/>
                <w:b/>
                <w:sz w:val="18"/>
                <w:szCs w:val="18"/>
              </w:rPr>
              <w:t>Conse</w:t>
            </w:r>
            <w:r w:rsidRPr="00FC535A">
              <w:rPr>
                <w:rFonts w:ascii="Calibri" w:hAnsi="Calibri"/>
                <w:b/>
                <w:sz w:val="18"/>
                <w:szCs w:val="18"/>
              </w:rPr>
              <w:t>quence</w:t>
            </w:r>
          </w:p>
        </w:tc>
        <w:tc>
          <w:tcPr>
            <w:tcW w:w="1080" w:type="dxa"/>
            <w:shd w:val="solid" w:color="C0C0C0" w:fill="auto"/>
          </w:tcPr>
          <w:p w:rsidR="003E24B5" w:rsidRPr="00FC535A" w:rsidRDefault="003E24B5" w:rsidP="0060640C">
            <w:pPr>
              <w:spacing w:before="120" w:after="120"/>
              <w:jc w:val="center"/>
              <w:rPr>
                <w:rFonts w:ascii="Calibri" w:hAnsi="Calibri"/>
                <w:b/>
                <w:sz w:val="18"/>
                <w:szCs w:val="18"/>
              </w:rPr>
            </w:pPr>
            <w:r w:rsidRPr="00FC535A">
              <w:rPr>
                <w:rFonts w:ascii="Calibri" w:hAnsi="Calibri"/>
                <w:b/>
                <w:sz w:val="18"/>
                <w:szCs w:val="18"/>
              </w:rPr>
              <w:t>Risk Level</w:t>
            </w:r>
          </w:p>
        </w:tc>
      </w:tr>
      <w:tr w:rsidR="003E24B5" w:rsidTr="00970538">
        <w:trPr>
          <w:cantSplit/>
        </w:trPr>
        <w:tc>
          <w:tcPr>
            <w:tcW w:w="1690" w:type="dxa"/>
            <w:shd w:val="clear" w:color="auto" w:fill="FFC000"/>
          </w:tcPr>
          <w:p w:rsidR="003E24B5" w:rsidRPr="004336F7" w:rsidRDefault="003E24B5" w:rsidP="0060640C">
            <w:pPr>
              <w:spacing w:before="120" w:after="120"/>
              <w:jc w:val="left"/>
              <w:rPr>
                <w:rFonts w:ascii="Calibri" w:hAnsi="Calibri"/>
                <w:b/>
                <w:i/>
                <w:szCs w:val="20"/>
              </w:rPr>
            </w:pPr>
            <w:r>
              <w:rPr>
                <w:rFonts w:ascii="Calibri" w:hAnsi="Calibri"/>
                <w:b/>
                <w:i/>
                <w:szCs w:val="20"/>
              </w:rPr>
              <w:t>Section 6 -T</w:t>
            </w:r>
            <w:r w:rsidRPr="004336F7">
              <w:rPr>
                <w:rFonts w:ascii="Calibri" w:hAnsi="Calibri"/>
                <w:b/>
                <w:i/>
                <w:szCs w:val="20"/>
              </w:rPr>
              <w:t>ransport Requirements</w:t>
            </w:r>
          </w:p>
          <w:p w:rsidR="003E24B5" w:rsidRPr="004336F7" w:rsidRDefault="003E24B5" w:rsidP="0060640C">
            <w:pPr>
              <w:spacing w:before="120" w:after="120"/>
              <w:jc w:val="left"/>
              <w:rPr>
                <w:rFonts w:ascii="Calibri" w:hAnsi="Calibri"/>
                <w:b/>
                <w:i/>
                <w:szCs w:val="20"/>
              </w:rPr>
            </w:pPr>
            <w:r>
              <w:rPr>
                <w:rFonts w:ascii="Calibri" w:hAnsi="Calibri"/>
                <w:b/>
                <w:i/>
                <w:szCs w:val="20"/>
              </w:rPr>
              <w:t>(</w:t>
            </w:r>
            <w:r w:rsidRPr="001769D9">
              <w:rPr>
                <w:rFonts w:ascii="Calibri" w:hAnsi="Calibri"/>
                <w:b/>
                <w:i/>
                <w:szCs w:val="20"/>
              </w:rPr>
              <w:t>Consolidated Stakeholder Comments</w:t>
            </w:r>
            <w:r>
              <w:rPr>
                <w:rFonts w:ascii="Calibri" w:hAnsi="Calibri"/>
                <w:b/>
                <w:i/>
                <w:szCs w:val="20"/>
              </w:rPr>
              <w:t xml:space="preserve"> - Additional Issues)</w:t>
            </w:r>
          </w:p>
        </w:tc>
        <w:tc>
          <w:tcPr>
            <w:tcW w:w="1690" w:type="dxa"/>
            <w:shd w:val="clear" w:color="auto" w:fill="FFC000"/>
          </w:tcPr>
          <w:p w:rsidR="003E24B5" w:rsidRPr="005D4BEC" w:rsidRDefault="003E24B5" w:rsidP="0060640C">
            <w:pPr>
              <w:spacing w:before="120" w:after="120"/>
              <w:jc w:val="left"/>
              <w:rPr>
                <w:rFonts w:ascii="Calibri" w:hAnsi="Calibri"/>
                <w:i/>
                <w:szCs w:val="20"/>
              </w:rPr>
            </w:pPr>
            <w:r w:rsidRPr="005D4BEC">
              <w:rPr>
                <w:rFonts w:ascii="Calibri" w:hAnsi="Calibri"/>
                <w:i/>
                <w:szCs w:val="20"/>
              </w:rPr>
              <w:t>Export to non OECD countries without the appropriate permit under the Hazardous Waste Act</w:t>
            </w:r>
          </w:p>
        </w:tc>
        <w:tc>
          <w:tcPr>
            <w:tcW w:w="1660" w:type="dxa"/>
            <w:shd w:val="clear" w:color="auto" w:fill="FFC000"/>
          </w:tcPr>
          <w:p w:rsidR="003E24B5" w:rsidRPr="00534D01" w:rsidRDefault="003E24B5" w:rsidP="00162446">
            <w:pPr>
              <w:pStyle w:val="ListParagraph"/>
              <w:numPr>
                <w:ilvl w:val="0"/>
                <w:numId w:val="29"/>
              </w:numPr>
              <w:spacing w:before="120" w:after="120"/>
              <w:jc w:val="left"/>
              <w:rPr>
                <w:rFonts w:ascii="Calibri" w:hAnsi="Calibri"/>
                <w:szCs w:val="20"/>
              </w:rPr>
            </w:pPr>
            <w:r>
              <w:rPr>
                <w:rFonts w:ascii="Calibri" w:hAnsi="Calibri"/>
                <w:szCs w:val="20"/>
              </w:rPr>
              <w:t>Lack of regulation/auditing of operations</w:t>
            </w:r>
          </w:p>
        </w:tc>
        <w:tc>
          <w:tcPr>
            <w:tcW w:w="2520" w:type="dxa"/>
            <w:gridSpan w:val="2"/>
            <w:shd w:val="clear" w:color="auto" w:fill="FFC000"/>
          </w:tcPr>
          <w:p w:rsidR="003E24B5" w:rsidRPr="00534D01" w:rsidRDefault="003E24B5" w:rsidP="00162446">
            <w:pPr>
              <w:pStyle w:val="ListParagraph"/>
              <w:numPr>
                <w:ilvl w:val="0"/>
                <w:numId w:val="29"/>
              </w:numPr>
              <w:spacing w:before="120" w:after="120"/>
              <w:jc w:val="left"/>
              <w:rPr>
                <w:rFonts w:ascii="Calibri" w:hAnsi="Calibri"/>
                <w:szCs w:val="20"/>
              </w:rPr>
            </w:pPr>
            <w:r>
              <w:rPr>
                <w:rFonts w:ascii="Calibri" w:hAnsi="Calibri"/>
                <w:szCs w:val="20"/>
              </w:rPr>
              <w:t>International embarrassment and penalties</w:t>
            </w:r>
          </w:p>
        </w:tc>
        <w:tc>
          <w:tcPr>
            <w:tcW w:w="2880" w:type="dxa"/>
            <w:shd w:val="clear" w:color="auto" w:fill="FFC000"/>
          </w:tcPr>
          <w:p w:rsidR="003E24B5" w:rsidRDefault="003E24B5" w:rsidP="0060640C">
            <w:pPr>
              <w:autoSpaceDE w:val="0"/>
              <w:autoSpaceDN w:val="0"/>
              <w:adjustRightInd w:val="0"/>
              <w:spacing w:before="120" w:after="120"/>
              <w:jc w:val="left"/>
              <w:rPr>
                <w:rFonts w:ascii="Calibri" w:hAnsi="Calibri"/>
                <w:szCs w:val="20"/>
              </w:rPr>
            </w:pPr>
            <w:r>
              <w:rPr>
                <w:rFonts w:ascii="Calibri" w:hAnsi="Calibri"/>
                <w:szCs w:val="20"/>
              </w:rPr>
              <w:t xml:space="preserve">Table 1 – Material Processing and End Use Acceptability, states “exporting to non-OECD countries for the purpose of recycling and/or disposal without the appropriate permit under the Hazardous Waste Act,” is not acceptable for specified materials. </w:t>
            </w:r>
          </w:p>
        </w:tc>
        <w:tc>
          <w:tcPr>
            <w:tcW w:w="900" w:type="dxa"/>
            <w:gridSpan w:val="2"/>
            <w:shd w:val="clear" w:color="auto" w:fill="FFC000"/>
          </w:tcPr>
          <w:p w:rsidR="003E24B5" w:rsidRDefault="003E24B5" w:rsidP="0060640C">
            <w:pPr>
              <w:spacing w:before="120" w:after="120"/>
              <w:jc w:val="left"/>
              <w:rPr>
                <w:rFonts w:ascii="Calibri" w:hAnsi="Calibri"/>
                <w:szCs w:val="20"/>
              </w:rPr>
            </w:pPr>
            <w:r>
              <w:rPr>
                <w:rFonts w:ascii="Calibri" w:hAnsi="Calibri"/>
                <w:szCs w:val="20"/>
              </w:rPr>
              <w:t xml:space="preserve">Adequate </w:t>
            </w:r>
          </w:p>
        </w:tc>
        <w:tc>
          <w:tcPr>
            <w:tcW w:w="1440" w:type="dxa"/>
            <w:gridSpan w:val="2"/>
            <w:shd w:val="clear" w:color="auto" w:fill="FFC000"/>
          </w:tcPr>
          <w:p w:rsidR="003E24B5" w:rsidRDefault="003E24B5" w:rsidP="0060640C">
            <w:pPr>
              <w:spacing w:before="120" w:after="120"/>
              <w:jc w:val="left"/>
              <w:rPr>
                <w:rFonts w:ascii="Calibri" w:hAnsi="Calibri"/>
                <w:szCs w:val="20"/>
              </w:rPr>
            </w:pPr>
            <w:r>
              <w:rPr>
                <w:rFonts w:ascii="Calibri" w:hAnsi="Calibri"/>
                <w:szCs w:val="20"/>
              </w:rPr>
              <w:t>Unlikely</w:t>
            </w:r>
          </w:p>
        </w:tc>
        <w:tc>
          <w:tcPr>
            <w:tcW w:w="1350" w:type="dxa"/>
            <w:gridSpan w:val="2"/>
            <w:shd w:val="clear" w:color="auto" w:fill="FFC000"/>
          </w:tcPr>
          <w:p w:rsidR="003E24B5" w:rsidRDefault="003E24B5" w:rsidP="0060640C">
            <w:pPr>
              <w:spacing w:before="120" w:after="120"/>
              <w:ind w:firstLine="3"/>
              <w:jc w:val="left"/>
              <w:rPr>
                <w:rFonts w:ascii="Calibri" w:hAnsi="Calibri"/>
                <w:szCs w:val="20"/>
              </w:rPr>
            </w:pPr>
            <w:r>
              <w:rPr>
                <w:rFonts w:ascii="Calibri" w:hAnsi="Calibri"/>
                <w:szCs w:val="20"/>
              </w:rPr>
              <w:t>Major</w:t>
            </w:r>
          </w:p>
        </w:tc>
        <w:tc>
          <w:tcPr>
            <w:tcW w:w="1080" w:type="dxa"/>
            <w:shd w:val="clear" w:color="auto" w:fill="FFC000"/>
          </w:tcPr>
          <w:p w:rsidR="003E24B5" w:rsidRDefault="003E24B5" w:rsidP="0060640C">
            <w:pPr>
              <w:spacing w:before="120" w:after="120"/>
              <w:jc w:val="left"/>
              <w:rPr>
                <w:rFonts w:ascii="Calibri" w:hAnsi="Calibri"/>
                <w:szCs w:val="20"/>
              </w:rPr>
            </w:pPr>
            <w:r>
              <w:rPr>
                <w:rFonts w:ascii="Calibri" w:hAnsi="Calibri"/>
                <w:szCs w:val="20"/>
              </w:rPr>
              <w:t>High</w:t>
            </w:r>
          </w:p>
        </w:tc>
      </w:tr>
      <w:tr w:rsidR="003E24B5" w:rsidTr="00970538">
        <w:trPr>
          <w:cantSplit/>
        </w:trPr>
        <w:tc>
          <w:tcPr>
            <w:tcW w:w="15210" w:type="dxa"/>
            <w:gridSpan w:val="13"/>
          </w:tcPr>
          <w:p w:rsidR="003E24B5" w:rsidRPr="00635E42" w:rsidRDefault="003E24B5" w:rsidP="0060640C">
            <w:pPr>
              <w:spacing w:before="120" w:after="120"/>
              <w:jc w:val="left"/>
              <w:rPr>
                <w:rFonts w:ascii="Calibri" w:hAnsi="Calibri"/>
                <w:b/>
                <w:szCs w:val="20"/>
              </w:rPr>
            </w:pPr>
            <w:r w:rsidRPr="00635E42">
              <w:rPr>
                <w:rFonts w:ascii="Calibri" w:hAnsi="Calibri"/>
                <w:b/>
                <w:szCs w:val="20"/>
              </w:rPr>
              <w:t xml:space="preserve">Further Treatment </w:t>
            </w:r>
          </w:p>
        </w:tc>
      </w:tr>
      <w:tr w:rsidR="003E24B5" w:rsidTr="00970538">
        <w:trPr>
          <w:cantSplit/>
        </w:trPr>
        <w:tc>
          <w:tcPr>
            <w:tcW w:w="15210" w:type="dxa"/>
            <w:gridSpan w:val="13"/>
          </w:tcPr>
          <w:p w:rsidR="003E24B5" w:rsidRDefault="003E24B5" w:rsidP="0060640C">
            <w:pPr>
              <w:spacing w:before="120" w:after="120"/>
              <w:jc w:val="left"/>
              <w:rPr>
                <w:rFonts w:ascii="Calibri" w:hAnsi="Calibri"/>
                <w:szCs w:val="20"/>
              </w:rPr>
            </w:pPr>
            <w:r>
              <w:rPr>
                <w:rFonts w:ascii="Calibri" w:hAnsi="Calibri"/>
                <w:szCs w:val="20"/>
              </w:rPr>
              <w:t xml:space="preserve">This risk has rated as “High” primarily due to the potential consequence should the risk occur. </w:t>
            </w:r>
            <w:r w:rsidRPr="00833B5A">
              <w:rPr>
                <w:rFonts w:ascii="Calibri" w:hAnsi="Calibri"/>
                <w:i/>
                <w:szCs w:val="20"/>
              </w:rPr>
              <w:t>The Hazardous Waste Act 1989</w:t>
            </w:r>
            <w:r>
              <w:rPr>
                <w:rFonts w:ascii="Calibri" w:hAnsi="Calibri"/>
                <w:szCs w:val="20"/>
              </w:rPr>
              <w:t xml:space="preserve"> conveys Australia’s obligations with the exporting of waste and the requirements of the Act are again reiterated in the DIIS. Associated risks have also been identified in the Regulatory Risk review included in Section 3.3.1. To further mitigate this risk, the requirements of the </w:t>
            </w:r>
            <w:r w:rsidRPr="00833B5A">
              <w:rPr>
                <w:rFonts w:ascii="Calibri" w:hAnsi="Calibri"/>
                <w:i/>
                <w:szCs w:val="20"/>
              </w:rPr>
              <w:t>Hazardous Waste Act</w:t>
            </w:r>
            <w:r>
              <w:rPr>
                <w:rFonts w:ascii="Calibri" w:hAnsi="Calibri"/>
                <w:szCs w:val="20"/>
              </w:rPr>
              <w:t xml:space="preserve"> </w:t>
            </w:r>
            <w:r w:rsidRPr="00833B5A">
              <w:rPr>
                <w:rFonts w:ascii="Calibri" w:hAnsi="Calibri"/>
                <w:i/>
                <w:szCs w:val="20"/>
              </w:rPr>
              <w:t>1989 a</w:t>
            </w:r>
            <w:r>
              <w:rPr>
                <w:rFonts w:ascii="Calibri" w:hAnsi="Calibri"/>
                <w:szCs w:val="20"/>
              </w:rPr>
              <w:t xml:space="preserve">nd how they apply to DIIS associated activities could also be included in the proposed training/familiarisation program suggested as an improvement measure in the risk treatment plan above. </w:t>
            </w:r>
          </w:p>
          <w:p w:rsidR="003E24B5" w:rsidRDefault="003E24B5" w:rsidP="0060640C">
            <w:pPr>
              <w:autoSpaceDE w:val="0"/>
              <w:autoSpaceDN w:val="0"/>
              <w:adjustRightInd w:val="0"/>
              <w:spacing w:before="120" w:after="120"/>
              <w:rPr>
                <w:rFonts w:ascii="Calibri" w:hAnsi="Calibri"/>
                <w:szCs w:val="20"/>
              </w:rPr>
            </w:pPr>
            <w:r w:rsidRPr="001C66C2">
              <w:rPr>
                <w:rFonts w:ascii="Calibri" w:hAnsi="Calibri"/>
                <w:b/>
                <w:szCs w:val="20"/>
              </w:rPr>
              <w:t>Timeframe for Implementation</w:t>
            </w:r>
            <w:r>
              <w:rPr>
                <w:rFonts w:ascii="Calibri" w:hAnsi="Calibri"/>
                <w:szCs w:val="20"/>
              </w:rPr>
              <w:t xml:space="preserve">: </w:t>
            </w:r>
          </w:p>
          <w:p w:rsidR="003E24B5" w:rsidRDefault="003E24B5" w:rsidP="0060640C">
            <w:pPr>
              <w:autoSpaceDE w:val="0"/>
              <w:autoSpaceDN w:val="0"/>
              <w:adjustRightInd w:val="0"/>
              <w:spacing w:before="120" w:after="120"/>
              <w:rPr>
                <w:rFonts w:ascii="Calibri" w:hAnsi="Calibri"/>
                <w:szCs w:val="20"/>
              </w:rPr>
            </w:pPr>
            <w:r>
              <w:rPr>
                <w:rFonts w:ascii="Calibri" w:hAnsi="Calibri"/>
                <w:szCs w:val="20"/>
              </w:rPr>
              <w:t>To coincide with the implementation of the Standard.</w:t>
            </w:r>
          </w:p>
          <w:p w:rsidR="003E24B5" w:rsidRPr="00833B5A" w:rsidRDefault="003E24B5" w:rsidP="00833B5A">
            <w:pPr>
              <w:autoSpaceDE w:val="0"/>
              <w:autoSpaceDN w:val="0"/>
              <w:adjustRightInd w:val="0"/>
              <w:spacing w:before="120" w:after="120"/>
              <w:rPr>
                <w:rFonts w:ascii="Calibri" w:hAnsi="Calibri"/>
                <w:szCs w:val="20"/>
              </w:rPr>
            </w:pPr>
            <w:r w:rsidRPr="001C66C2">
              <w:rPr>
                <w:rFonts w:ascii="Calibri" w:hAnsi="Calibri"/>
                <w:b/>
                <w:szCs w:val="20"/>
              </w:rPr>
              <w:t>Responsibility</w:t>
            </w:r>
            <w:r>
              <w:rPr>
                <w:rFonts w:ascii="Calibri" w:hAnsi="Calibri"/>
                <w:szCs w:val="20"/>
              </w:rPr>
              <w:t>: PSO</w:t>
            </w:r>
            <w:r w:rsidRPr="00833B5A">
              <w:rPr>
                <w:rFonts w:ascii="Calibri" w:hAnsi="Calibri"/>
                <w:szCs w:val="20"/>
              </w:rPr>
              <w:t xml:space="preserve"> under the approved arrangement. </w:t>
            </w:r>
          </w:p>
          <w:p w:rsidR="003E24B5" w:rsidRDefault="003E24B5" w:rsidP="003547DB">
            <w:pPr>
              <w:spacing w:before="120" w:after="120"/>
              <w:jc w:val="left"/>
              <w:rPr>
                <w:rFonts w:ascii="Calibri" w:hAnsi="Calibri"/>
                <w:szCs w:val="20"/>
              </w:rPr>
            </w:pPr>
            <w:r w:rsidRPr="001C66C2">
              <w:rPr>
                <w:rFonts w:ascii="Calibri" w:hAnsi="Calibri"/>
                <w:b/>
                <w:i/>
                <w:szCs w:val="20"/>
              </w:rPr>
              <w:t>It should be noted that this risk is likely to remain “</w:t>
            </w:r>
            <w:r>
              <w:rPr>
                <w:rFonts w:ascii="Calibri" w:hAnsi="Calibri"/>
                <w:b/>
                <w:i/>
                <w:szCs w:val="20"/>
              </w:rPr>
              <w:t>H</w:t>
            </w:r>
            <w:r w:rsidRPr="001C66C2">
              <w:rPr>
                <w:rFonts w:ascii="Calibri" w:hAnsi="Calibri"/>
                <w:b/>
                <w:i/>
                <w:szCs w:val="20"/>
              </w:rPr>
              <w:t>igh” as the</w:t>
            </w:r>
            <w:r>
              <w:rPr>
                <w:rFonts w:ascii="Calibri" w:hAnsi="Calibri"/>
                <w:b/>
                <w:i/>
                <w:szCs w:val="20"/>
              </w:rPr>
              <w:t xml:space="preserve"> consequence will</w:t>
            </w:r>
            <w:r w:rsidRPr="001C66C2">
              <w:rPr>
                <w:rFonts w:ascii="Calibri" w:hAnsi="Calibri"/>
                <w:b/>
                <w:i/>
                <w:szCs w:val="20"/>
              </w:rPr>
              <w:t xml:space="preserve"> always </w:t>
            </w:r>
            <w:r>
              <w:rPr>
                <w:rFonts w:ascii="Calibri" w:hAnsi="Calibri"/>
                <w:b/>
                <w:i/>
                <w:szCs w:val="20"/>
              </w:rPr>
              <w:t>be major.</w:t>
            </w:r>
          </w:p>
        </w:tc>
      </w:tr>
    </w:tbl>
    <w:p w:rsidR="003E24B5" w:rsidRDefault="003E24B5">
      <w:pPr>
        <w:spacing w:after="0"/>
        <w:jc w:val="left"/>
      </w:pPr>
    </w:p>
    <w:p w:rsidR="003E24B5" w:rsidRDefault="003E24B5">
      <w:pPr>
        <w:spacing w:after="0"/>
        <w:jc w:val="left"/>
      </w:pPr>
    </w:p>
    <w:p w:rsidR="003E24B5" w:rsidRDefault="003E24B5">
      <w:pPr>
        <w:spacing w:after="0"/>
        <w:jc w:val="left"/>
      </w:pPr>
    </w:p>
    <w:p w:rsidR="003E24B5" w:rsidRDefault="003E24B5">
      <w:pPr>
        <w:spacing w:after="0"/>
        <w:jc w:val="left"/>
      </w:pPr>
    </w:p>
    <w:p w:rsidR="003E24B5" w:rsidRDefault="003E24B5">
      <w:pPr>
        <w:spacing w:after="0"/>
        <w:jc w:val="left"/>
      </w:pPr>
    </w:p>
    <w:p w:rsidR="003E24B5" w:rsidRDefault="003E24B5">
      <w:pPr>
        <w:spacing w:after="0"/>
        <w:jc w:val="left"/>
      </w:pPr>
    </w:p>
    <w:p w:rsidR="003E24B5" w:rsidRDefault="003E24B5">
      <w:pPr>
        <w:spacing w:after="0"/>
        <w:jc w:val="left"/>
      </w:pPr>
    </w:p>
    <w:p w:rsidR="003E24B5" w:rsidRDefault="003E24B5">
      <w:pPr>
        <w:spacing w:after="0"/>
        <w:jc w:val="left"/>
      </w:pPr>
    </w:p>
    <w:tbl>
      <w:tblPr>
        <w:tblW w:w="152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0"/>
        <w:gridCol w:w="1460"/>
        <w:gridCol w:w="230"/>
        <w:gridCol w:w="40"/>
        <w:gridCol w:w="1650"/>
        <w:gridCol w:w="960"/>
        <w:gridCol w:w="1260"/>
        <w:gridCol w:w="270"/>
        <w:gridCol w:w="2250"/>
        <w:gridCol w:w="720"/>
        <w:gridCol w:w="360"/>
        <w:gridCol w:w="270"/>
        <w:gridCol w:w="360"/>
        <w:gridCol w:w="810"/>
        <w:gridCol w:w="360"/>
        <w:gridCol w:w="630"/>
        <w:gridCol w:w="540"/>
        <w:gridCol w:w="270"/>
        <w:gridCol w:w="1080"/>
      </w:tblGrid>
      <w:tr w:rsidR="003E24B5" w:rsidTr="00970538">
        <w:tc>
          <w:tcPr>
            <w:tcW w:w="1690" w:type="dxa"/>
            <w:shd w:val="solid" w:color="C0C0C0" w:fill="auto"/>
          </w:tcPr>
          <w:p w:rsidR="003E24B5" w:rsidRPr="00FC535A" w:rsidRDefault="003E24B5" w:rsidP="0060640C">
            <w:pPr>
              <w:spacing w:before="120" w:after="120"/>
              <w:jc w:val="center"/>
              <w:rPr>
                <w:rFonts w:ascii="Calibri" w:hAnsi="Calibri"/>
                <w:b/>
                <w:szCs w:val="20"/>
              </w:rPr>
            </w:pPr>
            <w:r>
              <w:lastRenderedPageBreak/>
              <w:br w:type="page"/>
            </w:r>
            <w:r>
              <w:rPr>
                <w:rFonts w:ascii="Calibri" w:hAnsi="Calibri"/>
                <w:b/>
                <w:szCs w:val="20"/>
              </w:rPr>
              <w:t>Risk Category &amp; Origin</w:t>
            </w:r>
          </w:p>
        </w:tc>
        <w:tc>
          <w:tcPr>
            <w:tcW w:w="1460" w:type="dxa"/>
            <w:shd w:val="solid" w:color="C0C0C0" w:fill="auto"/>
          </w:tcPr>
          <w:p w:rsidR="003E24B5" w:rsidRPr="00FC535A" w:rsidRDefault="003E24B5" w:rsidP="0060640C">
            <w:pPr>
              <w:spacing w:before="120" w:after="120"/>
              <w:jc w:val="center"/>
              <w:rPr>
                <w:rFonts w:ascii="Calibri" w:hAnsi="Calibri"/>
                <w:b/>
                <w:sz w:val="18"/>
                <w:szCs w:val="18"/>
              </w:rPr>
            </w:pPr>
            <w:r w:rsidRPr="00FC535A">
              <w:rPr>
                <w:rFonts w:ascii="Calibri" w:hAnsi="Calibri"/>
                <w:b/>
                <w:sz w:val="18"/>
                <w:szCs w:val="18"/>
              </w:rPr>
              <w:t>Description of risk</w:t>
            </w:r>
            <w:r w:rsidRPr="00FC535A">
              <w:rPr>
                <w:rFonts w:ascii="Calibri" w:hAnsi="Calibri"/>
                <w:b/>
                <w:sz w:val="18"/>
                <w:szCs w:val="18"/>
              </w:rPr>
              <w:br/>
              <w:t>(What can happen)</w:t>
            </w:r>
          </w:p>
        </w:tc>
        <w:tc>
          <w:tcPr>
            <w:tcW w:w="1920" w:type="dxa"/>
            <w:gridSpan w:val="3"/>
            <w:shd w:val="solid" w:color="C0C0C0" w:fill="auto"/>
          </w:tcPr>
          <w:p w:rsidR="003E24B5" w:rsidRPr="00FC535A" w:rsidRDefault="003E24B5" w:rsidP="0060640C">
            <w:pPr>
              <w:spacing w:before="120" w:after="120"/>
              <w:jc w:val="center"/>
              <w:rPr>
                <w:rFonts w:ascii="Calibri" w:hAnsi="Calibri"/>
                <w:b/>
                <w:sz w:val="18"/>
                <w:szCs w:val="18"/>
              </w:rPr>
            </w:pPr>
            <w:r w:rsidRPr="00FC535A">
              <w:rPr>
                <w:rFonts w:ascii="Calibri" w:hAnsi="Calibri"/>
                <w:b/>
                <w:sz w:val="18"/>
                <w:szCs w:val="18"/>
              </w:rPr>
              <w:t>Potential causes/sources</w:t>
            </w:r>
            <w:r w:rsidRPr="00FC535A">
              <w:rPr>
                <w:rFonts w:ascii="Calibri" w:hAnsi="Calibri"/>
                <w:b/>
                <w:sz w:val="18"/>
                <w:szCs w:val="18"/>
              </w:rPr>
              <w:br/>
              <w:t>(of an event happening)</w:t>
            </w:r>
          </w:p>
        </w:tc>
        <w:tc>
          <w:tcPr>
            <w:tcW w:w="2220" w:type="dxa"/>
            <w:gridSpan w:val="2"/>
            <w:shd w:val="solid" w:color="C0C0C0" w:fill="auto"/>
          </w:tcPr>
          <w:p w:rsidR="003E24B5" w:rsidRPr="00FC535A" w:rsidRDefault="003E24B5" w:rsidP="0060640C">
            <w:pPr>
              <w:spacing w:before="120" w:after="120"/>
              <w:jc w:val="center"/>
              <w:rPr>
                <w:rFonts w:ascii="Calibri" w:hAnsi="Calibri"/>
                <w:b/>
                <w:sz w:val="18"/>
                <w:szCs w:val="18"/>
              </w:rPr>
            </w:pPr>
            <w:r w:rsidRPr="00FC535A">
              <w:rPr>
                <w:rFonts w:ascii="Calibri" w:hAnsi="Calibri"/>
                <w:b/>
                <w:sz w:val="18"/>
                <w:szCs w:val="18"/>
              </w:rPr>
              <w:t xml:space="preserve">Potential impacts </w:t>
            </w:r>
            <w:r w:rsidRPr="00FC535A">
              <w:rPr>
                <w:rFonts w:ascii="Calibri" w:hAnsi="Calibri"/>
                <w:b/>
                <w:sz w:val="18"/>
                <w:szCs w:val="18"/>
              </w:rPr>
              <w:br/>
              <w:t>(if a risk event happens)</w:t>
            </w:r>
          </w:p>
        </w:tc>
        <w:tc>
          <w:tcPr>
            <w:tcW w:w="3240" w:type="dxa"/>
            <w:gridSpan w:val="3"/>
            <w:shd w:val="solid" w:color="C0C0C0" w:fill="auto"/>
          </w:tcPr>
          <w:p w:rsidR="003E24B5" w:rsidRPr="00FC535A" w:rsidRDefault="003E24B5" w:rsidP="0060640C">
            <w:pPr>
              <w:spacing w:before="120" w:after="120"/>
              <w:jc w:val="center"/>
              <w:rPr>
                <w:rFonts w:ascii="Calibri" w:hAnsi="Calibri"/>
                <w:b/>
                <w:sz w:val="18"/>
                <w:szCs w:val="18"/>
              </w:rPr>
            </w:pPr>
            <w:r w:rsidRPr="00FC535A">
              <w:rPr>
                <w:rFonts w:ascii="Calibri" w:hAnsi="Calibri"/>
                <w:b/>
                <w:sz w:val="18"/>
                <w:szCs w:val="18"/>
              </w:rPr>
              <w:t>Existing controls</w:t>
            </w:r>
          </w:p>
          <w:p w:rsidR="003E24B5" w:rsidRPr="00FC535A" w:rsidRDefault="003E24B5" w:rsidP="0060640C">
            <w:pPr>
              <w:spacing w:before="120" w:after="120"/>
              <w:jc w:val="center"/>
              <w:rPr>
                <w:rFonts w:ascii="Calibri" w:hAnsi="Calibri"/>
                <w:b/>
                <w:sz w:val="18"/>
                <w:szCs w:val="18"/>
              </w:rPr>
            </w:pPr>
            <w:r w:rsidRPr="00FC535A">
              <w:rPr>
                <w:rFonts w:ascii="Calibri" w:hAnsi="Calibri"/>
                <w:b/>
                <w:sz w:val="18"/>
                <w:szCs w:val="18"/>
              </w:rPr>
              <w:t>(what is in place NOW to minimise risk)</w:t>
            </w:r>
          </w:p>
        </w:tc>
        <w:tc>
          <w:tcPr>
            <w:tcW w:w="990" w:type="dxa"/>
            <w:gridSpan w:val="3"/>
            <w:shd w:val="solid" w:color="C0C0C0" w:fill="auto"/>
          </w:tcPr>
          <w:p w:rsidR="003E24B5" w:rsidRPr="00FC535A" w:rsidRDefault="003E24B5" w:rsidP="0060640C">
            <w:pPr>
              <w:spacing w:before="120" w:after="120"/>
              <w:jc w:val="center"/>
              <w:rPr>
                <w:rFonts w:ascii="Calibri" w:hAnsi="Calibri"/>
                <w:b/>
                <w:sz w:val="18"/>
                <w:szCs w:val="18"/>
                <w:vertAlign w:val="superscript"/>
              </w:rPr>
            </w:pPr>
            <w:r w:rsidRPr="00FC535A">
              <w:rPr>
                <w:rFonts w:ascii="Calibri" w:hAnsi="Calibri"/>
                <w:b/>
                <w:sz w:val="18"/>
                <w:szCs w:val="18"/>
              </w:rPr>
              <w:t>Control ratings</w:t>
            </w:r>
          </w:p>
        </w:tc>
        <w:tc>
          <w:tcPr>
            <w:tcW w:w="1170" w:type="dxa"/>
            <w:gridSpan w:val="2"/>
            <w:shd w:val="solid" w:color="C0C0C0" w:fill="auto"/>
          </w:tcPr>
          <w:p w:rsidR="003E24B5" w:rsidRPr="00FC535A" w:rsidRDefault="003E24B5" w:rsidP="0060640C">
            <w:pPr>
              <w:spacing w:before="120" w:after="120"/>
              <w:jc w:val="center"/>
              <w:rPr>
                <w:rFonts w:ascii="Calibri" w:hAnsi="Calibri"/>
                <w:b/>
                <w:sz w:val="18"/>
                <w:szCs w:val="18"/>
              </w:rPr>
            </w:pPr>
            <w:r>
              <w:rPr>
                <w:rFonts w:ascii="Calibri" w:hAnsi="Calibri"/>
                <w:b/>
                <w:sz w:val="18"/>
                <w:szCs w:val="18"/>
              </w:rPr>
              <w:t>Likeli</w:t>
            </w:r>
            <w:r w:rsidRPr="00FC535A">
              <w:rPr>
                <w:rFonts w:ascii="Calibri" w:hAnsi="Calibri"/>
                <w:b/>
                <w:sz w:val="18"/>
                <w:szCs w:val="18"/>
              </w:rPr>
              <w:t>hood</w:t>
            </w:r>
          </w:p>
        </w:tc>
        <w:tc>
          <w:tcPr>
            <w:tcW w:w="1170" w:type="dxa"/>
            <w:gridSpan w:val="2"/>
            <w:shd w:val="solid" w:color="C0C0C0" w:fill="auto"/>
          </w:tcPr>
          <w:p w:rsidR="003E24B5" w:rsidRPr="00FC535A" w:rsidRDefault="003E24B5" w:rsidP="0060640C">
            <w:pPr>
              <w:spacing w:before="120" w:after="120"/>
              <w:ind w:right="-84"/>
              <w:jc w:val="center"/>
              <w:rPr>
                <w:rFonts w:ascii="Calibri" w:hAnsi="Calibri"/>
                <w:b/>
                <w:sz w:val="18"/>
                <w:szCs w:val="18"/>
              </w:rPr>
            </w:pPr>
            <w:r>
              <w:rPr>
                <w:rFonts w:ascii="Calibri" w:hAnsi="Calibri"/>
                <w:b/>
                <w:sz w:val="18"/>
                <w:szCs w:val="18"/>
              </w:rPr>
              <w:t>Conse</w:t>
            </w:r>
            <w:r w:rsidRPr="00FC535A">
              <w:rPr>
                <w:rFonts w:ascii="Calibri" w:hAnsi="Calibri"/>
                <w:b/>
                <w:sz w:val="18"/>
                <w:szCs w:val="18"/>
              </w:rPr>
              <w:t>quence</w:t>
            </w:r>
          </w:p>
        </w:tc>
        <w:tc>
          <w:tcPr>
            <w:tcW w:w="1350" w:type="dxa"/>
            <w:gridSpan w:val="2"/>
            <w:shd w:val="solid" w:color="C0C0C0" w:fill="auto"/>
          </w:tcPr>
          <w:p w:rsidR="003E24B5" w:rsidRPr="00FC535A" w:rsidRDefault="003E24B5" w:rsidP="0060640C">
            <w:pPr>
              <w:spacing w:before="120" w:after="120"/>
              <w:jc w:val="center"/>
              <w:rPr>
                <w:rFonts w:ascii="Calibri" w:hAnsi="Calibri"/>
                <w:b/>
                <w:sz w:val="18"/>
                <w:szCs w:val="18"/>
              </w:rPr>
            </w:pPr>
            <w:r w:rsidRPr="00FC535A">
              <w:rPr>
                <w:rFonts w:ascii="Calibri" w:hAnsi="Calibri"/>
                <w:b/>
                <w:sz w:val="18"/>
                <w:szCs w:val="18"/>
              </w:rPr>
              <w:t>Risk Level</w:t>
            </w:r>
          </w:p>
        </w:tc>
      </w:tr>
      <w:tr w:rsidR="003E24B5" w:rsidTr="00970538">
        <w:tc>
          <w:tcPr>
            <w:tcW w:w="1690" w:type="dxa"/>
            <w:shd w:val="clear" w:color="auto" w:fill="FFC000"/>
          </w:tcPr>
          <w:p w:rsidR="003E24B5" w:rsidRPr="004336F7" w:rsidRDefault="003E24B5" w:rsidP="0060640C">
            <w:pPr>
              <w:spacing w:before="120" w:after="120"/>
              <w:jc w:val="left"/>
              <w:rPr>
                <w:rFonts w:ascii="Calibri" w:hAnsi="Calibri"/>
                <w:b/>
                <w:i/>
                <w:szCs w:val="20"/>
              </w:rPr>
            </w:pPr>
            <w:r>
              <w:rPr>
                <w:rFonts w:ascii="Calibri" w:hAnsi="Calibri"/>
                <w:b/>
                <w:i/>
                <w:szCs w:val="20"/>
              </w:rPr>
              <w:t xml:space="preserve">Section 7 - </w:t>
            </w:r>
            <w:r w:rsidRPr="004336F7">
              <w:rPr>
                <w:rFonts w:ascii="Calibri" w:hAnsi="Calibri"/>
                <w:b/>
                <w:i/>
                <w:szCs w:val="20"/>
              </w:rPr>
              <w:t>Requirements for Recyclers</w:t>
            </w:r>
          </w:p>
          <w:p w:rsidR="003E24B5" w:rsidRPr="004336F7" w:rsidRDefault="003E24B5" w:rsidP="0060640C">
            <w:pPr>
              <w:spacing w:before="120" w:after="120"/>
              <w:jc w:val="left"/>
              <w:rPr>
                <w:rFonts w:ascii="Calibri" w:hAnsi="Calibri"/>
                <w:b/>
                <w:i/>
                <w:szCs w:val="20"/>
              </w:rPr>
            </w:pPr>
          </w:p>
        </w:tc>
        <w:tc>
          <w:tcPr>
            <w:tcW w:w="1460" w:type="dxa"/>
            <w:shd w:val="clear" w:color="auto" w:fill="FFC000"/>
          </w:tcPr>
          <w:p w:rsidR="003E24B5" w:rsidRPr="00B257B8" w:rsidRDefault="003E24B5" w:rsidP="0060640C">
            <w:pPr>
              <w:spacing w:before="120" w:after="120"/>
              <w:jc w:val="left"/>
              <w:rPr>
                <w:rFonts w:ascii="Calibri" w:hAnsi="Calibri"/>
                <w:i/>
                <w:szCs w:val="20"/>
              </w:rPr>
            </w:pPr>
            <w:r w:rsidRPr="00EB1105">
              <w:rPr>
                <w:rFonts w:ascii="Calibri" w:hAnsi="Calibri"/>
                <w:i/>
                <w:szCs w:val="20"/>
              </w:rPr>
              <w:t>Risk of fire resulting from failure to remove batteries from motherboards prior to shredding.</w:t>
            </w:r>
          </w:p>
        </w:tc>
        <w:tc>
          <w:tcPr>
            <w:tcW w:w="1920" w:type="dxa"/>
            <w:gridSpan w:val="3"/>
            <w:shd w:val="clear" w:color="auto" w:fill="FFC000"/>
          </w:tcPr>
          <w:p w:rsidR="003E24B5" w:rsidRDefault="003E24B5" w:rsidP="00162446">
            <w:pPr>
              <w:pStyle w:val="ListParagraph"/>
              <w:numPr>
                <w:ilvl w:val="0"/>
                <w:numId w:val="36"/>
              </w:numPr>
              <w:spacing w:before="120" w:after="120"/>
              <w:jc w:val="left"/>
              <w:rPr>
                <w:rFonts w:ascii="Calibri" w:hAnsi="Calibri"/>
                <w:szCs w:val="20"/>
              </w:rPr>
            </w:pPr>
            <w:r>
              <w:rPr>
                <w:rFonts w:ascii="Calibri" w:hAnsi="Calibri"/>
                <w:szCs w:val="20"/>
              </w:rPr>
              <w:t>Failure to identify presence of batteries</w:t>
            </w:r>
          </w:p>
          <w:p w:rsidR="003E24B5" w:rsidRPr="00123767" w:rsidRDefault="003E24B5" w:rsidP="00162446">
            <w:pPr>
              <w:pStyle w:val="ListParagraph"/>
              <w:numPr>
                <w:ilvl w:val="0"/>
                <w:numId w:val="36"/>
              </w:numPr>
              <w:spacing w:before="120" w:after="120"/>
              <w:jc w:val="left"/>
              <w:rPr>
                <w:rFonts w:ascii="Calibri" w:hAnsi="Calibri"/>
                <w:szCs w:val="20"/>
              </w:rPr>
            </w:pPr>
            <w:r w:rsidRPr="00123767">
              <w:rPr>
                <w:rFonts w:ascii="Calibri" w:hAnsi="Calibri"/>
                <w:szCs w:val="20"/>
              </w:rPr>
              <w:t xml:space="preserve">Inexperienced operator </w:t>
            </w:r>
            <w:r>
              <w:rPr>
                <w:rFonts w:ascii="Calibri" w:hAnsi="Calibri"/>
                <w:szCs w:val="20"/>
              </w:rPr>
              <w:t xml:space="preserve">fails to remove batteries </w:t>
            </w:r>
          </w:p>
        </w:tc>
        <w:tc>
          <w:tcPr>
            <w:tcW w:w="2220" w:type="dxa"/>
            <w:gridSpan w:val="2"/>
            <w:shd w:val="clear" w:color="auto" w:fill="FFC000"/>
          </w:tcPr>
          <w:p w:rsidR="003E24B5" w:rsidRPr="007A72E0" w:rsidRDefault="003E24B5" w:rsidP="00162446">
            <w:pPr>
              <w:pStyle w:val="ListParagraph"/>
              <w:numPr>
                <w:ilvl w:val="0"/>
                <w:numId w:val="36"/>
              </w:numPr>
              <w:spacing w:before="120" w:after="120"/>
              <w:jc w:val="left"/>
              <w:rPr>
                <w:rFonts w:ascii="Calibri" w:hAnsi="Calibri"/>
                <w:szCs w:val="20"/>
              </w:rPr>
            </w:pPr>
            <w:r>
              <w:rPr>
                <w:rFonts w:ascii="Calibri" w:hAnsi="Calibri"/>
                <w:szCs w:val="20"/>
              </w:rPr>
              <w:t>Fire causing damage to life and property</w:t>
            </w:r>
          </w:p>
        </w:tc>
        <w:tc>
          <w:tcPr>
            <w:tcW w:w="3240" w:type="dxa"/>
            <w:gridSpan w:val="3"/>
            <w:shd w:val="clear" w:color="auto" w:fill="FFC000"/>
          </w:tcPr>
          <w:p w:rsidR="003E24B5" w:rsidRDefault="003E24B5" w:rsidP="0060640C">
            <w:pPr>
              <w:autoSpaceDE w:val="0"/>
              <w:autoSpaceDN w:val="0"/>
              <w:adjustRightInd w:val="0"/>
              <w:spacing w:before="120" w:after="120"/>
              <w:jc w:val="left"/>
              <w:rPr>
                <w:rFonts w:ascii="Calibri" w:hAnsi="Calibri"/>
                <w:szCs w:val="20"/>
              </w:rPr>
            </w:pPr>
            <w:r w:rsidRPr="00A15F6B">
              <w:rPr>
                <w:rFonts w:ascii="Calibri" w:hAnsi="Calibri"/>
                <w:szCs w:val="20"/>
              </w:rPr>
              <w:t>Section 7.4 – Processing and Handling</w:t>
            </w:r>
            <w:r>
              <w:rPr>
                <w:rFonts w:ascii="Calibri" w:hAnsi="Calibri"/>
                <w:szCs w:val="20"/>
              </w:rPr>
              <w:t xml:space="preserve"> requires the removal of components, prior to processing, likely to pose a health and safety risk. This section of the DIIS requires as a minimum the removal of;</w:t>
            </w:r>
          </w:p>
          <w:p w:rsidR="003E24B5" w:rsidRDefault="003E24B5" w:rsidP="00162446">
            <w:pPr>
              <w:pStyle w:val="ListParagraph"/>
              <w:numPr>
                <w:ilvl w:val="0"/>
                <w:numId w:val="42"/>
              </w:numPr>
              <w:autoSpaceDE w:val="0"/>
              <w:autoSpaceDN w:val="0"/>
              <w:adjustRightInd w:val="0"/>
              <w:spacing w:before="120" w:after="120"/>
              <w:jc w:val="left"/>
              <w:rPr>
                <w:rFonts w:ascii="Calibri" w:hAnsi="Calibri"/>
                <w:szCs w:val="20"/>
              </w:rPr>
            </w:pPr>
            <w:r>
              <w:rPr>
                <w:rFonts w:ascii="Calibri" w:hAnsi="Calibri"/>
                <w:szCs w:val="20"/>
              </w:rPr>
              <w:t>Mercury bearing lamps</w:t>
            </w:r>
          </w:p>
          <w:p w:rsidR="003E24B5" w:rsidRDefault="003E24B5" w:rsidP="00162446">
            <w:pPr>
              <w:pStyle w:val="ListParagraph"/>
              <w:numPr>
                <w:ilvl w:val="0"/>
                <w:numId w:val="42"/>
              </w:numPr>
              <w:autoSpaceDE w:val="0"/>
              <w:autoSpaceDN w:val="0"/>
              <w:adjustRightInd w:val="0"/>
              <w:spacing w:before="120" w:after="120"/>
              <w:jc w:val="left"/>
              <w:rPr>
                <w:rFonts w:ascii="Calibri" w:hAnsi="Calibri"/>
                <w:szCs w:val="20"/>
              </w:rPr>
            </w:pPr>
            <w:r>
              <w:rPr>
                <w:rFonts w:ascii="Calibri" w:hAnsi="Calibri"/>
                <w:szCs w:val="20"/>
              </w:rPr>
              <w:t xml:space="preserve">Ink and toner cartridges </w:t>
            </w:r>
          </w:p>
          <w:p w:rsidR="003E24B5" w:rsidRPr="004336F7" w:rsidRDefault="003E24B5" w:rsidP="00162446">
            <w:pPr>
              <w:pStyle w:val="ListParagraph"/>
              <w:numPr>
                <w:ilvl w:val="0"/>
                <w:numId w:val="42"/>
              </w:numPr>
              <w:autoSpaceDE w:val="0"/>
              <w:autoSpaceDN w:val="0"/>
              <w:adjustRightInd w:val="0"/>
              <w:spacing w:before="120" w:after="120"/>
              <w:jc w:val="left"/>
              <w:rPr>
                <w:rFonts w:ascii="Calibri" w:hAnsi="Calibri"/>
                <w:szCs w:val="20"/>
              </w:rPr>
            </w:pPr>
            <w:r w:rsidRPr="004336F7">
              <w:rPr>
                <w:rFonts w:ascii="Calibri" w:hAnsi="Calibri"/>
                <w:szCs w:val="20"/>
              </w:rPr>
              <w:t>Batteries</w:t>
            </w:r>
          </w:p>
          <w:p w:rsidR="003E24B5" w:rsidRPr="00A15F6B" w:rsidRDefault="003E24B5" w:rsidP="00162446">
            <w:pPr>
              <w:pStyle w:val="ListParagraph"/>
              <w:numPr>
                <w:ilvl w:val="0"/>
                <w:numId w:val="42"/>
              </w:numPr>
              <w:autoSpaceDE w:val="0"/>
              <w:autoSpaceDN w:val="0"/>
              <w:adjustRightInd w:val="0"/>
              <w:spacing w:before="120" w:after="120"/>
              <w:jc w:val="left"/>
              <w:rPr>
                <w:rFonts w:ascii="Calibri" w:hAnsi="Calibri"/>
                <w:szCs w:val="20"/>
              </w:rPr>
            </w:pPr>
            <w:r>
              <w:rPr>
                <w:rFonts w:ascii="Calibri" w:hAnsi="Calibri"/>
                <w:szCs w:val="20"/>
              </w:rPr>
              <w:t xml:space="preserve">CRT and flat panel displays. </w:t>
            </w:r>
          </w:p>
        </w:tc>
        <w:tc>
          <w:tcPr>
            <w:tcW w:w="990" w:type="dxa"/>
            <w:gridSpan w:val="3"/>
            <w:shd w:val="clear" w:color="auto" w:fill="FFC000"/>
          </w:tcPr>
          <w:p w:rsidR="003E24B5" w:rsidRDefault="003E24B5" w:rsidP="0060640C">
            <w:pPr>
              <w:spacing w:before="120" w:after="120"/>
              <w:jc w:val="left"/>
              <w:rPr>
                <w:rFonts w:ascii="Calibri" w:hAnsi="Calibri"/>
                <w:szCs w:val="20"/>
              </w:rPr>
            </w:pPr>
            <w:r>
              <w:rPr>
                <w:rFonts w:ascii="Calibri" w:hAnsi="Calibri"/>
                <w:szCs w:val="20"/>
              </w:rPr>
              <w:t>Adequate</w:t>
            </w:r>
          </w:p>
        </w:tc>
        <w:tc>
          <w:tcPr>
            <w:tcW w:w="1170" w:type="dxa"/>
            <w:gridSpan w:val="2"/>
            <w:shd w:val="clear" w:color="auto" w:fill="FFC000"/>
          </w:tcPr>
          <w:p w:rsidR="003E24B5" w:rsidRDefault="003E24B5" w:rsidP="0060640C">
            <w:pPr>
              <w:spacing w:before="120" w:after="120"/>
              <w:jc w:val="left"/>
              <w:rPr>
                <w:rFonts w:ascii="Calibri" w:hAnsi="Calibri"/>
                <w:szCs w:val="20"/>
              </w:rPr>
            </w:pPr>
            <w:r>
              <w:rPr>
                <w:rFonts w:ascii="Calibri" w:hAnsi="Calibri"/>
                <w:szCs w:val="20"/>
              </w:rPr>
              <w:t>Possible</w:t>
            </w:r>
          </w:p>
        </w:tc>
        <w:tc>
          <w:tcPr>
            <w:tcW w:w="1170" w:type="dxa"/>
            <w:gridSpan w:val="2"/>
            <w:shd w:val="clear" w:color="auto" w:fill="FFC000"/>
          </w:tcPr>
          <w:p w:rsidR="003E24B5" w:rsidRDefault="003E24B5" w:rsidP="0060640C">
            <w:pPr>
              <w:spacing w:before="120" w:after="120"/>
              <w:ind w:firstLine="3"/>
              <w:jc w:val="left"/>
              <w:rPr>
                <w:rFonts w:ascii="Calibri" w:hAnsi="Calibri"/>
                <w:szCs w:val="20"/>
              </w:rPr>
            </w:pPr>
            <w:r>
              <w:rPr>
                <w:rFonts w:ascii="Calibri" w:hAnsi="Calibri"/>
                <w:szCs w:val="20"/>
              </w:rPr>
              <w:t>Major</w:t>
            </w:r>
          </w:p>
        </w:tc>
        <w:tc>
          <w:tcPr>
            <w:tcW w:w="1350" w:type="dxa"/>
            <w:gridSpan w:val="2"/>
            <w:shd w:val="clear" w:color="auto" w:fill="FFC000"/>
          </w:tcPr>
          <w:p w:rsidR="003E24B5" w:rsidRDefault="003E24B5" w:rsidP="0060640C">
            <w:pPr>
              <w:spacing w:before="120" w:after="120"/>
              <w:jc w:val="left"/>
              <w:rPr>
                <w:rFonts w:ascii="Calibri" w:hAnsi="Calibri"/>
                <w:szCs w:val="20"/>
              </w:rPr>
            </w:pPr>
            <w:r>
              <w:rPr>
                <w:rFonts w:ascii="Calibri" w:hAnsi="Calibri"/>
                <w:szCs w:val="20"/>
              </w:rPr>
              <w:t>High</w:t>
            </w:r>
          </w:p>
        </w:tc>
      </w:tr>
      <w:tr w:rsidR="003E24B5" w:rsidTr="00970538">
        <w:tc>
          <w:tcPr>
            <w:tcW w:w="15210" w:type="dxa"/>
            <w:gridSpan w:val="19"/>
          </w:tcPr>
          <w:p w:rsidR="003E24B5" w:rsidRPr="00635E42" w:rsidRDefault="003E24B5" w:rsidP="0060640C">
            <w:pPr>
              <w:spacing w:before="120" w:after="120"/>
              <w:jc w:val="left"/>
              <w:rPr>
                <w:rFonts w:ascii="Calibri" w:hAnsi="Calibri"/>
                <w:b/>
                <w:szCs w:val="20"/>
              </w:rPr>
            </w:pPr>
            <w:r w:rsidRPr="00635E42">
              <w:rPr>
                <w:rFonts w:ascii="Calibri" w:hAnsi="Calibri"/>
                <w:b/>
                <w:szCs w:val="20"/>
              </w:rPr>
              <w:t xml:space="preserve">Further Treatment </w:t>
            </w:r>
          </w:p>
        </w:tc>
      </w:tr>
      <w:tr w:rsidR="003E24B5" w:rsidTr="00970538">
        <w:tc>
          <w:tcPr>
            <w:tcW w:w="15210" w:type="dxa"/>
            <w:gridSpan w:val="19"/>
          </w:tcPr>
          <w:p w:rsidR="003E24B5" w:rsidRDefault="003E24B5" w:rsidP="0060640C">
            <w:pPr>
              <w:spacing w:before="120" w:after="120"/>
              <w:jc w:val="left"/>
              <w:rPr>
                <w:rFonts w:ascii="Calibri" w:hAnsi="Calibri"/>
                <w:szCs w:val="20"/>
              </w:rPr>
            </w:pPr>
            <w:r>
              <w:rPr>
                <w:rFonts w:ascii="Calibri" w:hAnsi="Calibri"/>
                <w:szCs w:val="20"/>
              </w:rPr>
              <w:t>Section 7.4 of the DIIS already requires the safe removal of components prior to processing. This risk is more likely to occur in facilities that are not experienced in appropriate materials separation and handling. Training and familiarisation for all “accredited” operators is recommended to coincide with the implementation of the DIIS and ensure the associated risks are fully understood. In addition all disassembly facilities should be fitted with appropriate early smoke detection equipment, and other suitable fire retardant equipment. Appendix 1 of the DIIS provides guidance on the environmentally sound removal of electronics however this is an extract from the Canadian Standard. In order to strengthen the requirement of the Standard in relation to this issue it is recommended that the contents of Appendix 1 become more prescriptive or included in the body of the Standard rather simply referred to in the risk management section.</w:t>
            </w:r>
          </w:p>
          <w:p w:rsidR="003E24B5" w:rsidRDefault="003E24B5" w:rsidP="0060640C">
            <w:pPr>
              <w:spacing w:before="120" w:after="120"/>
              <w:jc w:val="left"/>
              <w:rPr>
                <w:rFonts w:ascii="Calibri" w:hAnsi="Calibri"/>
                <w:szCs w:val="20"/>
              </w:rPr>
            </w:pPr>
            <w:r>
              <w:rPr>
                <w:rFonts w:ascii="Calibri" w:hAnsi="Calibri"/>
                <w:szCs w:val="20"/>
              </w:rPr>
              <w:t xml:space="preserve">The introductory comments of Appendix 1 state the guidance document was developed to serve as an educational document. It would therefore be useful to ensure the contents are included into a training session for delivery to operators as outlined in the risk treatment plans above. </w:t>
            </w:r>
          </w:p>
          <w:p w:rsidR="003E24B5" w:rsidRDefault="003E24B5" w:rsidP="0060640C">
            <w:pPr>
              <w:autoSpaceDE w:val="0"/>
              <w:autoSpaceDN w:val="0"/>
              <w:adjustRightInd w:val="0"/>
              <w:spacing w:before="120" w:after="120"/>
              <w:rPr>
                <w:rFonts w:ascii="Calibri" w:hAnsi="Calibri"/>
                <w:szCs w:val="20"/>
              </w:rPr>
            </w:pPr>
            <w:r w:rsidRPr="001C66C2">
              <w:rPr>
                <w:rFonts w:ascii="Calibri" w:hAnsi="Calibri"/>
                <w:b/>
                <w:szCs w:val="20"/>
              </w:rPr>
              <w:t>Timeframe for Implementation</w:t>
            </w:r>
            <w:r>
              <w:rPr>
                <w:rFonts w:ascii="Calibri" w:hAnsi="Calibri"/>
                <w:szCs w:val="20"/>
              </w:rPr>
              <w:t xml:space="preserve">: </w:t>
            </w:r>
          </w:p>
          <w:p w:rsidR="003E24B5" w:rsidRDefault="003E24B5" w:rsidP="0060640C">
            <w:pPr>
              <w:autoSpaceDE w:val="0"/>
              <w:autoSpaceDN w:val="0"/>
              <w:adjustRightInd w:val="0"/>
              <w:spacing w:before="120" w:after="120"/>
              <w:rPr>
                <w:rFonts w:ascii="Calibri" w:hAnsi="Calibri"/>
                <w:szCs w:val="20"/>
              </w:rPr>
            </w:pPr>
            <w:r>
              <w:rPr>
                <w:rFonts w:ascii="Calibri" w:hAnsi="Calibri"/>
                <w:szCs w:val="20"/>
              </w:rPr>
              <w:t>To coincide with the implementation of the Standard.</w:t>
            </w:r>
          </w:p>
          <w:p w:rsidR="003E24B5" w:rsidRDefault="003E24B5" w:rsidP="0060640C">
            <w:pPr>
              <w:autoSpaceDE w:val="0"/>
              <w:autoSpaceDN w:val="0"/>
              <w:adjustRightInd w:val="0"/>
              <w:spacing w:before="120" w:after="120"/>
              <w:rPr>
                <w:rFonts w:ascii="Calibri" w:hAnsi="Calibri"/>
                <w:szCs w:val="20"/>
              </w:rPr>
            </w:pPr>
            <w:r w:rsidRPr="001C66C2">
              <w:rPr>
                <w:rFonts w:ascii="Calibri" w:hAnsi="Calibri"/>
                <w:b/>
                <w:szCs w:val="20"/>
              </w:rPr>
              <w:t>Responsibility</w:t>
            </w:r>
            <w:r>
              <w:rPr>
                <w:rFonts w:ascii="Calibri" w:hAnsi="Calibri"/>
                <w:szCs w:val="20"/>
              </w:rPr>
              <w:t xml:space="preserve">: </w:t>
            </w:r>
          </w:p>
          <w:p w:rsidR="003E24B5" w:rsidRPr="00833B5A" w:rsidRDefault="003E24B5" w:rsidP="00833B5A">
            <w:pPr>
              <w:autoSpaceDE w:val="0"/>
              <w:autoSpaceDN w:val="0"/>
              <w:adjustRightInd w:val="0"/>
              <w:spacing w:before="120" w:after="120"/>
              <w:rPr>
                <w:rFonts w:ascii="Calibri" w:hAnsi="Calibri"/>
                <w:szCs w:val="20"/>
              </w:rPr>
            </w:pPr>
            <w:r>
              <w:rPr>
                <w:rFonts w:ascii="Calibri" w:hAnsi="Calibri"/>
                <w:szCs w:val="20"/>
              </w:rPr>
              <w:t>PSO under t</w:t>
            </w:r>
            <w:r w:rsidRPr="00833B5A">
              <w:rPr>
                <w:rFonts w:ascii="Calibri" w:hAnsi="Calibri"/>
                <w:szCs w:val="20"/>
              </w:rPr>
              <w:t xml:space="preserve">he approved arrangement. </w:t>
            </w:r>
          </w:p>
          <w:p w:rsidR="003E24B5" w:rsidRPr="00970538" w:rsidRDefault="003E24B5" w:rsidP="0060640C">
            <w:pPr>
              <w:spacing w:before="120" w:after="120"/>
              <w:jc w:val="left"/>
              <w:rPr>
                <w:rFonts w:ascii="Calibri" w:hAnsi="Calibri"/>
                <w:b/>
                <w:i/>
                <w:szCs w:val="20"/>
              </w:rPr>
            </w:pPr>
            <w:r w:rsidRPr="001C66C2">
              <w:rPr>
                <w:rFonts w:ascii="Calibri" w:hAnsi="Calibri"/>
                <w:b/>
                <w:i/>
                <w:szCs w:val="20"/>
              </w:rPr>
              <w:t>It should be noted that this risk is likely to remain “high” as the</w:t>
            </w:r>
            <w:r>
              <w:rPr>
                <w:rFonts w:ascii="Calibri" w:hAnsi="Calibri"/>
                <w:b/>
                <w:i/>
                <w:szCs w:val="20"/>
              </w:rPr>
              <w:t xml:space="preserve"> consequence will</w:t>
            </w:r>
            <w:r w:rsidRPr="001C66C2">
              <w:rPr>
                <w:rFonts w:ascii="Calibri" w:hAnsi="Calibri"/>
                <w:b/>
                <w:i/>
                <w:szCs w:val="20"/>
              </w:rPr>
              <w:t xml:space="preserve"> always </w:t>
            </w:r>
            <w:r>
              <w:rPr>
                <w:rFonts w:ascii="Calibri" w:hAnsi="Calibri"/>
                <w:b/>
                <w:i/>
                <w:szCs w:val="20"/>
              </w:rPr>
              <w:t>be major.</w:t>
            </w:r>
          </w:p>
        </w:tc>
      </w:tr>
      <w:tr w:rsidR="003E24B5" w:rsidTr="00970538">
        <w:tc>
          <w:tcPr>
            <w:tcW w:w="1690" w:type="dxa"/>
            <w:shd w:val="solid" w:color="C0C0C0" w:fill="auto"/>
          </w:tcPr>
          <w:p w:rsidR="003E24B5" w:rsidRPr="00FC535A" w:rsidRDefault="003E24B5" w:rsidP="0060640C">
            <w:pPr>
              <w:spacing w:before="120" w:after="120"/>
              <w:jc w:val="center"/>
              <w:rPr>
                <w:rFonts w:ascii="Calibri" w:hAnsi="Calibri"/>
                <w:b/>
                <w:szCs w:val="20"/>
              </w:rPr>
            </w:pPr>
            <w:r>
              <w:rPr>
                <w:rFonts w:ascii="Calibri" w:hAnsi="Calibri"/>
                <w:b/>
                <w:szCs w:val="20"/>
              </w:rPr>
              <w:lastRenderedPageBreak/>
              <w:t>Risk Category &amp; Origin</w:t>
            </w:r>
          </w:p>
        </w:tc>
        <w:tc>
          <w:tcPr>
            <w:tcW w:w="1730" w:type="dxa"/>
            <w:gridSpan w:val="3"/>
            <w:shd w:val="solid" w:color="C0C0C0" w:fill="auto"/>
          </w:tcPr>
          <w:p w:rsidR="003E24B5" w:rsidRPr="00FC535A" w:rsidRDefault="003E24B5" w:rsidP="0060640C">
            <w:pPr>
              <w:spacing w:before="120" w:after="120"/>
              <w:jc w:val="center"/>
              <w:rPr>
                <w:rFonts w:ascii="Calibri" w:hAnsi="Calibri"/>
                <w:b/>
                <w:sz w:val="18"/>
                <w:szCs w:val="18"/>
              </w:rPr>
            </w:pPr>
            <w:r w:rsidRPr="00FC535A">
              <w:rPr>
                <w:rFonts w:ascii="Calibri" w:hAnsi="Calibri"/>
                <w:b/>
                <w:sz w:val="18"/>
                <w:szCs w:val="18"/>
              </w:rPr>
              <w:t>Description of risk</w:t>
            </w:r>
            <w:r w:rsidRPr="00FC535A">
              <w:rPr>
                <w:rFonts w:ascii="Calibri" w:hAnsi="Calibri"/>
                <w:b/>
                <w:sz w:val="18"/>
                <w:szCs w:val="18"/>
              </w:rPr>
              <w:br/>
              <w:t>(What can happen)</w:t>
            </w:r>
          </w:p>
        </w:tc>
        <w:tc>
          <w:tcPr>
            <w:tcW w:w="2610" w:type="dxa"/>
            <w:gridSpan w:val="2"/>
            <w:shd w:val="solid" w:color="C0C0C0" w:fill="auto"/>
          </w:tcPr>
          <w:p w:rsidR="003E24B5" w:rsidRPr="00FC535A" w:rsidRDefault="003E24B5" w:rsidP="0060640C">
            <w:pPr>
              <w:spacing w:before="120" w:after="120"/>
              <w:jc w:val="center"/>
              <w:rPr>
                <w:rFonts w:ascii="Calibri" w:hAnsi="Calibri"/>
                <w:b/>
                <w:sz w:val="18"/>
                <w:szCs w:val="18"/>
              </w:rPr>
            </w:pPr>
            <w:r w:rsidRPr="00FC535A">
              <w:rPr>
                <w:rFonts w:ascii="Calibri" w:hAnsi="Calibri"/>
                <w:b/>
                <w:sz w:val="18"/>
                <w:szCs w:val="18"/>
              </w:rPr>
              <w:t>Potential causes/sources</w:t>
            </w:r>
            <w:r w:rsidRPr="00FC535A">
              <w:rPr>
                <w:rFonts w:ascii="Calibri" w:hAnsi="Calibri"/>
                <w:b/>
                <w:sz w:val="18"/>
                <w:szCs w:val="18"/>
              </w:rPr>
              <w:br/>
              <w:t>(of an event happening)</w:t>
            </w:r>
          </w:p>
        </w:tc>
        <w:tc>
          <w:tcPr>
            <w:tcW w:w="1530" w:type="dxa"/>
            <w:gridSpan w:val="2"/>
            <w:shd w:val="solid" w:color="C0C0C0" w:fill="auto"/>
          </w:tcPr>
          <w:p w:rsidR="003E24B5" w:rsidRPr="00FC535A" w:rsidRDefault="003E24B5" w:rsidP="0060640C">
            <w:pPr>
              <w:spacing w:before="120" w:after="120"/>
              <w:jc w:val="center"/>
              <w:rPr>
                <w:rFonts w:ascii="Calibri" w:hAnsi="Calibri"/>
                <w:b/>
                <w:sz w:val="18"/>
                <w:szCs w:val="18"/>
              </w:rPr>
            </w:pPr>
            <w:r w:rsidRPr="00FC535A">
              <w:rPr>
                <w:rFonts w:ascii="Calibri" w:hAnsi="Calibri"/>
                <w:b/>
                <w:sz w:val="18"/>
                <w:szCs w:val="18"/>
              </w:rPr>
              <w:t xml:space="preserve">Potential impacts </w:t>
            </w:r>
            <w:r w:rsidRPr="00FC535A">
              <w:rPr>
                <w:rFonts w:ascii="Calibri" w:hAnsi="Calibri"/>
                <w:b/>
                <w:sz w:val="18"/>
                <w:szCs w:val="18"/>
              </w:rPr>
              <w:br/>
              <w:t>(if a risk event happens)</w:t>
            </w:r>
          </w:p>
        </w:tc>
        <w:tc>
          <w:tcPr>
            <w:tcW w:w="3330" w:type="dxa"/>
            <w:gridSpan w:val="3"/>
            <w:shd w:val="solid" w:color="C0C0C0" w:fill="auto"/>
          </w:tcPr>
          <w:p w:rsidR="003E24B5" w:rsidRPr="00FC535A" w:rsidRDefault="003E24B5" w:rsidP="0060640C">
            <w:pPr>
              <w:spacing w:before="120" w:after="120"/>
              <w:jc w:val="center"/>
              <w:rPr>
                <w:rFonts w:ascii="Calibri" w:hAnsi="Calibri"/>
                <w:b/>
                <w:sz w:val="18"/>
                <w:szCs w:val="18"/>
              </w:rPr>
            </w:pPr>
            <w:r w:rsidRPr="00FC535A">
              <w:rPr>
                <w:rFonts w:ascii="Calibri" w:hAnsi="Calibri"/>
                <w:b/>
                <w:sz w:val="18"/>
                <w:szCs w:val="18"/>
              </w:rPr>
              <w:t>Existing controls</w:t>
            </w:r>
          </w:p>
          <w:p w:rsidR="003E24B5" w:rsidRPr="00FC535A" w:rsidRDefault="003E24B5" w:rsidP="0060640C">
            <w:pPr>
              <w:spacing w:before="120" w:after="120"/>
              <w:jc w:val="center"/>
              <w:rPr>
                <w:rFonts w:ascii="Calibri" w:hAnsi="Calibri"/>
                <w:b/>
                <w:sz w:val="18"/>
                <w:szCs w:val="18"/>
              </w:rPr>
            </w:pPr>
            <w:r w:rsidRPr="00FC535A">
              <w:rPr>
                <w:rFonts w:ascii="Calibri" w:hAnsi="Calibri"/>
                <w:b/>
                <w:sz w:val="18"/>
                <w:szCs w:val="18"/>
              </w:rPr>
              <w:t>(what is in place NOW to minimise risk)</w:t>
            </w:r>
          </w:p>
        </w:tc>
        <w:tc>
          <w:tcPr>
            <w:tcW w:w="1440" w:type="dxa"/>
            <w:gridSpan w:val="3"/>
            <w:shd w:val="solid" w:color="C0C0C0" w:fill="auto"/>
          </w:tcPr>
          <w:p w:rsidR="003E24B5" w:rsidRPr="00FC535A" w:rsidRDefault="003E24B5" w:rsidP="0060640C">
            <w:pPr>
              <w:spacing w:before="120" w:after="120"/>
              <w:jc w:val="center"/>
              <w:rPr>
                <w:rFonts w:ascii="Calibri" w:hAnsi="Calibri"/>
                <w:b/>
                <w:sz w:val="18"/>
                <w:szCs w:val="18"/>
                <w:vertAlign w:val="superscript"/>
              </w:rPr>
            </w:pPr>
            <w:r w:rsidRPr="00FC535A">
              <w:rPr>
                <w:rFonts w:ascii="Calibri" w:hAnsi="Calibri"/>
                <w:b/>
                <w:sz w:val="18"/>
                <w:szCs w:val="18"/>
              </w:rPr>
              <w:t>Control ratings</w:t>
            </w:r>
          </w:p>
        </w:tc>
        <w:tc>
          <w:tcPr>
            <w:tcW w:w="990" w:type="dxa"/>
            <w:gridSpan w:val="2"/>
            <w:shd w:val="solid" w:color="C0C0C0" w:fill="auto"/>
          </w:tcPr>
          <w:p w:rsidR="003E24B5" w:rsidRPr="00FC535A" w:rsidRDefault="003E24B5" w:rsidP="0060640C">
            <w:pPr>
              <w:spacing w:before="120" w:after="120"/>
              <w:jc w:val="center"/>
              <w:rPr>
                <w:rFonts w:ascii="Calibri" w:hAnsi="Calibri"/>
                <w:b/>
                <w:sz w:val="18"/>
                <w:szCs w:val="18"/>
              </w:rPr>
            </w:pPr>
            <w:r>
              <w:rPr>
                <w:rFonts w:ascii="Calibri" w:hAnsi="Calibri"/>
                <w:b/>
                <w:sz w:val="18"/>
                <w:szCs w:val="18"/>
              </w:rPr>
              <w:t>Likeli</w:t>
            </w:r>
            <w:r w:rsidRPr="00FC535A">
              <w:rPr>
                <w:rFonts w:ascii="Calibri" w:hAnsi="Calibri"/>
                <w:b/>
                <w:sz w:val="18"/>
                <w:szCs w:val="18"/>
              </w:rPr>
              <w:t>hood</w:t>
            </w:r>
          </w:p>
        </w:tc>
        <w:tc>
          <w:tcPr>
            <w:tcW w:w="810" w:type="dxa"/>
            <w:gridSpan w:val="2"/>
            <w:shd w:val="solid" w:color="C0C0C0" w:fill="auto"/>
          </w:tcPr>
          <w:p w:rsidR="003E24B5" w:rsidRPr="00FC535A" w:rsidRDefault="003E24B5" w:rsidP="0060640C">
            <w:pPr>
              <w:spacing w:before="120" w:after="120"/>
              <w:ind w:right="-84"/>
              <w:jc w:val="center"/>
              <w:rPr>
                <w:rFonts w:ascii="Calibri" w:hAnsi="Calibri"/>
                <w:b/>
                <w:sz w:val="18"/>
                <w:szCs w:val="18"/>
              </w:rPr>
            </w:pPr>
            <w:r>
              <w:rPr>
                <w:rFonts w:ascii="Calibri" w:hAnsi="Calibri"/>
                <w:b/>
                <w:sz w:val="18"/>
                <w:szCs w:val="18"/>
              </w:rPr>
              <w:t>Conse</w:t>
            </w:r>
            <w:r w:rsidRPr="00FC535A">
              <w:rPr>
                <w:rFonts w:ascii="Calibri" w:hAnsi="Calibri"/>
                <w:b/>
                <w:sz w:val="18"/>
                <w:szCs w:val="18"/>
              </w:rPr>
              <w:t>quence</w:t>
            </w:r>
          </w:p>
        </w:tc>
        <w:tc>
          <w:tcPr>
            <w:tcW w:w="1080" w:type="dxa"/>
            <w:shd w:val="solid" w:color="C0C0C0" w:fill="auto"/>
          </w:tcPr>
          <w:p w:rsidR="003E24B5" w:rsidRPr="00FC535A" w:rsidRDefault="003E24B5" w:rsidP="0060640C">
            <w:pPr>
              <w:spacing w:before="120" w:after="120"/>
              <w:jc w:val="center"/>
              <w:rPr>
                <w:rFonts w:ascii="Calibri" w:hAnsi="Calibri"/>
                <w:b/>
                <w:sz w:val="18"/>
                <w:szCs w:val="18"/>
              </w:rPr>
            </w:pPr>
            <w:r w:rsidRPr="00FC535A">
              <w:rPr>
                <w:rFonts w:ascii="Calibri" w:hAnsi="Calibri"/>
                <w:b/>
                <w:sz w:val="18"/>
                <w:szCs w:val="18"/>
              </w:rPr>
              <w:t>Risk Level</w:t>
            </w:r>
          </w:p>
        </w:tc>
      </w:tr>
      <w:tr w:rsidR="003E24B5" w:rsidTr="00970538">
        <w:tc>
          <w:tcPr>
            <w:tcW w:w="1690" w:type="dxa"/>
            <w:shd w:val="clear" w:color="auto" w:fill="FFC000"/>
          </w:tcPr>
          <w:p w:rsidR="003E24B5" w:rsidRPr="004336F7" w:rsidRDefault="003E24B5" w:rsidP="0060640C">
            <w:pPr>
              <w:spacing w:before="120" w:after="120"/>
              <w:jc w:val="left"/>
              <w:rPr>
                <w:rFonts w:ascii="Calibri" w:hAnsi="Calibri"/>
                <w:b/>
                <w:i/>
                <w:szCs w:val="20"/>
              </w:rPr>
            </w:pPr>
            <w:r>
              <w:rPr>
                <w:rFonts w:ascii="Calibri" w:hAnsi="Calibri"/>
                <w:b/>
                <w:i/>
                <w:szCs w:val="20"/>
              </w:rPr>
              <w:t xml:space="preserve">Section 7 - </w:t>
            </w:r>
            <w:r w:rsidRPr="004336F7">
              <w:rPr>
                <w:rFonts w:ascii="Calibri" w:hAnsi="Calibri"/>
                <w:b/>
                <w:i/>
                <w:szCs w:val="20"/>
              </w:rPr>
              <w:t>Requirements for Recyclers</w:t>
            </w:r>
          </w:p>
          <w:p w:rsidR="003E24B5" w:rsidRPr="004336F7" w:rsidRDefault="003E24B5" w:rsidP="0060640C">
            <w:pPr>
              <w:spacing w:before="120" w:after="120"/>
              <w:jc w:val="left"/>
              <w:rPr>
                <w:rFonts w:ascii="Calibri" w:hAnsi="Calibri"/>
                <w:b/>
                <w:i/>
                <w:szCs w:val="20"/>
              </w:rPr>
            </w:pPr>
          </w:p>
        </w:tc>
        <w:tc>
          <w:tcPr>
            <w:tcW w:w="1730" w:type="dxa"/>
            <w:gridSpan w:val="3"/>
            <w:shd w:val="clear" w:color="auto" w:fill="FFC000"/>
          </w:tcPr>
          <w:p w:rsidR="003E24B5" w:rsidRPr="00565D1D" w:rsidRDefault="003E24B5" w:rsidP="0060640C">
            <w:pPr>
              <w:spacing w:before="120" w:after="120"/>
              <w:jc w:val="left"/>
              <w:rPr>
                <w:rFonts w:ascii="Calibri" w:hAnsi="Calibri"/>
                <w:i/>
                <w:szCs w:val="20"/>
              </w:rPr>
            </w:pPr>
            <w:r w:rsidRPr="00EB1105">
              <w:rPr>
                <w:rFonts w:ascii="Calibri" w:hAnsi="Calibri"/>
                <w:i/>
                <w:szCs w:val="20"/>
              </w:rPr>
              <w:t>Employees are exposed to mercury contamination due to failure to remove lamps and bulbs prior to shredding or mechanical processing</w:t>
            </w:r>
          </w:p>
        </w:tc>
        <w:tc>
          <w:tcPr>
            <w:tcW w:w="2610" w:type="dxa"/>
            <w:gridSpan w:val="2"/>
            <w:shd w:val="clear" w:color="auto" w:fill="FFC000"/>
          </w:tcPr>
          <w:p w:rsidR="003E24B5" w:rsidRDefault="003E24B5" w:rsidP="00162446">
            <w:pPr>
              <w:pStyle w:val="ListParagraph"/>
              <w:numPr>
                <w:ilvl w:val="0"/>
                <w:numId w:val="35"/>
              </w:numPr>
              <w:spacing w:before="120" w:after="120"/>
              <w:jc w:val="left"/>
              <w:rPr>
                <w:rFonts w:ascii="Calibri" w:hAnsi="Calibri"/>
                <w:szCs w:val="20"/>
              </w:rPr>
            </w:pPr>
            <w:r>
              <w:rPr>
                <w:rFonts w:ascii="Calibri" w:hAnsi="Calibri"/>
                <w:szCs w:val="20"/>
              </w:rPr>
              <w:t>Materials deposited at an Inappropriate facility</w:t>
            </w:r>
          </w:p>
          <w:p w:rsidR="003E24B5" w:rsidRDefault="003E24B5" w:rsidP="00162446">
            <w:pPr>
              <w:pStyle w:val="ListParagraph"/>
              <w:numPr>
                <w:ilvl w:val="0"/>
                <w:numId w:val="35"/>
              </w:numPr>
              <w:spacing w:before="120" w:after="120"/>
              <w:jc w:val="left"/>
              <w:rPr>
                <w:rFonts w:ascii="Calibri" w:hAnsi="Calibri"/>
                <w:szCs w:val="20"/>
              </w:rPr>
            </w:pPr>
            <w:r>
              <w:rPr>
                <w:rFonts w:ascii="Calibri" w:hAnsi="Calibri"/>
                <w:szCs w:val="20"/>
              </w:rPr>
              <w:t>Operator fails to adhere to regulatory operating requirements</w:t>
            </w:r>
          </w:p>
          <w:p w:rsidR="003E24B5" w:rsidRPr="00123767" w:rsidRDefault="003E24B5" w:rsidP="00162446">
            <w:pPr>
              <w:pStyle w:val="ListParagraph"/>
              <w:numPr>
                <w:ilvl w:val="0"/>
                <w:numId w:val="35"/>
              </w:numPr>
              <w:spacing w:before="120" w:after="120"/>
              <w:jc w:val="left"/>
              <w:rPr>
                <w:rFonts w:ascii="Calibri" w:hAnsi="Calibri"/>
                <w:szCs w:val="20"/>
              </w:rPr>
            </w:pPr>
            <w:r>
              <w:rPr>
                <w:rFonts w:ascii="Calibri" w:hAnsi="Calibri"/>
                <w:szCs w:val="20"/>
              </w:rPr>
              <w:t xml:space="preserve">Regulatory requirements not enforced </w:t>
            </w:r>
          </w:p>
        </w:tc>
        <w:tc>
          <w:tcPr>
            <w:tcW w:w="1530" w:type="dxa"/>
            <w:gridSpan w:val="2"/>
            <w:shd w:val="clear" w:color="auto" w:fill="FFC000"/>
          </w:tcPr>
          <w:p w:rsidR="003E24B5" w:rsidRPr="00123767" w:rsidRDefault="003E24B5" w:rsidP="00162446">
            <w:pPr>
              <w:pStyle w:val="ListParagraph"/>
              <w:numPr>
                <w:ilvl w:val="0"/>
                <w:numId w:val="35"/>
              </w:numPr>
              <w:spacing w:before="120" w:after="120"/>
              <w:jc w:val="left"/>
              <w:rPr>
                <w:rFonts w:ascii="Calibri" w:hAnsi="Calibri"/>
                <w:szCs w:val="20"/>
              </w:rPr>
            </w:pPr>
            <w:r>
              <w:rPr>
                <w:rFonts w:ascii="Calibri" w:hAnsi="Calibri"/>
                <w:szCs w:val="20"/>
              </w:rPr>
              <w:t>Workplace becomes hazardous to employees</w:t>
            </w:r>
          </w:p>
        </w:tc>
        <w:tc>
          <w:tcPr>
            <w:tcW w:w="3330" w:type="dxa"/>
            <w:gridSpan w:val="3"/>
            <w:shd w:val="clear" w:color="auto" w:fill="FFC000"/>
          </w:tcPr>
          <w:p w:rsidR="003E24B5" w:rsidRDefault="003E24B5" w:rsidP="0060640C">
            <w:pPr>
              <w:autoSpaceDE w:val="0"/>
              <w:autoSpaceDN w:val="0"/>
              <w:adjustRightInd w:val="0"/>
              <w:spacing w:before="120" w:after="120"/>
              <w:jc w:val="left"/>
              <w:rPr>
                <w:rFonts w:ascii="Calibri" w:hAnsi="Calibri"/>
                <w:szCs w:val="20"/>
              </w:rPr>
            </w:pPr>
            <w:r w:rsidRPr="00A15F6B">
              <w:rPr>
                <w:rFonts w:ascii="Calibri" w:hAnsi="Calibri"/>
                <w:szCs w:val="20"/>
              </w:rPr>
              <w:t>Section 7.4 – Processing and Handling</w:t>
            </w:r>
            <w:r>
              <w:rPr>
                <w:rFonts w:ascii="Calibri" w:hAnsi="Calibri"/>
                <w:szCs w:val="20"/>
              </w:rPr>
              <w:t xml:space="preserve"> requires the removal of components, prior to processing, likely to pose a health and safety risk. This section of the DIIS requires as a minimum the removal of;</w:t>
            </w:r>
          </w:p>
          <w:p w:rsidR="003E24B5" w:rsidRDefault="003E24B5" w:rsidP="00162446">
            <w:pPr>
              <w:pStyle w:val="ListParagraph"/>
              <w:numPr>
                <w:ilvl w:val="0"/>
                <w:numId w:val="42"/>
              </w:numPr>
              <w:autoSpaceDE w:val="0"/>
              <w:autoSpaceDN w:val="0"/>
              <w:adjustRightInd w:val="0"/>
              <w:spacing w:before="60" w:after="0"/>
              <w:jc w:val="left"/>
              <w:rPr>
                <w:rFonts w:ascii="Calibri" w:hAnsi="Calibri"/>
                <w:szCs w:val="20"/>
              </w:rPr>
            </w:pPr>
            <w:r w:rsidRPr="004336F7">
              <w:rPr>
                <w:rFonts w:ascii="Calibri" w:hAnsi="Calibri"/>
                <w:szCs w:val="20"/>
              </w:rPr>
              <w:t>Mercury</w:t>
            </w:r>
            <w:r>
              <w:rPr>
                <w:rFonts w:ascii="Calibri" w:hAnsi="Calibri"/>
                <w:szCs w:val="20"/>
              </w:rPr>
              <w:t xml:space="preserve"> bearing lamps</w:t>
            </w:r>
          </w:p>
          <w:p w:rsidR="003E24B5" w:rsidRDefault="003E24B5" w:rsidP="00162446">
            <w:pPr>
              <w:pStyle w:val="ListParagraph"/>
              <w:numPr>
                <w:ilvl w:val="0"/>
                <w:numId w:val="42"/>
              </w:numPr>
              <w:autoSpaceDE w:val="0"/>
              <w:autoSpaceDN w:val="0"/>
              <w:adjustRightInd w:val="0"/>
              <w:spacing w:before="60" w:after="0"/>
              <w:jc w:val="left"/>
              <w:rPr>
                <w:rFonts w:ascii="Calibri" w:hAnsi="Calibri"/>
                <w:szCs w:val="20"/>
              </w:rPr>
            </w:pPr>
            <w:r>
              <w:rPr>
                <w:rFonts w:ascii="Calibri" w:hAnsi="Calibri"/>
                <w:szCs w:val="20"/>
              </w:rPr>
              <w:t xml:space="preserve">Ink and toner cartridges </w:t>
            </w:r>
          </w:p>
          <w:p w:rsidR="003E24B5" w:rsidRDefault="003E24B5" w:rsidP="00162446">
            <w:pPr>
              <w:pStyle w:val="ListParagraph"/>
              <w:numPr>
                <w:ilvl w:val="0"/>
                <w:numId w:val="42"/>
              </w:numPr>
              <w:autoSpaceDE w:val="0"/>
              <w:autoSpaceDN w:val="0"/>
              <w:adjustRightInd w:val="0"/>
              <w:spacing w:before="60" w:after="0"/>
              <w:jc w:val="left"/>
              <w:rPr>
                <w:rFonts w:ascii="Calibri" w:hAnsi="Calibri"/>
                <w:szCs w:val="20"/>
              </w:rPr>
            </w:pPr>
            <w:r>
              <w:rPr>
                <w:rFonts w:ascii="Calibri" w:hAnsi="Calibri"/>
                <w:szCs w:val="20"/>
              </w:rPr>
              <w:t>Batteries</w:t>
            </w:r>
          </w:p>
          <w:p w:rsidR="003E24B5" w:rsidRPr="00A15F6B" w:rsidRDefault="003E24B5" w:rsidP="00162446">
            <w:pPr>
              <w:pStyle w:val="ListParagraph"/>
              <w:numPr>
                <w:ilvl w:val="0"/>
                <w:numId w:val="42"/>
              </w:numPr>
              <w:autoSpaceDE w:val="0"/>
              <w:autoSpaceDN w:val="0"/>
              <w:adjustRightInd w:val="0"/>
              <w:spacing w:before="60" w:after="0"/>
              <w:jc w:val="left"/>
              <w:rPr>
                <w:rFonts w:ascii="Calibri" w:hAnsi="Calibri"/>
                <w:szCs w:val="20"/>
              </w:rPr>
            </w:pPr>
            <w:r>
              <w:rPr>
                <w:rFonts w:ascii="Calibri" w:hAnsi="Calibri"/>
                <w:szCs w:val="20"/>
              </w:rPr>
              <w:t xml:space="preserve">CRT and flat panel displays. </w:t>
            </w:r>
          </w:p>
        </w:tc>
        <w:tc>
          <w:tcPr>
            <w:tcW w:w="1440" w:type="dxa"/>
            <w:gridSpan w:val="3"/>
            <w:shd w:val="clear" w:color="auto" w:fill="FFC000"/>
          </w:tcPr>
          <w:p w:rsidR="003E24B5" w:rsidRDefault="003E24B5" w:rsidP="0060640C">
            <w:pPr>
              <w:spacing w:before="120" w:after="120"/>
              <w:jc w:val="left"/>
              <w:rPr>
                <w:rFonts w:ascii="Calibri" w:hAnsi="Calibri"/>
                <w:szCs w:val="20"/>
              </w:rPr>
            </w:pPr>
            <w:r>
              <w:rPr>
                <w:rFonts w:ascii="Calibri" w:hAnsi="Calibri"/>
                <w:szCs w:val="20"/>
              </w:rPr>
              <w:t>Adequate</w:t>
            </w:r>
          </w:p>
        </w:tc>
        <w:tc>
          <w:tcPr>
            <w:tcW w:w="990" w:type="dxa"/>
            <w:gridSpan w:val="2"/>
            <w:shd w:val="clear" w:color="auto" w:fill="FFC000"/>
          </w:tcPr>
          <w:p w:rsidR="003E24B5" w:rsidRDefault="003E24B5" w:rsidP="0060640C">
            <w:pPr>
              <w:spacing w:before="120" w:after="120"/>
              <w:jc w:val="left"/>
              <w:rPr>
                <w:rFonts w:ascii="Calibri" w:hAnsi="Calibri"/>
                <w:szCs w:val="20"/>
              </w:rPr>
            </w:pPr>
            <w:r>
              <w:rPr>
                <w:rFonts w:ascii="Calibri" w:hAnsi="Calibri"/>
                <w:szCs w:val="20"/>
              </w:rPr>
              <w:t>Unlikely</w:t>
            </w:r>
          </w:p>
        </w:tc>
        <w:tc>
          <w:tcPr>
            <w:tcW w:w="810" w:type="dxa"/>
            <w:gridSpan w:val="2"/>
            <w:shd w:val="clear" w:color="auto" w:fill="FFC000"/>
          </w:tcPr>
          <w:p w:rsidR="003E24B5" w:rsidRDefault="003E24B5" w:rsidP="0060640C">
            <w:pPr>
              <w:spacing w:before="120" w:after="120"/>
              <w:ind w:firstLine="3"/>
              <w:jc w:val="left"/>
              <w:rPr>
                <w:rFonts w:ascii="Calibri" w:hAnsi="Calibri"/>
                <w:szCs w:val="20"/>
              </w:rPr>
            </w:pPr>
            <w:r>
              <w:rPr>
                <w:rFonts w:ascii="Calibri" w:hAnsi="Calibri"/>
                <w:szCs w:val="20"/>
              </w:rPr>
              <w:t>Major</w:t>
            </w:r>
          </w:p>
        </w:tc>
        <w:tc>
          <w:tcPr>
            <w:tcW w:w="1080" w:type="dxa"/>
            <w:shd w:val="clear" w:color="auto" w:fill="FFC000"/>
          </w:tcPr>
          <w:p w:rsidR="003E24B5" w:rsidRDefault="003E24B5" w:rsidP="0060640C">
            <w:pPr>
              <w:spacing w:before="120" w:after="120"/>
              <w:jc w:val="left"/>
              <w:rPr>
                <w:rFonts w:ascii="Calibri" w:hAnsi="Calibri"/>
                <w:szCs w:val="20"/>
              </w:rPr>
            </w:pPr>
            <w:r>
              <w:rPr>
                <w:rFonts w:ascii="Calibri" w:hAnsi="Calibri"/>
                <w:szCs w:val="20"/>
              </w:rPr>
              <w:t>High</w:t>
            </w:r>
          </w:p>
        </w:tc>
      </w:tr>
      <w:tr w:rsidR="003E24B5" w:rsidTr="00970538">
        <w:tc>
          <w:tcPr>
            <w:tcW w:w="15210" w:type="dxa"/>
            <w:gridSpan w:val="19"/>
          </w:tcPr>
          <w:p w:rsidR="003E24B5" w:rsidRPr="00635E42" w:rsidRDefault="003E24B5" w:rsidP="0060640C">
            <w:pPr>
              <w:spacing w:before="120" w:after="120"/>
              <w:jc w:val="left"/>
              <w:rPr>
                <w:rFonts w:ascii="Calibri" w:hAnsi="Calibri"/>
                <w:b/>
                <w:szCs w:val="20"/>
              </w:rPr>
            </w:pPr>
            <w:r w:rsidRPr="00635E42">
              <w:rPr>
                <w:rFonts w:ascii="Calibri" w:hAnsi="Calibri"/>
                <w:b/>
                <w:szCs w:val="20"/>
              </w:rPr>
              <w:t xml:space="preserve">Further Treatment </w:t>
            </w:r>
          </w:p>
        </w:tc>
      </w:tr>
      <w:tr w:rsidR="003E24B5" w:rsidTr="00970538">
        <w:tc>
          <w:tcPr>
            <w:tcW w:w="15210" w:type="dxa"/>
            <w:gridSpan w:val="19"/>
          </w:tcPr>
          <w:p w:rsidR="003E24B5" w:rsidRDefault="003E24B5" w:rsidP="0060640C">
            <w:pPr>
              <w:autoSpaceDE w:val="0"/>
              <w:autoSpaceDN w:val="0"/>
              <w:adjustRightInd w:val="0"/>
              <w:spacing w:before="120" w:after="120"/>
              <w:rPr>
                <w:rFonts w:ascii="Calibri" w:hAnsi="Calibri"/>
                <w:szCs w:val="20"/>
              </w:rPr>
            </w:pPr>
            <w:r w:rsidRPr="001A23FD">
              <w:rPr>
                <w:rFonts w:ascii="Calibri" w:hAnsi="Calibri"/>
                <w:szCs w:val="20"/>
              </w:rPr>
              <w:t xml:space="preserve">To coincide with the implementation of the DIIS, </w:t>
            </w:r>
            <w:r>
              <w:rPr>
                <w:rFonts w:ascii="Calibri" w:hAnsi="Calibri"/>
                <w:szCs w:val="20"/>
              </w:rPr>
              <w:t xml:space="preserve">the approved arrangement </w:t>
            </w:r>
            <w:r w:rsidRPr="001A23FD">
              <w:rPr>
                <w:rFonts w:ascii="Calibri" w:hAnsi="Calibri"/>
                <w:szCs w:val="20"/>
              </w:rPr>
              <w:t xml:space="preserve">needs to implement the auditing regime suggested in the notes attached to Section 2 to monitor compliance of operators. Whilst Section 4.2 Legal Compliance, requires operators to maintain a documented process to identify, assess and ensure compliance with this standard and all applicable regulatory requirements, without a robust monitoring/auditing scheme in place and an accompanying timetable, the risk of harm to an employee and/or the environment remains high. </w:t>
            </w:r>
          </w:p>
          <w:p w:rsidR="003E24B5" w:rsidRDefault="003E24B5" w:rsidP="0060640C">
            <w:pPr>
              <w:spacing w:before="120" w:after="120"/>
              <w:jc w:val="left"/>
              <w:rPr>
                <w:rFonts w:ascii="Calibri" w:hAnsi="Calibri"/>
                <w:szCs w:val="20"/>
              </w:rPr>
            </w:pPr>
            <w:r>
              <w:rPr>
                <w:rFonts w:ascii="Calibri" w:hAnsi="Calibri"/>
                <w:szCs w:val="20"/>
              </w:rPr>
              <w:t>Section 7.4 of the DIIS already requires the safe removal of components prior to processing. This risk is more likely to occur in facilities that are not experienced in appropriate materials separation and handling. Training and familiarisation for all “accredited” operators is recommended to coincide with the implementation of the DIIS and ensure the associated risks are fully understood. In addition all disassembly facilities should be fitted with appropriate extraction and filtration equipment and PPE for all employees. Appendix 1 of the DIIS provides guidance on the environmentally sound removal of electronics however this is an extract from the Canadian Standard. In order to strengthen the requirement of the Standard in relation to this issue it is recommended that the contents of Appendix 1 become more prescriptive or included in the body of the Standard rather simply referred to in the risk management section.</w:t>
            </w:r>
          </w:p>
          <w:p w:rsidR="003E24B5" w:rsidRDefault="003E24B5" w:rsidP="0060640C">
            <w:pPr>
              <w:spacing w:before="120" w:after="120"/>
              <w:jc w:val="left"/>
              <w:rPr>
                <w:rFonts w:ascii="Calibri" w:hAnsi="Calibri"/>
                <w:szCs w:val="20"/>
              </w:rPr>
            </w:pPr>
            <w:r>
              <w:rPr>
                <w:rFonts w:ascii="Calibri" w:hAnsi="Calibri"/>
                <w:szCs w:val="20"/>
              </w:rPr>
              <w:t xml:space="preserve">The introductory comments of Appendix 1 state the guidance document was developed to serve as an educational document. It would therefore be useful to ensure the contents are included into a training session for delivery to operators as outlined in the risk treatment plans above. </w:t>
            </w:r>
          </w:p>
          <w:p w:rsidR="003E24B5" w:rsidRDefault="003E24B5" w:rsidP="0060640C">
            <w:pPr>
              <w:autoSpaceDE w:val="0"/>
              <w:autoSpaceDN w:val="0"/>
              <w:adjustRightInd w:val="0"/>
              <w:spacing w:before="120" w:after="120"/>
              <w:rPr>
                <w:rFonts w:ascii="Calibri" w:hAnsi="Calibri"/>
                <w:szCs w:val="20"/>
              </w:rPr>
            </w:pPr>
            <w:r w:rsidRPr="001C66C2">
              <w:rPr>
                <w:rFonts w:ascii="Calibri" w:hAnsi="Calibri"/>
                <w:b/>
                <w:szCs w:val="20"/>
              </w:rPr>
              <w:t>Timeframe for Implementation</w:t>
            </w:r>
            <w:r>
              <w:rPr>
                <w:rFonts w:ascii="Calibri" w:hAnsi="Calibri"/>
                <w:szCs w:val="20"/>
              </w:rPr>
              <w:t>: To coincide with the implementation of the Standard.</w:t>
            </w:r>
          </w:p>
          <w:p w:rsidR="003E24B5" w:rsidRDefault="003E24B5" w:rsidP="0060640C">
            <w:pPr>
              <w:autoSpaceDE w:val="0"/>
              <w:autoSpaceDN w:val="0"/>
              <w:adjustRightInd w:val="0"/>
              <w:spacing w:before="120" w:after="120"/>
              <w:rPr>
                <w:rFonts w:ascii="Calibri" w:hAnsi="Calibri"/>
                <w:szCs w:val="20"/>
              </w:rPr>
            </w:pPr>
            <w:r w:rsidRPr="001C66C2">
              <w:rPr>
                <w:rFonts w:ascii="Calibri" w:hAnsi="Calibri"/>
                <w:b/>
                <w:szCs w:val="20"/>
              </w:rPr>
              <w:t>Responsibility</w:t>
            </w:r>
            <w:r>
              <w:rPr>
                <w:rFonts w:ascii="Calibri" w:hAnsi="Calibri"/>
                <w:szCs w:val="20"/>
              </w:rPr>
              <w:t>: The approved arrangement.</w:t>
            </w:r>
          </w:p>
          <w:p w:rsidR="003E24B5" w:rsidRPr="001A23FD" w:rsidRDefault="003E24B5" w:rsidP="003547DB">
            <w:pPr>
              <w:autoSpaceDE w:val="0"/>
              <w:autoSpaceDN w:val="0"/>
              <w:adjustRightInd w:val="0"/>
              <w:spacing w:before="120" w:after="120"/>
              <w:rPr>
                <w:rFonts w:ascii="Calibri" w:hAnsi="Calibri"/>
                <w:szCs w:val="20"/>
              </w:rPr>
            </w:pPr>
            <w:r w:rsidRPr="001C66C2">
              <w:rPr>
                <w:rFonts w:ascii="Calibri" w:hAnsi="Calibri"/>
                <w:b/>
                <w:i/>
                <w:szCs w:val="20"/>
              </w:rPr>
              <w:t>It should be noted that this risk is likely to remain “</w:t>
            </w:r>
            <w:r>
              <w:rPr>
                <w:rFonts w:ascii="Calibri" w:hAnsi="Calibri"/>
                <w:b/>
                <w:i/>
                <w:szCs w:val="20"/>
              </w:rPr>
              <w:t>H</w:t>
            </w:r>
            <w:r w:rsidRPr="001C66C2">
              <w:rPr>
                <w:rFonts w:ascii="Calibri" w:hAnsi="Calibri"/>
                <w:b/>
                <w:i/>
                <w:szCs w:val="20"/>
              </w:rPr>
              <w:t>igh” as the</w:t>
            </w:r>
            <w:r>
              <w:rPr>
                <w:rFonts w:ascii="Calibri" w:hAnsi="Calibri"/>
                <w:b/>
                <w:i/>
                <w:szCs w:val="20"/>
              </w:rPr>
              <w:t xml:space="preserve"> consequence will</w:t>
            </w:r>
            <w:r w:rsidRPr="001C66C2">
              <w:rPr>
                <w:rFonts w:ascii="Calibri" w:hAnsi="Calibri"/>
                <w:b/>
                <w:i/>
                <w:szCs w:val="20"/>
              </w:rPr>
              <w:t xml:space="preserve"> always </w:t>
            </w:r>
            <w:r>
              <w:rPr>
                <w:rFonts w:ascii="Calibri" w:hAnsi="Calibri"/>
                <w:b/>
                <w:i/>
                <w:szCs w:val="20"/>
              </w:rPr>
              <w:t>be major.</w:t>
            </w:r>
          </w:p>
        </w:tc>
      </w:tr>
      <w:tr w:rsidR="003E24B5" w:rsidTr="00970538">
        <w:tc>
          <w:tcPr>
            <w:tcW w:w="1690" w:type="dxa"/>
            <w:shd w:val="solid" w:color="C0C0C0" w:fill="auto"/>
          </w:tcPr>
          <w:p w:rsidR="003E24B5" w:rsidRPr="00FC535A" w:rsidRDefault="003E24B5" w:rsidP="00F35FFC">
            <w:pPr>
              <w:spacing w:before="120" w:after="120"/>
              <w:jc w:val="center"/>
              <w:rPr>
                <w:rFonts w:ascii="Calibri" w:hAnsi="Calibri"/>
                <w:b/>
                <w:szCs w:val="20"/>
              </w:rPr>
            </w:pPr>
            <w:r>
              <w:lastRenderedPageBreak/>
              <w:br w:type="page"/>
            </w:r>
            <w:r>
              <w:rPr>
                <w:rFonts w:ascii="Calibri" w:hAnsi="Calibri"/>
                <w:b/>
                <w:szCs w:val="20"/>
              </w:rPr>
              <w:t>Risk Category &amp; Origin</w:t>
            </w:r>
          </w:p>
        </w:tc>
        <w:tc>
          <w:tcPr>
            <w:tcW w:w="1690" w:type="dxa"/>
            <w:gridSpan w:val="2"/>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Description of risk</w:t>
            </w:r>
            <w:r w:rsidRPr="00FC535A">
              <w:rPr>
                <w:rFonts w:ascii="Calibri" w:hAnsi="Calibri"/>
                <w:b/>
                <w:sz w:val="18"/>
                <w:szCs w:val="18"/>
              </w:rPr>
              <w:br/>
              <w:t>(What can happen)</w:t>
            </w:r>
          </w:p>
        </w:tc>
        <w:tc>
          <w:tcPr>
            <w:tcW w:w="1690" w:type="dxa"/>
            <w:gridSpan w:val="2"/>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Potential causes/sources</w:t>
            </w:r>
            <w:r w:rsidRPr="00FC535A">
              <w:rPr>
                <w:rFonts w:ascii="Calibri" w:hAnsi="Calibri"/>
                <w:b/>
                <w:sz w:val="18"/>
                <w:szCs w:val="18"/>
              </w:rPr>
              <w:br/>
              <w:t>(of an event happening)</w:t>
            </w:r>
          </w:p>
        </w:tc>
        <w:tc>
          <w:tcPr>
            <w:tcW w:w="2220" w:type="dxa"/>
            <w:gridSpan w:val="2"/>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 xml:space="preserve">Potential impacts </w:t>
            </w:r>
            <w:r w:rsidRPr="00FC535A">
              <w:rPr>
                <w:rFonts w:ascii="Calibri" w:hAnsi="Calibri"/>
                <w:b/>
                <w:sz w:val="18"/>
                <w:szCs w:val="18"/>
              </w:rPr>
              <w:br/>
              <w:t>(if a risk event happens)</w:t>
            </w:r>
          </w:p>
        </w:tc>
        <w:tc>
          <w:tcPr>
            <w:tcW w:w="2520" w:type="dxa"/>
            <w:gridSpan w:val="2"/>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Existing controls</w:t>
            </w:r>
          </w:p>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(what is in place NOW to minimise risk)</w:t>
            </w:r>
          </w:p>
        </w:tc>
        <w:tc>
          <w:tcPr>
            <w:tcW w:w="1350" w:type="dxa"/>
            <w:gridSpan w:val="3"/>
            <w:shd w:val="solid" w:color="C0C0C0" w:fill="auto"/>
          </w:tcPr>
          <w:p w:rsidR="003E24B5" w:rsidRPr="00FC535A" w:rsidRDefault="003E24B5" w:rsidP="00F35FFC">
            <w:pPr>
              <w:spacing w:before="120" w:after="120"/>
              <w:jc w:val="center"/>
              <w:rPr>
                <w:rFonts w:ascii="Calibri" w:hAnsi="Calibri"/>
                <w:b/>
                <w:sz w:val="18"/>
                <w:szCs w:val="18"/>
                <w:vertAlign w:val="superscript"/>
              </w:rPr>
            </w:pPr>
            <w:r w:rsidRPr="00FC535A">
              <w:rPr>
                <w:rFonts w:ascii="Calibri" w:hAnsi="Calibri"/>
                <w:b/>
                <w:sz w:val="18"/>
                <w:szCs w:val="18"/>
              </w:rPr>
              <w:t>Control ratings</w:t>
            </w:r>
          </w:p>
        </w:tc>
        <w:tc>
          <w:tcPr>
            <w:tcW w:w="1530" w:type="dxa"/>
            <w:gridSpan w:val="3"/>
            <w:shd w:val="solid" w:color="C0C0C0" w:fill="auto"/>
          </w:tcPr>
          <w:p w:rsidR="003E24B5" w:rsidRPr="00FC535A" w:rsidRDefault="003E24B5" w:rsidP="00F35FFC">
            <w:pPr>
              <w:spacing w:before="120" w:after="120"/>
              <w:jc w:val="center"/>
              <w:rPr>
                <w:rFonts w:ascii="Calibri" w:hAnsi="Calibri"/>
                <w:b/>
                <w:sz w:val="18"/>
                <w:szCs w:val="18"/>
              </w:rPr>
            </w:pPr>
            <w:r>
              <w:rPr>
                <w:rFonts w:ascii="Calibri" w:hAnsi="Calibri"/>
                <w:b/>
                <w:sz w:val="18"/>
                <w:szCs w:val="18"/>
              </w:rPr>
              <w:t>Likeli</w:t>
            </w:r>
            <w:r w:rsidRPr="00FC535A">
              <w:rPr>
                <w:rFonts w:ascii="Calibri" w:hAnsi="Calibri"/>
                <w:b/>
                <w:sz w:val="18"/>
                <w:szCs w:val="18"/>
              </w:rPr>
              <w:t>hood</w:t>
            </w:r>
          </w:p>
        </w:tc>
        <w:tc>
          <w:tcPr>
            <w:tcW w:w="1170" w:type="dxa"/>
            <w:gridSpan w:val="2"/>
            <w:shd w:val="solid" w:color="C0C0C0" w:fill="auto"/>
          </w:tcPr>
          <w:p w:rsidR="003E24B5" w:rsidRPr="00FC535A" w:rsidRDefault="003E24B5" w:rsidP="00F35FFC">
            <w:pPr>
              <w:spacing w:before="120" w:after="120"/>
              <w:ind w:right="-84"/>
              <w:jc w:val="center"/>
              <w:rPr>
                <w:rFonts w:ascii="Calibri" w:hAnsi="Calibri"/>
                <w:b/>
                <w:sz w:val="18"/>
                <w:szCs w:val="18"/>
              </w:rPr>
            </w:pPr>
            <w:r>
              <w:rPr>
                <w:rFonts w:ascii="Calibri" w:hAnsi="Calibri"/>
                <w:b/>
                <w:sz w:val="18"/>
                <w:szCs w:val="18"/>
              </w:rPr>
              <w:t>Conse</w:t>
            </w:r>
            <w:r w:rsidRPr="00FC535A">
              <w:rPr>
                <w:rFonts w:ascii="Calibri" w:hAnsi="Calibri"/>
                <w:b/>
                <w:sz w:val="18"/>
                <w:szCs w:val="18"/>
              </w:rPr>
              <w:t>quence</w:t>
            </w:r>
          </w:p>
        </w:tc>
        <w:tc>
          <w:tcPr>
            <w:tcW w:w="1350" w:type="dxa"/>
            <w:gridSpan w:val="2"/>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Risk Level</w:t>
            </w:r>
          </w:p>
        </w:tc>
      </w:tr>
      <w:tr w:rsidR="003E24B5" w:rsidTr="00970538">
        <w:tc>
          <w:tcPr>
            <w:tcW w:w="1690" w:type="dxa"/>
            <w:shd w:val="clear" w:color="auto" w:fill="FFC000"/>
          </w:tcPr>
          <w:p w:rsidR="003E24B5" w:rsidRPr="004336F7" w:rsidRDefault="003E24B5" w:rsidP="00F35FFC">
            <w:pPr>
              <w:spacing w:before="120" w:after="120"/>
              <w:jc w:val="left"/>
              <w:rPr>
                <w:rFonts w:ascii="Calibri" w:hAnsi="Calibri"/>
                <w:b/>
                <w:i/>
                <w:szCs w:val="20"/>
              </w:rPr>
            </w:pPr>
            <w:r>
              <w:rPr>
                <w:rFonts w:ascii="Calibri" w:hAnsi="Calibri"/>
                <w:b/>
                <w:i/>
                <w:szCs w:val="20"/>
              </w:rPr>
              <w:t>(</w:t>
            </w:r>
            <w:r w:rsidRPr="001769D9">
              <w:rPr>
                <w:rFonts w:ascii="Calibri" w:hAnsi="Calibri"/>
                <w:b/>
                <w:i/>
                <w:szCs w:val="20"/>
              </w:rPr>
              <w:t>Consolidated Stakeholder Comments</w:t>
            </w:r>
            <w:r>
              <w:rPr>
                <w:rFonts w:ascii="Calibri" w:hAnsi="Calibri"/>
                <w:b/>
                <w:i/>
                <w:szCs w:val="20"/>
              </w:rPr>
              <w:t xml:space="preserve"> –response to Q1.)</w:t>
            </w:r>
          </w:p>
        </w:tc>
        <w:tc>
          <w:tcPr>
            <w:tcW w:w="1690" w:type="dxa"/>
            <w:gridSpan w:val="2"/>
            <w:shd w:val="clear" w:color="auto" w:fill="FFC000"/>
          </w:tcPr>
          <w:p w:rsidR="003E24B5" w:rsidRDefault="003E24B5" w:rsidP="00F35FFC">
            <w:pPr>
              <w:spacing w:before="120" w:after="120"/>
              <w:jc w:val="left"/>
              <w:rPr>
                <w:rFonts w:ascii="Calibri" w:hAnsi="Calibri"/>
                <w:i/>
                <w:szCs w:val="20"/>
              </w:rPr>
            </w:pPr>
            <w:r w:rsidRPr="007860F3">
              <w:rPr>
                <w:rFonts w:ascii="Calibri" w:hAnsi="Calibri"/>
                <w:i/>
                <w:szCs w:val="20"/>
              </w:rPr>
              <w:t>Failure to minimise carbon emissions associated with recycling practices due to insufficient knowledge around LCA.</w:t>
            </w:r>
          </w:p>
        </w:tc>
        <w:tc>
          <w:tcPr>
            <w:tcW w:w="1690" w:type="dxa"/>
            <w:gridSpan w:val="2"/>
            <w:shd w:val="clear" w:color="auto" w:fill="FFC000"/>
          </w:tcPr>
          <w:p w:rsidR="003E24B5" w:rsidRDefault="003E24B5" w:rsidP="00162446">
            <w:pPr>
              <w:pStyle w:val="ListParagraph"/>
              <w:numPr>
                <w:ilvl w:val="0"/>
                <w:numId w:val="20"/>
              </w:numPr>
              <w:spacing w:before="120" w:after="120"/>
              <w:jc w:val="left"/>
              <w:rPr>
                <w:rFonts w:ascii="Calibri" w:hAnsi="Calibri"/>
                <w:szCs w:val="20"/>
              </w:rPr>
            </w:pPr>
            <w:r>
              <w:rPr>
                <w:rFonts w:ascii="Calibri" w:hAnsi="Calibri"/>
                <w:szCs w:val="20"/>
              </w:rPr>
              <w:t xml:space="preserve">Lack of knowledge regarding carbon emissions from associated recycling practices results in more damage to the environment. </w:t>
            </w:r>
          </w:p>
        </w:tc>
        <w:tc>
          <w:tcPr>
            <w:tcW w:w="2220" w:type="dxa"/>
            <w:gridSpan w:val="2"/>
            <w:shd w:val="clear" w:color="auto" w:fill="FFC000"/>
          </w:tcPr>
          <w:p w:rsidR="003E24B5" w:rsidRPr="008B72D6" w:rsidRDefault="003E24B5" w:rsidP="00162446">
            <w:pPr>
              <w:pStyle w:val="ListParagraph"/>
              <w:numPr>
                <w:ilvl w:val="0"/>
                <w:numId w:val="20"/>
              </w:numPr>
              <w:spacing w:before="120" w:after="120"/>
              <w:jc w:val="left"/>
              <w:rPr>
                <w:rFonts w:ascii="Calibri" w:hAnsi="Calibri"/>
                <w:szCs w:val="20"/>
              </w:rPr>
            </w:pPr>
            <w:r>
              <w:rPr>
                <w:rFonts w:ascii="Calibri" w:hAnsi="Calibri"/>
                <w:szCs w:val="20"/>
              </w:rPr>
              <w:t>Increased carbon emissions</w:t>
            </w:r>
          </w:p>
        </w:tc>
        <w:tc>
          <w:tcPr>
            <w:tcW w:w="2520" w:type="dxa"/>
            <w:gridSpan w:val="2"/>
            <w:shd w:val="clear" w:color="auto" w:fill="FFC000"/>
          </w:tcPr>
          <w:p w:rsidR="003E24B5" w:rsidRDefault="003E24B5" w:rsidP="00F35FFC">
            <w:pPr>
              <w:autoSpaceDE w:val="0"/>
              <w:autoSpaceDN w:val="0"/>
              <w:adjustRightInd w:val="0"/>
              <w:spacing w:before="120" w:after="120"/>
              <w:jc w:val="left"/>
              <w:rPr>
                <w:rFonts w:ascii="Calibri" w:hAnsi="Calibri"/>
                <w:szCs w:val="20"/>
              </w:rPr>
            </w:pPr>
            <w:r>
              <w:rPr>
                <w:rFonts w:ascii="Calibri" w:hAnsi="Calibri"/>
                <w:szCs w:val="20"/>
              </w:rPr>
              <w:t xml:space="preserve">Section 3-of the DIIS Guiding Principles requires decisions about treatment of EOL Televisions and Computers to consider the waste management hierarchy and the principles of ecologically sustainable development including minimising carbon emissions. </w:t>
            </w:r>
          </w:p>
        </w:tc>
        <w:tc>
          <w:tcPr>
            <w:tcW w:w="1350" w:type="dxa"/>
            <w:gridSpan w:val="3"/>
            <w:shd w:val="clear" w:color="auto" w:fill="FFC000"/>
          </w:tcPr>
          <w:p w:rsidR="003E24B5" w:rsidRDefault="003E24B5" w:rsidP="00F35FFC">
            <w:pPr>
              <w:spacing w:before="120" w:after="120"/>
              <w:jc w:val="left"/>
              <w:rPr>
                <w:rFonts w:ascii="Calibri" w:hAnsi="Calibri"/>
                <w:szCs w:val="20"/>
              </w:rPr>
            </w:pPr>
            <w:r>
              <w:rPr>
                <w:rFonts w:ascii="Calibri" w:hAnsi="Calibri"/>
                <w:szCs w:val="20"/>
              </w:rPr>
              <w:t>Incomplete</w:t>
            </w:r>
          </w:p>
        </w:tc>
        <w:tc>
          <w:tcPr>
            <w:tcW w:w="1530" w:type="dxa"/>
            <w:gridSpan w:val="3"/>
            <w:shd w:val="clear" w:color="auto" w:fill="FFC000"/>
          </w:tcPr>
          <w:p w:rsidR="003E24B5" w:rsidRDefault="003E24B5" w:rsidP="00F35FFC">
            <w:pPr>
              <w:spacing w:before="120" w:after="120"/>
              <w:jc w:val="left"/>
              <w:rPr>
                <w:rFonts w:ascii="Calibri" w:hAnsi="Calibri"/>
                <w:szCs w:val="20"/>
              </w:rPr>
            </w:pPr>
            <w:r>
              <w:rPr>
                <w:rFonts w:ascii="Calibri" w:hAnsi="Calibri"/>
                <w:szCs w:val="20"/>
              </w:rPr>
              <w:t>Likely</w:t>
            </w:r>
          </w:p>
        </w:tc>
        <w:tc>
          <w:tcPr>
            <w:tcW w:w="1170" w:type="dxa"/>
            <w:gridSpan w:val="2"/>
            <w:shd w:val="clear" w:color="auto" w:fill="FFC000"/>
          </w:tcPr>
          <w:p w:rsidR="003E24B5" w:rsidRDefault="003E24B5" w:rsidP="00F35FFC">
            <w:pPr>
              <w:spacing w:before="120" w:after="120"/>
              <w:ind w:firstLine="3"/>
              <w:jc w:val="left"/>
              <w:rPr>
                <w:rFonts w:ascii="Calibri" w:hAnsi="Calibri"/>
                <w:szCs w:val="20"/>
              </w:rPr>
            </w:pPr>
            <w:r>
              <w:rPr>
                <w:rFonts w:ascii="Calibri" w:hAnsi="Calibri"/>
                <w:szCs w:val="20"/>
              </w:rPr>
              <w:t>Moderate</w:t>
            </w:r>
          </w:p>
        </w:tc>
        <w:tc>
          <w:tcPr>
            <w:tcW w:w="1350" w:type="dxa"/>
            <w:gridSpan w:val="2"/>
            <w:shd w:val="clear" w:color="auto" w:fill="FFC000"/>
          </w:tcPr>
          <w:p w:rsidR="003E24B5" w:rsidRDefault="003E24B5" w:rsidP="00F35FFC">
            <w:pPr>
              <w:spacing w:before="120" w:after="120"/>
              <w:jc w:val="left"/>
              <w:rPr>
                <w:rFonts w:ascii="Calibri" w:hAnsi="Calibri"/>
                <w:szCs w:val="20"/>
              </w:rPr>
            </w:pPr>
            <w:r>
              <w:rPr>
                <w:rFonts w:ascii="Calibri" w:hAnsi="Calibri"/>
                <w:szCs w:val="20"/>
              </w:rPr>
              <w:t>High</w:t>
            </w:r>
          </w:p>
        </w:tc>
      </w:tr>
      <w:tr w:rsidR="003E24B5" w:rsidTr="00970538">
        <w:tc>
          <w:tcPr>
            <w:tcW w:w="15210" w:type="dxa"/>
            <w:gridSpan w:val="19"/>
          </w:tcPr>
          <w:p w:rsidR="003E24B5" w:rsidRPr="00635E42" w:rsidRDefault="003E24B5" w:rsidP="00F35FFC">
            <w:pPr>
              <w:spacing w:before="120" w:after="120"/>
              <w:jc w:val="left"/>
              <w:rPr>
                <w:rFonts w:ascii="Calibri" w:hAnsi="Calibri"/>
                <w:b/>
                <w:szCs w:val="20"/>
              </w:rPr>
            </w:pPr>
            <w:r w:rsidRPr="00635E42">
              <w:rPr>
                <w:rFonts w:ascii="Calibri" w:hAnsi="Calibri"/>
                <w:b/>
                <w:szCs w:val="20"/>
              </w:rPr>
              <w:t xml:space="preserve">Further Treatment </w:t>
            </w:r>
          </w:p>
        </w:tc>
      </w:tr>
      <w:tr w:rsidR="003E24B5" w:rsidTr="00970538">
        <w:tc>
          <w:tcPr>
            <w:tcW w:w="15210" w:type="dxa"/>
            <w:gridSpan w:val="19"/>
          </w:tcPr>
          <w:p w:rsidR="003E24B5" w:rsidRDefault="003E24B5" w:rsidP="00F35FFC">
            <w:pPr>
              <w:spacing w:before="120" w:after="120"/>
              <w:jc w:val="left"/>
              <w:rPr>
                <w:rFonts w:ascii="Calibri" w:hAnsi="Calibri"/>
                <w:szCs w:val="20"/>
              </w:rPr>
            </w:pPr>
            <w:r>
              <w:rPr>
                <w:rFonts w:ascii="Calibri" w:hAnsi="Calibri"/>
                <w:szCs w:val="20"/>
              </w:rPr>
              <w:t xml:space="preserve">The Standard needs to adopt a more prescriptive approach and/or access to more detailed information to inform operators on ecologically sustainable practices to ensure carbon emissions from associated practices are minimised. Currently, Section 3 “Guiding Principles” provide nothing but a cursory reference to carbon emissions and no further guidance on how best to ensure emissions are minimised. It would be acceptable to adopt existing guidelines or principles that provide detail on how to manage associated carbon however this Standard needs to clearly state that it requires operators to adhere to/implement whatever additional documents it chooses to adopt. </w:t>
            </w:r>
          </w:p>
          <w:p w:rsidR="003E24B5" w:rsidRDefault="003E24B5" w:rsidP="00F35FFC">
            <w:pPr>
              <w:autoSpaceDE w:val="0"/>
              <w:autoSpaceDN w:val="0"/>
              <w:adjustRightInd w:val="0"/>
              <w:spacing w:before="120" w:after="120"/>
              <w:rPr>
                <w:rFonts w:ascii="Calibri" w:hAnsi="Calibri"/>
                <w:szCs w:val="20"/>
              </w:rPr>
            </w:pPr>
            <w:r w:rsidRPr="001C66C2">
              <w:rPr>
                <w:rFonts w:ascii="Calibri" w:hAnsi="Calibri"/>
                <w:b/>
                <w:szCs w:val="20"/>
              </w:rPr>
              <w:t>Timeframe for Implementation</w:t>
            </w:r>
            <w:r>
              <w:rPr>
                <w:rFonts w:ascii="Calibri" w:hAnsi="Calibri"/>
                <w:szCs w:val="20"/>
              </w:rPr>
              <w:t>: Prior to release of the Standard.</w:t>
            </w:r>
          </w:p>
          <w:p w:rsidR="003E24B5" w:rsidRDefault="003E24B5" w:rsidP="00F35FFC">
            <w:pPr>
              <w:autoSpaceDE w:val="0"/>
              <w:autoSpaceDN w:val="0"/>
              <w:adjustRightInd w:val="0"/>
              <w:spacing w:before="120" w:after="120"/>
              <w:rPr>
                <w:rFonts w:ascii="Calibri" w:hAnsi="Calibri"/>
                <w:szCs w:val="20"/>
              </w:rPr>
            </w:pPr>
            <w:r w:rsidRPr="001C66C2">
              <w:rPr>
                <w:rFonts w:ascii="Calibri" w:hAnsi="Calibri"/>
                <w:b/>
                <w:szCs w:val="20"/>
              </w:rPr>
              <w:t>Responsibility</w:t>
            </w:r>
            <w:r>
              <w:rPr>
                <w:rFonts w:ascii="Calibri" w:hAnsi="Calibri"/>
                <w:szCs w:val="20"/>
              </w:rPr>
              <w:t>: DSEWPaC</w:t>
            </w:r>
          </w:p>
          <w:p w:rsidR="003E24B5" w:rsidRDefault="003E24B5" w:rsidP="00F35FFC">
            <w:pPr>
              <w:spacing w:before="120" w:after="120"/>
              <w:jc w:val="left"/>
              <w:rPr>
                <w:rFonts w:ascii="Calibri" w:hAnsi="Calibri"/>
                <w:szCs w:val="20"/>
              </w:rPr>
            </w:pPr>
            <w:r w:rsidRPr="004C1CB8">
              <w:rPr>
                <w:rFonts w:ascii="Calibri" w:hAnsi="Calibri"/>
                <w:i/>
                <w:szCs w:val="20"/>
              </w:rPr>
              <w:t xml:space="preserve">By implementing the suggested improvements the likelihood of this risk occurring would drop to possible thus reducing the overall rating to Moderate. </w:t>
            </w:r>
          </w:p>
        </w:tc>
      </w:tr>
    </w:tbl>
    <w:p w:rsidR="00235045" w:rsidRDefault="00235045">
      <w:pPr>
        <w:spacing w:after="0"/>
        <w:jc w:val="left"/>
      </w:pPr>
    </w:p>
    <w:p w:rsidR="00235045" w:rsidRDefault="00235045">
      <w:pPr>
        <w:spacing w:after="0"/>
        <w:jc w:val="left"/>
      </w:pPr>
      <w:r>
        <w:br w:type="page"/>
      </w:r>
    </w:p>
    <w:p w:rsidR="003E24B5" w:rsidRDefault="003E24B5">
      <w:pPr>
        <w:spacing w:after="0"/>
        <w:jc w:val="left"/>
      </w:pPr>
    </w:p>
    <w:tbl>
      <w:tblPr>
        <w:tblW w:w="15317" w:type="dxa"/>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7"/>
        <w:gridCol w:w="1402"/>
        <w:gridCol w:w="198"/>
        <w:gridCol w:w="1602"/>
        <w:gridCol w:w="198"/>
        <w:gridCol w:w="1402"/>
        <w:gridCol w:w="198"/>
        <w:gridCol w:w="1702"/>
        <w:gridCol w:w="198"/>
        <w:gridCol w:w="1902"/>
        <w:gridCol w:w="198"/>
        <w:gridCol w:w="1302"/>
        <w:gridCol w:w="198"/>
        <w:gridCol w:w="1202"/>
        <w:gridCol w:w="198"/>
        <w:gridCol w:w="1302"/>
        <w:gridCol w:w="198"/>
        <w:gridCol w:w="1552"/>
        <w:gridCol w:w="163"/>
        <w:gridCol w:w="15"/>
      </w:tblGrid>
      <w:tr w:rsidR="003E24B5" w:rsidTr="00970538">
        <w:trPr>
          <w:gridBefore w:val="1"/>
          <w:wBefore w:w="187" w:type="dxa"/>
          <w:trHeight w:val="1247"/>
          <w:tblHeader/>
        </w:trPr>
        <w:tc>
          <w:tcPr>
            <w:tcW w:w="1600" w:type="dxa"/>
            <w:gridSpan w:val="2"/>
            <w:shd w:val="solid" w:color="C0C0C0" w:fill="auto"/>
          </w:tcPr>
          <w:p w:rsidR="003E24B5" w:rsidRPr="00FC535A" w:rsidRDefault="003E24B5" w:rsidP="00B67615">
            <w:pPr>
              <w:spacing w:before="120" w:after="120"/>
              <w:jc w:val="center"/>
              <w:rPr>
                <w:rFonts w:ascii="Calibri" w:hAnsi="Calibri"/>
                <w:b/>
                <w:szCs w:val="20"/>
              </w:rPr>
            </w:pPr>
            <w:r>
              <w:br w:type="page"/>
            </w:r>
            <w:r>
              <w:rPr>
                <w:rFonts w:ascii="Calibri" w:hAnsi="Calibri"/>
                <w:b/>
                <w:szCs w:val="20"/>
              </w:rPr>
              <w:t>Risk Category &amp; Origin</w:t>
            </w:r>
          </w:p>
        </w:tc>
        <w:tc>
          <w:tcPr>
            <w:tcW w:w="1800" w:type="dxa"/>
            <w:gridSpan w:val="2"/>
            <w:shd w:val="solid" w:color="C0C0C0" w:fill="auto"/>
          </w:tcPr>
          <w:p w:rsidR="003E24B5" w:rsidRPr="00FC535A" w:rsidRDefault="003E24B5" w:rsidP="00B67615">
            <w:pPr>
              <w:spacing w:before="120" w:after="120"/>
              <w:jc w:val="center"/>
              <w:rPr>
                <w:rFonts w:ascii="Calibri" w:hAnsi="Calibri"/>
                <w:b/>
                <w:sz w:val="18"/>
                <w:szCs w:val="18"/>
              </w:rPr>
            </w:pPr>
            <w:r w:rsidRPr="00FC535A">
              <w:rPr>
                <w:rFonts w:ascii="Calibri" w:hAnsi="Calibri"/>
                <w:b/>
                <w:sz w:val="18"/>
                <w:szCs w:val="18"/>
              </w:rPr>
              <w:t>Description of risk</w:t>
            </w:r>
            <w:r w:rsidRPr="00FC535A">
              <w:rPr>
                <w:rFonts w:ascii="Calibri" w:hAnsi="Calibri"/>
                <w:b/>
                <w:sz w:val="18"/>
                <w:szCs w:val="18"/>
              </w:rPr>
              <w:br/>
              <w:t>(What can happen)</w:t>
            </w:r>
          </w:p>
        </w:tc>
        <w:tc>
          <w:tcPr>
            <w:tcW w:w="1600" w:type="dxa"/>
            <w:gridSpan w:val="2"/>
            <w:shd w:val="solid" w:color="C0C0C0" w:fill="auto"/>
          </w:tcPr>
          <w:p w:rsidR="003E24B5" w:rsidRPr="00FC535A" w:rsidRDefault="003E24B5" w:rsidP="00B67615">
            <w:pPr>
              <w:spacing w:before="120" w:after="120"/>
              <w:jc w:val="center"/>
              <w:rPr>
                <w:rFonts w:ascii="Calibri" w:hAnsi="Calibri"/>
                <w:b/>
                <w:sz w:val="18"/>
                <w:szCs w:val="18"/>
              </w:rPr>
            </w:pPr>
            <w:r w:rsidRPr="00FC535A">
              <w:rPr>
                <w:rFonts w:ascii="Calibri" w:hAnsi="Calibri"/>
                <w:b/>
                <w:sz w:val="18"/>
                <w:szCs w:val="18"/>
              </w:rPr>
              <w:t>Potential causes/sources</w:t>
            </w:r>
            <w:r w:rsidRPr="00FC535A">
              <w:rPr>
                <w:rFonts w:ascii="Calibri" w:hAnsi="Calibri"/>
                <w:b/>
                <w:sz w:val="18"/>
                <w:szCs w:val="18"/>
              </w:rPr>
              <w:br/>
              <w:t>(of an event happening)</w:t>
            </w:r>
          </w:p>
        </w:tc>
        <w:tc>
          <w:tcPr>
            <w:tcW w:w="1900" w:type="dxa"/>
            <w:gridSpan w:val="2"/>
            <w:shd w:val="solid" w:color="C0C0C0" w:fill="auto"/>
          </w:tcPr>
          <w:p w:rsidR="003E24B5" w:rsidRPr="00FC535A" w:rsidRDefault="003E24B5" w:rsidP="00B67615">
            <w:pPr>
              <w:spacing w:before="120" w:after="120"/>
              <w:jc w:val="center"/>
              <w:rPr>
                <w:rFonts w:ascii="Calibri" w:hAnsi="Calibri"/>
                <w:b/>
                <w:sz w:val="18"/>
                <w:szCs w:val="18"/>
              </w:rPr>
            </w:pPr>
            <w:r w:rsidRPr="00FC535A">
              <w:rPr>
                <w:rFonts w:ascii="Calibri" w:hAnsi="Calibri"/>
                <w:b/>
                <w:sz w:val="18"/>
                <w:szCs w:val="18"/>
              </w:rPr>
              <w:t xml:space="preserve">Potential impacts </w:t>
            </w:r>
            <w:r w:rsidRPr="00FC535A">
              <w:rPr>
                <w:rFonts w:ascii="Calibri" w:hAnsi="Calibri"/>
                <w:b/>
                <w:sz w:val="18"/>
                <w:szCs w:val="18"/>
              </w:rPr>
              <w:br/>
              <w:t>(if a risk event happens)</w:t>
            </w:r>
          </w:p>
        </w:tc>
        <w:tc>
          <w:tcPr>
            <w:tcW w:w="2100" w:type="dxa"/>
            <w:gridSpan w:val="2"/>
            <w:shd w:val="solid" w:color="C0C0C0" w:fill="auto"/>
          </w:tcPr>
          <w:p w:rsidR="003E24B5" w:rsidRPr="00FC535A" w:rsidRDefault="003E24B5" w:rsidP="00B67615">
            <w:pPr>
              <w:spacing w:before="120" w:after="120"/>
              <w:jc w:val="center"/>
              <w:rPr>
                <w:rFonts w:ascii="Calibri" w:hAnsi="Calibri"/>
                <w:b/>
                <w:sz w:val="18"/>
                <w:szCs w:val="18"/>
              </w:rPr>
            </w:pPr>
            <w:r w:rsidRPr="00FC535A">
              <w:rPr>
                <w:rFonts w:ascii="Calibri" w:hAnsi="Calibri"/>
                <w:b/>
                <w:sz w:val="18"/>
                <w:szCs w:val="18"/>
              </w:rPr>
              <w:t>Existing controls</w:t>
            </w:r>
          </w:p>
          <w:p w:rsidR="003E24B5" w:rsidRPr="00FC535A" w:rsidRDefault="003E24B5" w:rsidP="00B67615">
            <w:pPr>
              <w:spacing w:before="120" w:after="120"/>
              <w:jc w:val="center"/>
              <w:rPr>
                <w:rFonts w:ascii="Calibri" w:hAnsi="Calibri"/>
                <w:b/>
                <w:sz w:val="18"/>
                <w:szCs w:val="18"/>
              </w:rPr>
            </w:pPr>
            <w:r w:rsidRPr="00FC535A">
              <w:rPr>
                <w:rFonts w:ascii="Calibri" w:hAnsi="Calibri"/>
                <w:b/>
                <w:sz w:val="18"/>
                <w:szCs w:val="18"/>
              </w:rPr>
              <w:t>(what is in place NOW to minimise risk)</w:t>
            </w:r>
          </w:p>
        </w:tc>
        <w:tc>
          <w:tcPr>
            <w:tcW w:w="1500" w:type="dxa"/>
            <w:gridSpan w:val="2"/>
            <w:shd w:val="solid" w:color="C0C0C0" w:fill="auto"/>
          </w:tcPr>
          <w:p w:rsidR="003E24B5" w:rsidRPr="00FC535A" w:rsidRDefault="003E24B5" w:rsidP="00B67615">
            <w:pPr>
              <w:spacing w:before="120" w:after="120"/>
              <w:jc w:val="center"/>
              <w:rPr>
                <w:rFonts w:ascii="Calibri" w:hAnsi="Calibri"/>
                <w:b/>
                <w:sz w:val="18"/>
                <w:szCs w:val="18"/>
                <w:vertAlign w:val="superscript"/>
              </w:rPr>
            </w:pPr>
            <w:r w:rsidRPr="00FC535A">
              <w:rPr>
                <w:rFonts w:ascii="Calibri" w:hAnsi="Calibri"/>
                <w:b/>
                <w:sz w:val="18"/>
                <w:szCs w:val="18"/>
              </w:rPr>
              <w:t>Control ratings</w:t>
            </w:r>
          </w:p>
        </w:tc>
        <w:tc>
          <w:tcPr>
            <w:tcW w:w="1400" w:type="dxa"/>
            <w:gridSpan w:val="2"/>
            <w:shd w:val="solid" w:color="C0C0C0" w:fill="auto"/>
          </w:tcPr>
          <w:p w:rsidR="003E24B5" w:rsidRPr="00FC535A" w:rsidRDefault="003E24B5" w:rsidP="00B67615">
            <w:pPr>
              <w:spacing w:before="120" w:after="120"/>
              <w:jc w:val="center"/>
              <w:rPr>
                <w:rFonts w:ascii="Calibri" w:hAnsi="Calibri"/>
                <w:b/>
                <w:sz w:val="18"/>
                <w:szCs w:val="18"/>
              </w:rPr>
            </w:pPr>
            <w:r>
              <w:rPr>
                <w:rFonts w:ascii="Calibri" w:hAnsi="Calibri"/>
                <w:b/>
                <w:sz w:val="18"/>
                <w:szCs w:val="18"/>
              </w:rPr>
              <w:t>Likeli</w:t>
            </w:r>
            <w:r w:rsidRPr="00FC535A">
              <w:rPr>
                <w:rFonts w:ascii="Calibri" w:hAnsi="Calibri"/>
                <w:b/>
                <w:sz w:val="18"/>
                <w:szCs w:val="18"/>
              </w:rPr>
              <w:t>hood</w:t>
            </w:r>
          </w:p>
        </w:tc>
        <w:tc>
          <w:tcPr>
            <w:tcW w:w="1500" w:type="dxa"/>
            <w:gridSpan w:val="2"/>
            <w:shd w:val="solid" w:color="C0C0C0" w:fill="auto"/>
          </w:tcPr>
          <w:p w:rsidR="003E24B5" w:rsidRPr="00FC535A" w:rsidRDefault="003E24B5" w:rsidP="00B67615">
            <w:pPr>
              <w:spacing w:before="120" w:after="120"/>
              <w:ind w:right="-84"/>
              <w:jc w:val="center"/>
              <w:rPr>
                <w:rFonts w:ascii="Calibri" w:hAnsi="Calibri"/>
                <w:b/>
                <w:sz w:val="18"/>
                <w:szCs w:val="18"/>
              </w:rPr>
            </w:pPr>
            <w:r>
              <w:rPr>
                <w:rFonts w:ascii="Calibri" w:hAnsi="Calibri"/>
                <w:b/>
                <w:sz w:val="18"/>
                <w:szCs w:val="18"/>
              </w:rPr>
              <w:t>Conse</w:t>
            </w:r>
            <w:r w:rsidRPr="00FC535A">
              <w:rPr>
                <w:rFonts w:ascii="Calibri" w:hAnsi="Calibri"/>
                <w:b/>
                <w:sz w:val="18"/>
                <w:szCs w:val="18"/>
              </w:rPr>
              <w:t>quence</w:t>
            </w:r>
          </w:p>
        </w:tc>
        <w:tc>
          <w:tcPr>
            <w:tcW w:w="1730" w:type="dxa"/>
            <w:gridSpan w:val="3"/>
            <w:shd w:val="solid" w:color="C0C0C0" w:fill="auto"/>
          </w:tcPr>
          <w:p w:rsidR="003E24B5" w:rsidRPr="00FC535A" w:rsidRDefault="003E24B5" w:rsidP="00B67615">
            <w:pPr>
              <w:spacing w:before="120" w:after="120"/>
              <w:jc w:val="center"/>
              <w:rPr>
                <w:rFonts w:ascii="Calibri" w:hAnsi="Calibri"/>
                <w:b/>
                <w:sz w:val="18"/>
                <w:szCs w:val="18"/>
              </w:rPr>
            </w:pPr>
            <w:r w:rsidRPr="00FC535A">
              <w:rPr>
                <w:rFonts w:ascii="Calibri" w:hAnsi="Calibri"/>
                <w:b/>
                <w:sz w:val="18"/>
                <w:szCs w:val="18"/>
              </w:rPr>
              <w:t>Risk Level</w:t>
            </w:r>
          </w:p>
        </w:tc>
      </w:tr>
      <w:tr w:rsidR="003E24B5" w:rsidTr="00970538">
        <w:tblPrEx>
          <w:jc w:val="center"/>
        </w:tblPrEx>
        <w:trPr>
          <w:gridAfter w:val="2"/>
          <w:wAfter w:w="178" w:type="dxa"/>
          <w:trHeight w:val="3667"/>
          <w:jc w:val="center"/>
        </w:trPr>
        <w:tc>
          <w:tcPr>
            <w:tcW w:w="1589" w:type="dxa"/>
            <w:gridSpan w:val="2"/>
            <w:shd w:val="clear" w:color="auto" w:fill="FFC000"/>
          </w:tcPr>
          <w:p w:rsidR="003E24B5" w:rsidRPr="002C5E72" w:rsidRDefault="003E24B5" w:rsidP="00B67615">
            <w:pPr>
              <w:spacing w:before="120" w:after="120"/>
              <w:jc w:val="left"/>
              <w:rPr>
                <w:rFonts w:ascii="Calibri" w:hAnsi="Calibri"/>
                <w:b/>
                <w:i/>
                <w:szCs w:val="20"/>
              </w:rPr>
            </w:pPr>
            <w:r>
              <w:rPr>
                <w:rFonts w:ascii="Calibri" w:hAnsi="Calibri"/>
                <w:b/>
                <w:i/>
                <w:szCs w:val="20"/>
              </w:rPr>
              <w:t>(</w:t>
            </w:r>
            <w:r w:rsidRPr="001769D9">
              <w:rPr>
                <w:rFonts w:ascii="Calibri" w:hAnsi="Calibri"/>
                <w:b/>
                <w:i/>
                <w:szCs w:val="20"/>
              </w:rPr>
              <w:t>Consolidated Stakeholder Comments</w:t>
            </w:r>
            <w:r>
              <w:rPr>
                <w:rFonts w:ascii="Calibri" w:hAnsi="Calibri"/>
                <w:b/>
                <w:i/>
                <w:szCs w:val="20"/>
              </w:rPr>
              <w:t xml:space="preserve"> – NGO response to Q5.)</w:t>
            </w:r>
            <w:r w:rsidRPr="002C5E72">
              <w:rPr>
                <w:rFonts w:ascii="Calibri" w:hAnsi="Calibri"/>
                <w:b/>
                <w:i/>
                <w:szCs w:val="20"/>
              </w:rPr>
              <w:t xml:space="preserve"> </w:t>
            </w:r>
          </w:p>
        </w:tc>
        <w:tc>
          <w:tcPr>
            <w:tcW w:w="1800" w:type="dxa"/>
            <w:gridSpan w:val="2"/>
            <w:shd w:val="clear" w:color="auto" w:fill="FFC000"/>
          </w:tcPr>
          <w:p w:rsidR="003E24B5" w:rsidRPr="005D4BEC" w:rsidRDefault="003E24B5" w:rsidP="00B67615">
            <w:pPr>
              <w:spacing w:before="120" w:after="120"/>
              <w:jc w:val="left"/>
              <w:rPr>
                <w:rFonts w:ascii="Calibri" w:hAnsi="Calibri"/>
                <w:i/>
                <w:szCs w:val="20"/>
              </w:rPr>
            </w:pPr>
            <w:r w:rsidRPr="002C5E72">
              <w:rPr>
                <w:rFonts w:ascii="Calibri" w:hAnsi="Calibri"/>
                <w:i/>
                <w:szCs w:val="20"/>
              </w:rPr>
              <w:t>Failure</w:t>
            </w:r>
            <w:r>
              <w:rPr>
                <w:rFonts w:ascii="Calibri" w:hAnsi="Calibri"/>
                <w:i/>
                <w:szCs w:val="20"/>
              </w:rPr>
              <w:t xml:space="preserve"> of the DIIS</w:t>
            </w:r>
            <w:r w:rsidRPr="002C5E72">
              <w:rPr>
                <w:rFonts w:ascii="Calibri" w:hAnsi="Calibri"/>
                <w:i/>
                <w:szCs w:val="20"/>
              </w:rPr>
              <w:t xml:space="preserve"> to address the 9 new POPs identified under the Stockholm Convention</w:t>
            </w:r>
          </w:p>
        </w:tc>
        <w:tc>
          <w:tcPr>
            <w:tcW w:w="1600" w:type="dxa"/>
            <w:gridSpan w:val="2"/>
            <w:shd w:val="clear" w:color="auto" w:fill="FFC000"/>
          </w:tcPr>
          <w:p w:rsidR="003E24B5" w:rsidRPr="00AB5EC7" w:rsidRDefault="003E24B5" w:rsidP="00162446">
            <w:pPr>
              <w:pStyle w:val="ListParagraph"/>
              <w:numPr>
                <w:ilvl w:val="0"/>
                <w:numId w:val="27"/>
              </w:numPr>
              <w:spacing w:before="120" w:after="120"/>
              <w:jc w:val="left"/>
              <w:rPr>
                <w:rFonts w:ascii="Calibri" w:hAnsi="Calibri"/>
                <w:szCs w:val="20"/>
              </w:rPr>
            </w:pPr>
            <w:r>
              <w:rPr>
                <w:rFonts w:ascii="Calibri" w:hAnsi="Calibri"/>
                <w:szCs w:val="20"/>
              </w:rPr>
              <w:t xml:space="preserve">Lack of regulation/guidance from government. </w:t>
            </w:r>
          </w:p>
        </w:tc>
        <w:tc>
          <w:tcPr>
            <w:tcW w:w="1900" w:type="dxa"/>
            <w:gridSpan w:val="2"/>
            <w:shd w:val="clear" w:color="auto" w:fill="FFC000"/>
          </w:tcPr>
          <w:p w:rsidR="003E24B5" w:rsidRDefault="003E24B5" w:rsidP="00162446">
            <w:pPr>
              <w:pStyle w:val="ListParagraph"/>
              <w:numPr>
                <w:ilvl w:val="0"/>
                <w:numId w:val="27"/>
              </w:numPr>
              <w:spacing w:before="120" w:after="120"/>
              <w:jc w:val="left"/>
              <w:rPr>
                <w:rFonts w:ascii="Calibri" w:hAnsi="Calibri"/>
                <w:szCs w:val="20"/>
              </w:rPr>
            </w:pPr>
            <w:r>
              <w:rPr>
                <w:rFonts w:ascii="Calibri" w:hAnsi="Calibri"/>
                <w:szCs w:val="20"/>
              </w:rPr>
              <w:t>Identified POPs remain in the waste stream with potential to cause severe environmental damage</w:t>
            </w:r>
          </w:p>
          <w:p w:rsidR="003E24B5" w:rsidRPr="00AB5EC7" w:rsidRDefault="003E24B5" w:rsidP="00162446">
            <w:pPr>
              <w:pStyle w:val="ListParagraph"/>
              <w:numPr>
                <w:ilvl w:val="0"/>
                <w:numId w:val="27"/>
              </w:numPr>
              <w:spacing w:before="120" w:after="120"/>
              <w:jc w:val="left"/>
              <w:rPr>
                <w:rFonts w:ascii="Calibri" w:hAnsi="Calibri"/>
                <w:szCs w:val="20"/>
              </w:rPr>
            </w:pPr>
            <w:r>
              <w:rPr>
                <w:rFonts w:ascii="Calibri" w:hAnsi="Calibri"/>
                <w:szCs w:val="20"/>
              </w:rPr>
              <w:t xml:space="preserve">Australia fails to maintain its obligations under the </w:t>
            </w:r>
            <w:r w:rsidRPr="00D11CEF">
              <w:rPr>
                <w:rFonts w:ascii="Calibri" w:hAnsi="Calibri"/>
                <w:szCs w:val="20"/>
              </w:rPr>
              <w:t xml:space="preserve">Stockholm </w:t>
            </w:r>
            <w:r>
              <w:rPr>
                <w:rFonts w:ascii="Calibri" w:hAnsi="Calibri"/>
                <w:szCs w:val="20"/>
              </w:rPr>
              <w:t>C</w:t>
            </w:r>
            <w:r w:rsidRPr="00D11CEF">
              <w:rPr>
                <w:rFonts w:ascii="Calibri" w:hAnsi="Calibri"/>
                <w:szCs w:val="20"/>
              </w:rPr>
              <w:t>onvention</w:t>
            </w:r>
          </w:p>
        </w:tc>
        <w:tc>
          <w:tcPr>
            <w:tcW w:w="2100" w:type="dxa"/>
            <w:gridSpan w:val="2"/>
            <w:shd w:val="clear" w:color="auto" w:fill="FFC000"/>
          </w:tcPr>
          <w:p w:rsidR="003E24B5" w:rsidRDefault="003E24B5" w:rsidP="00B67615">
            <w:pPr>
              <w:autoSpaceDE w:val="0"/>
              <w:autoSpaceDN w:val="0"/>
              <w:adjustRightInd w:val="0"/>
              <w:spacing w:before="120" w:after="120"/>
              <w:jc w:val="left"/>
              <w:rPr>
                <w:rFonts w:ascii="Calibri" w:hAnsi="Calibri"/>
                <w:szCs w:val="20"/>
              </w:rPr>
            </w:pPr>
            <w:r>
              <w:rPr>
                <w:rFonts w:ascii="Calibri" w:hAnsi="Calibri"/>
                <w:szCs w:val="20"/>
              </w:rPr>
              <w:t>Appendix 2 of the DIIS identifies Australia’s obligations under the Stockholm Convention on Persistent Organic Pollutants. This section also refers to the nine new chemicals added to the Convention’s Annexes.</w:t>
            </w:r>
          </w:p>
        </w:tc>
        <w:tc>
          <w:tcPr>
            <w:tcW w:w="1500" w:type="dxa"/>
            <w:gridSpan w:val="2"/>
            <w:shd w:val="clear" w:color="auto" w:fill="FFC000"/>
          </w:tcPr>
          <w:p w:rsidR="003E24B5" w:rsidRDefault="003E24B5" w:rsidP="00B67615">
            <w:pPr>
              <w:spacing w:before="120" w:after="120"/>
              <w:jc w:val="left"/>
              <w:rPr>
                <w:rFonts w:ascii="Calibri" w:hAnsi="Calibri"/>
                <w:szCs w:val="20"/>
              </w:rPr>
            </w:pPr>
            <w:r>
              <w:rPr>
                <w:rFonts w:ascii="Calibri" w:hAnsi="Calibri"/>
                <w:szCs w:val="20"/>
              </w:rPr>
              <w:t>Incomplete</w:t>
            </w:r>
          </w:p>
        </w:tc>
        <w:tc>
          <w:tcPr>
            <w:tcW w:w="1400" w:type="dxa"/>
            <w:gridSpan w:val="2"/>
            <w:shd w:val="clear" w:color="auto" w:fill="FFC000"/>
          </w:tcPr>
          <w:p w:rsidR="003E24B5" w:rsidRDefault="003E24B5" w:rsidP="00B67615">
            <w:pPr>
              <w:spacing w:before="120" w:after="120"/>
              <w:jc w:val="left"/>
              <w:rPr>
                <w:rFonts w:ascii="Calibri" w:hAnsi="Calibri"/>
                <w:szCs w:val="20"/>
              </w:rPr>
            </w:pPr>
            <w:r>
              <w:rPr>
                <w:rFonts w:ascii="Calibri" w:hAnsi="Calibri"/>
                <w:szCs w:val="20"/>
              </w:rPr>
              <w:t>Likely</w:t>
            </w:r>
          </w:p>
        </w:tc>
        <w:tc>
          <w:tcPr>
            <w:tcW w:w="1500" w:type="dxa"/>
            <w:gridSpan w:val="2"/>
            <w:shd w:val="clear" w:color="auto" w:fill="FFC000"/>
          </w:tcPr>
          <w:p w:rsidR="003E24B5" w:rsidRDefault="003E24B5" w:rsidP="00B67615">
            <w:pPr>
              <w:spacing w:before="120" w:after="120"/>
              <w:ind w:firstLine="3"/>
              <w:jc w:val="left"/>
              <w:rPr>
                <w:rFonts w:ascii="Calibri" w:hAnsi="Calibri"/>
                <w:szCs w:val="20"/>
              </w:rPr>
            </w:pPr>
            <w:r>
              <w:rPr>
                <w:rFonts w:ascii="Calibri" w:hAnsi="Calibri"/>
                <w:szCs w:val="20"/>
              </w:rPr>
              <w:t>Moderate</w:t>
            </w:r>
          </w:p>
        </w:tc>
        <w:tc>
          <w:tcPr>
            <w:tcW w:w="1750" w:type="dxa"/>
            <w:gridSpan w:val="2"/>
            <w:shd w:val="clear" w:color="auto" w:fill="FFC000"/>
          </w:tcPr>
          <w:p w:rsidR="003E24B5" w:rsidRDefault="003E24B5" w:rsidP="00B67615">
            <w:pPr>
              <w:spacing w:before="120" w:after="120"/>
              <w:jc w:val="left"/>
              <w:rPr>
                <w:rFonts w:ascii="Calibri" w:hAnsi="Calibri"/>
                <w:szCs w:val="20"/>
              </w:rPr>
            </w:pPr>
            <w:r>
              <w:rPr>
                <w:rFonts w:ascii="Calibri" w:hAnsi="Calibri"/>
                <w:szCs w:val="20"/>
              </w:rPr>
              <w:t>High</w:t>
            </w:r>
          </w:p>
        </w:tc>
      </w:tr>
      <w:tr w:rsidR="003E24B5" w:rsidTr="00970538">
        <w:trPr>
          <w:gridBefore w:val="1"/>
          <w:gridAfter w:val="1"/>
          <w:wBefore w:w="187" w:type="dxa"/>
          <w:wAfter w:w="15" w:type="dxa"/>
          <w:trHeight w:val="1082"/>
        </w:trPr>
        <w:tc>
          <w:tcPr>
            <w:tcW w:w="15115" w:type="dxa"/>
            <w:gridSpan w:val="18"/>
          </w:tcPr>
          <w:p w:rsidR="003E24B5" w:rsidRDefault="003E24B5" w:rsidP="00B67615">
            <w:pPr>
              <w:spacing w:before="120" w:after="120"/>
              <w:jc w:val="left"/>
              <w:rPr>
                <w:rFonts w:ascii="Calibri" w:hAnsi="Calibri"/>
                <w:b/>
                <w:szCs w:val="20"/>
              </w:rPr>
            </w:pPr>
            <w:r w:rsidRPr="00635E42">
              <w:rPr>
                <w:rFonts w:ascii="Calibri" w:hAnsi="Calibri"/>
                <w:b/>
                <w:szCs w:val="20"/>
              </w:rPr>
              <w:t xml:space="preserve">Further Treatment </w:t>
            </w:r>
          </w:p>
          <w:p w:rsidR="003E24B5" w:rsidRPr="00635E42" w:rsidRDefault="003E24B5" w:rsidP="00B67615">
            <w:pPr>
              <w:spacing w:before="120" w:after="120"/>
              <w:jc w:val="left"/>
              <w:rPr>
                <w:rFonts w:ascii="Calibri" w:hAnsi="Calibri"/>
                <w:b/>
                <w:szCs w:val="20"/>
              </w:rPr>
            </w:pPr>
            <w:r>
              <w:rPr>
                <w:rFonts w:ascii="Calibri" w:hAnsi="Calibri"/>
                <w:szCs w:val="20"/>
              </w:rPr>
              <w:t>O</w:t>
            </w:r>
            <w:r w:rsidRPr="00501C04">
              <w:rPr>
                <w:rFonts w:ascii="Calibri" w:hAnsi="Calibri"/>
                <w:szCs w:val="20"/>
              </w:rPr>
              <w:t xml:space="preserve">f the </w:t>
            </w:r>
            <w:r>
              <w:rPr>
                <w:rFonts w:ascii="Calibri" w:hAnsi="Calibri"/>
                <w:szCs w:val="20"/>
              </w:rPr>
              <w:t>9 n</w:t>
            </w:r>
            <w:r w:rsidRPr="00501C04">
              <w:rPr>
                <w:rFonts w:ascii="Calibri" w:hAnsi="Calibri"/>
                <w:szCs w:val="20"/>
              </w:rPr>
              <w:t>ew POPs, the ones with implications for recycling are the BFRs</w:t>
            </w:r>
            <w:r>
              <w:rPr>
                <w:rFonts w:ascii="Calibri" w:hAnsi="Calibri"/>
                <w:szCs w:val="20"/>
              </w:rPr>
              <w:t xml:space="preserve">. </w:t>
            </w:r>
            <w:r w:rsidRPr="00501C04">
              <w:rPr>
                <w:rFonts w:ascii="Calibri" w:hAnsi="Calibri"/>
                <w:szCs w:val="20"/>
              </w:rPr>
              <w:t>The other chemicals aren’t particularly relevant in the context of plastic recycling - Appendix 2 could be improved to explain this.</w:t>
            </w:r>
          </w:p>
        </w:tc>
      </w:tr>
      <w:tr w:rsidR="003E24B5" w:rsidTr="00970538">
        <w:trPr>
          <w:gridBefore w:val="1"/>
          <w:gridAfter w:val="1"/>
          <w:wBefore w:w="187" w:type="dxa"/>
          <w:wAfter w:w="15" w:type="dxa"/>
          <w:trHeight w:val="1593"/>
        </w:trPr>
        <w:tc>
          <w:tcPr>
            <w:tcW w:w="15115" w:type="dxa"/>
            <w:gridSpan w:val="18"/>
          </w:tcPr>
          <w:p w:rsidR="003E24B5" w:rsidRDefault="003E24B5" w:rsidP="00B67615">
            <w:pPr>
              <w:autoSpaceDE w:val="0"/>
              <w:autoSpaceDN w:val="0"/>
              <w:adjustRightInd w:val="0"/>
              <w:spacing w:before="120" w:after="120"/>
              <w:rPr>
                <w:rFonts w:ascii="Calibri" w:hAnsi="Calibri"/>
                <w:szCs w:val="20"/>
              </w:rPr>
            </w:pPr>
            <w:r w:rsidRPr="001C66C2">
              <w:rPr>
                <w:rFonts w:ascii="Calibri" w:hAnsi="Calibri"/>
                <w:b/>
                <w:szCs w:val="20"/>
              </w:rPr>
              <w:t>Timeframe for Implementation</w:t>
            </w:r>
            <w:r>
              <w:rPr>
                <w:rFonts w:ascii="Calibri" w:hAnsi="Calibri"/>
                <w:szCs w:val="20"/>
              </w:rPr>
              <w:t>: Prior to release of the Standard.</w:t>
            </w:r>
          </w:p>
          <w:p w:rsidR="003E24B5" w:rsidRDefault="003E24B5" w:rsidP="00B67615">
            <w:pPr>
              <w:autoSpaceDE w:val="0"/>
              <w:autoSpaceDN w:val="0"/>
              <w:adjustRightInd w:val="0"/>
              <w:spacing w:before="120" w:after="120"/>
              <w:rPr>
                <w:rFonts w:ascii="Calibri" w:hAnsi="Calibri"/>
                <w:szCs w:val="20"/>
              </w:rPr>
            </w:pPr>
            <w:r w:rsidRPr="001C66C2">
              <w:rPr>
                <w:rFonts w:ascii="Calibri" w:hAnsi="Calibri"/>
                <w:b/>
                <w:szCs w:val="20"/>
              </w:rPr>
              <w:t>Responsibility</w:t>
            </w:r>
            <w:r>
              <w:rPr>
                <w:rFonts w:ascii="Calibri" w:hAnsi="Calibri"/>
                <w:szCs w:val="20"/>
              </w:rPr>
              <w:t>: DSEWPaC</w:t>
            </w:r>
          </w:p>
        </w:tc>
      </w:tr>
    </w:tbl>
    <w:p w:rsidR="003E24B5" w:rsidRDefault="003E24B5" w:rsidP="00970538">
      <w:pPr>
        <w:spacing w:after="0"/>
        <w:jc w:val="left"/>
      </w:pPr>
      <w:r>
        <w:br w:type="page"/>
      </w:r>
    </w:p>
    <w:tbl>
      <w:tblPr>
        <w:tblW w:w="152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0"/>
        <w:gridCol w:w="1730"/>
        <w:gridCol w:w="2610"/>
        <w:gridCol w:w="1530"/>
        <w:gridCol w:w="3330"/>
        <w:gridCol w:w="1440"/>
        <w:gridCol w:w="990"/>
        <w:gridCol w:w="810"/>
        <w:gridCol w:w="1080"/>
      </w:tblGrid>
      <w:tr w:rsidR="003E24B5" w:rsidTr="00F35FFC">
        <w:trPr>
          <w:tblHeader/>
        </w:trPr>
        <w:tc>
          <w:tcPr>
            <w:tcW w:w="1690" w:type="dxa"/>
            <w:shd w:val="solid" w:color="C0C0C0" w:fill="auto"/>
          </w:tcPr>
          <w:p w:rsidR="003E24B5" w:rsidRPr="00FC535A" w:rsidRDefault="003E24B5" w:rsidP="00F35FFC">
            <w:pPr>
              <w:spacing w:before="120" w:after="120"/>
              <w:jc w:val="center"/>
              <w:rPr>
                <w:rFonts w:ascii="Calibri" w:hAnsi="Calibri"/>
                <w:b/>
                <w:szCs w:val="20"/>
              </w:rPr>
            </w:pPr>
            <w:r>
              <w:rPr>
                <w:rFonts w:ascii="Calibri" w:hAnsi="Calibri"/>
                <w:b/>
                <w:szCs w:val="20"/>
              </w:rPr>
              <w:lastRenderedPageBreak/>
              <w:t>Risk Category &amp; Origin</w:t>
            </w:r>
          </w:p>
        </w:tc>
        <w:tc>
          <w:tcPr>
            <w:tcW w:w="173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Description of risk</w:t>
            </w:r>
            <w:r w:rsidRPr="00FC535A">
              <w:rPr>
                <w:rFonts w:ascii="Calibri" w:hAnsi="Calibri"/>
                <w:b/>
                <w:sz w:val="18"/>
                <w:szCs w:val="18"/>
              </w:rPr>
              <w:br/>
              <w:t>(What can happen)</w:t>
            </w:r>
          </w:p>
        </w:tc>
        <w:tc>
          <w:tcPr>
            <w:tcW w:w="261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Potential causes/sources</w:t>
            </w:r>
            <w:r w:rsidRPr="00FC535A">
              <w:rPr>
                <w:rFonts w:ascii="Calibri" w:hAnsi="Calibri"/>
                <w:b/>
                <w:sz w:val="18"/>
                <w:szCs w:val="18"/>
              </w:rPr>
              <w:br/>
              <w:t>(of an event happening)</w:t>
            </w:r>
          </w:p>
        </w:tc>
        <w:tc>
          <w:tcPr>
            <w:tcW w:w="153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 xml:space="preserve">Potential impacts </w:t>
            </w:r>
            <w:r w:rsidRPr="00FC535A">
              <w:rPr>
                <w:rFonts w:ascii="Calibri" w:hAnsi="Calibri"/>
                <w:b/>
                <w:sz w:val="18"/>
                <w:szCs w:val="18"/>
              </w:rPr>
              <w:br/>
              <w:t>(if a risk event happens)</w:t>
            </w:r>
          </w:p>
        </w:tc>
        <w:tc>
          <w:tcPr>
            <w:tcW w:w="333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Existing controls</w:t>
            </w:r>
          </w:p>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(what is in place NOW to minimise risk)</w:t>
            </w:r>
          </w:p>
        </w:tc>
        <w:tc>
          <w:tcPr>
            <w:tcW w:w="1440" w:type="dxa"/>
            <w:shd w:val="solid" w:color="C0C0C0" w:fill="auto"/>
          </w:tcPr>
          <w:p w:rsidR="003E24B5" w:rsidRPr="00FC535A" w:rsidRDefault="003E24B5" w:rsidP="00F35FFC">
            <w:pPr>
              <w:spacing w:before="120" w:after="120"/>
              <w:jc w:val="center"/>
              <w:rPr>
                <w:rFonts w:ascii="Calibri" w:hAnsi="Calibri"/>
                <w:b/>
                <w:sz w:val="18"/>
                <w:szCs w:val="18"/>
                <w:vertAlign w:val="superscript"/>
              </w:rPr>
            </w:pPr>
            <w:r w:rsidRPr="00FC535A">
              <w:rPr>
                <w:rFonts w:ascii="Calibri" w:hAnsi="Calibri"/>
                <w:b/>
                <w:sz w:val="18"/>
                <w:szCs w:val="18"/>
              </w:rPr>
              <w:t>Control ratings</w:t>
            </w:r>
          </w:p>
        </w:tc>
        <w:tc>
          <w:tcPr>
            <w:tcW w:w="990" w:type="dxa"/>
            <w:shd w:val="solid" w:color="C0C0C0" w:fill="auto"/>
          </w:tcPr>
          <w:p w:rsidR="003E24B5" w:rsidRPr="00FC535A" w:rsidRDefault="003E24B5" w:rsidP="00F35FFC">
            <w:pPr>
              <w:spacing w:before="120" w:after="120"/>
              <w:jc w:val="center"/>
              <w:rPr>
                <w:rFonts w:ascii="Calibri" w:hAnsi="Calibri"/>
                <w:b/>
                <w:sz w:val="18"/>
                <w:szCs w:val="18"/>
              </w:rPr>
            </w:pPr>
            <w:r>
              <w:rPr>
                <w:rFonts w:ascii="Calibri" w:hAnsi="Calibri"/>
                <w:b/>
                <w:sz w:val="18"/>
                <w:szCs w:val="18"/>
              </w:rPr>
              <w:t>Likeli</w:t>
            </w:r>
            <w:r w:rsidRPr="00FC535A">
              <w:rPr>
                <w:rFonts w:ascii="Calibri" w:hAnsi="Calibri"/>
                <w:b/>
                <w:sz w:val="18"/>
                <w:szCs w:val="18"/>
              </w:rPr>
              <w:t>hood</w:t>
            </w:r>
          </w:p>
        </w:tc>
        <w:tc>
          <w:tcPr>
            <w:tcW w:w="810" w:type="dxa"/>
            <w:shd w:val="solid" w:color="C0C0C0" w:fill="auto"/>
          </w:tcPr>
          <w:p w:rsidR="003E24B5" w:rsidRPr="00FC535A" w:rsidRDefault="003E24B5" w:rsidP="00F35FFC">
            <w:pPr>
              <w:spacing w:before="120" w:after="120"/>
              <w:ind w:right="-84"/>
              <w:jc w:val="center"/>
              <w:rPr>
                <w:rFonts w:ascii="Calibri" w:hAnsi="Calibri"/>
                <w:b/>
                <w:sz w:val="18"/>
                <w:szCs w:val="18"/>
              </w:rPr>
            </w:pPr>
            <w:r>
              <w:rPr>
                <w:rFonts w:ascii="Calibri" w:hAnsi="Calibri"/>
                <w:b/>
                <w:sz w:val="18"/>
                <w:szCs w:val="18"/>
              </w:rPr>
              <w:t>Conse</w:t>
            </w:r>
            <w:r w:rsidRPr="00FC535A">
              <w:rPr>
                <w:rFonts w:ascii="Calibri" w:hAnsi="Calibri"/>
                <w:b/>
                <w:sz w:val="18"/>
                <w:szCs w:val="18"/>
              </w:rPr>
              <w:t>quence</w:t>
            </w:r>
          </w:p>
        </w:tc>
        <w:tc>
          <w:tcPr>
            <w:tcW w:w="108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Risk Level</w:t>
            </w:r>
          </w:p>
        </w:tc>
      </w:tr>
      <w:tr w:rsidR="003E24B5" w:rsidTr="00F35FFC">
        <w:trPr>
          <w:tblHeader/>
        </w:trPr>
        <w:tc>
          <w:tcPr>
            <w:tcW w:w="1690" w:type="dxa"/>
            <w:shd w:val="clear" w:color="auto" w:fill="FFC000"/>
          </w:tcPr>
          <w:p w:rsidR="003E24B5" w:rsidRPr="00B727DC" w:rsidRDefault="003E24B5" w:rsidP="00F35FFC">
            <w:pPr>
              <w:jc w:val="left"/>
              <w:rPr>
                <w:rFonts w:ascii="Calibri" w:hAnsi="Calibri" w:cs="Calibri"/>
                <w:b/>
                <w:bCs/>
                <w:i/>
                <w:iCs/>
                <w:color w:val="000000"/>
                <w:szCs w:val="20"/>
              </w:rPr>
            </w:pPr>
            <w:r w:rsidRPr="00B727DC">
              <w:rPr>
                <w:rFonts w:ascii="Calibri" w:hAnsi="Calibri" w:cs="Calibri"/>
                <w:b/>
                <w:bCs/>
                <w:i/>
                <w:iCs/>
                <w:color w:val="000000"/>
                <w:szCs w:val="20"/>
              </w:rPr>
              <w:t>Section 40</w:t>
            </w:r>
          </w:p>
          <w:p w:rsidR="003E24B5" w:rsidRDefault="003E24B5" w:rsidP="00F35FFC">
            <w:pPr>
              <w:jc w:val="left"/>
              <w:rPr>
                <w:rFonts w:ascii="Calibri" w:hAnsi="Calibri" w:cs="Calibri"/>
                <w:b/>
                <w:bCs/>
                <w:i/>
                <w:iCs/>
                <w:color w:val="000000"/>
                <w:sz w:val="22"/>
              </w:rPr>
            </w:pPr>
            <w:r w:rsidRPr="00B727DC">
              <w:rPr>
                <w:b/>
                <w:bCs/>
                <w:szCs w:val="20"/>
              </w:rPr>
              <w:t>Regulation of export of hazardous waste</w:t>
            </w:r>
          </w:p>
        </w:tc>
        <w:tc>
          <w:tcPr>
            <w:tcW w:w="1730" w:type="dxa"/>
            <w:shd w:val="clear" w:color="auto" w:fill="FFC000"/>
          </w:tcPr>
          <w:p w:rsidR="003E24B5" w:rsidRPr="00FC535A" w:rsidRDefault="003E24B5" w:rsidP="00F35FFC">
            <w:pPr>
              <w:spacing w:before="120" w:after="120"/>
              <w:jc w:val="left"/>
              <w:rPr>
                <w:rFonts w:ascii="Calibri" w:hAnsi="Calibri"/>
                <w:b/>
                <w:sz w:val="18"/>
                <w:szCs w:val="18"/>
              </w:rPr>
            </w:pPr>
            <w:r>
              <w:rPr>
                <w:rFonts w:ascii="Calibri" w:hAnsi="Calibri"/>
                <w:i/>
                <w:szCs w:val="20"/>
              </w:rPr>
              <w:t>Export hazardous waste without permit to export or order to export</w:t>
            </w:r>
          </w:p>
        </w:tc>
        <w:tc>
          <w:tcPr>
            <w:tcW w:w="2610" w:type="dxa"/>
            <w:shd w:val="clear" w:color="auto" w:fill="FFC000"/>
          </w:tcPr>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Permit not obtained</w:t>
            </w:r>
          </w:p>
          <w:p w:rsidR="003E24B5" w:rsidRPr="00711EC3" w:rsidRDefault="003E24B5" w:rsidP="00162446">
            <w:pPr>
              <w:pStyle w:val="ListParagraph"/>
              <w:numPr>
                <w:ilvl w:val="0"/>
                <w:numId w:val="41"/>
              </w:numPr>
              <w:spacing w:before="120" w:after="120"/>
              <w:jc w:val="left"/>
              <w:rPr>
                <w:rFonts w:ascii="Calibri" w:hAnsi="Calibri"/>
                <w:b/>
                <w:sz w:val="18"/>
                <w:szCs w:val="18"/>
              </w:rPr>
            </w:pPr>
            <w:r w:rsidRPr="00711EC3">
              <w:rPr>
                <w:rFonts w:ascii="Calibri" w:hAnsi="Calibri"/>
                <w:szCs w:val="20"/>
              </w:rPr>
              <w:t>Order to export not given</w:t>
            </w:r>
          </w:p>
        </w:tc>
        <w:tc>
          <w:tcPr>
            <w:tcW w:w="1530" w:type="dxa"/>
            <w:shd w:val="clear" w:color="auto" w:fill="FFC000"/>
          </w:tcPr>
          <w:p w:rsidR="003E24B5" w:rsidRPr="00FC535A" w:rsidRDefault="003E24B5" w:rsidP="00F35FFC">
            <w:pPr>
              <w:spacing w:before="120" w:after="120"/>
              <w:jc w:val="left"/>
              <w:rPr>
                <w:rFonts w:ascii="Calibri" w:hAnsi="Calibri"/>
                <w:b/>
                <w:sz w:val="18"/>
                <w:szCs w:val="18"/>
              </w:rPr>
            </w:pPr>
            <w:r>
              <w:rPr>
                <w:rFonts w:ascii="Calibri" w:hAnsi="Calibri"/>
                <w:szCs w:val="20"/>
              </w:rPr>
              <w:t>Conviction</w:t>
            </w:r>
          </w:p>
        </w:tc>
        <w:tc>
          <w:tcPr>
            <w:tcW w:w="3330" w:type="dxa"/>
            <w:shd w:val="clear" w:color="auto" w:fill="FFC000"/>
          </w:tcPr>
          <w:p w:rsidR="003E24B5" w:rsidRDefault="003E24B5" w:rsidP="00F35FFC">
            <w:pPr>
              <w:autoSpaceDE w:val="0"/>
              <w:autoSpaceDN w:val="0"/>
              <w:adjustRightInd w:val="0"/>
              <w:spacing w:before="120" w:after="120"/>
              <w:jc w:val="left"/>
              <w:rPr>
                <w:rFonts w:ascii="Calibri" w:hAnsi="Calibri"/>
                <w:szCs w:val="20"/>
              </w:rPr>
            </w:pPr>
            <w:r>
              <w:rPr>
                <w:rFonts w:ascii="Calibri" w:hAnsi="Calibri"/>
                <w:szCs w:val="20"/>
              </w:rPr>
              <w:t xml:space="preserve">Section 2 of the standard – </w:t>
            </w:r>
            <w:r>
              <w:rPr>
                <w:rFonts w:ascii="Calibri" w:hAnsi="Calibri"/>
                <w:i/>
                <w:szCs w:val="20"/>
              </w:rPr>
              <w:t>Application</w:t>
            </w:r>
            <w:r>
              <w:rPr>
                <w:rFonts w:ascii="Calibri" w:hAnsi="Calibri"/>
                <w:szCs w:val="20"/>
              </w:rPr>
              <w:t xml:space="preserve"> – includes the following control:</w:t>
            </w:r>
          </w:p>
          <w:p w:rsidR="003E24B5" w:rsidRPr="00070F71" w:rsidRDefault="003E24B5" w:rsidP="00F35FFC">
            <w:pPr>
              <w:autoSpaceDE w:val="0"/>
              <w:autoSpaceDN w:val="0"/>
              <w:adjustRightInd w:val="0"/>
              <w:spacing w:before="120" w:after="120"/>
              <w:jc w:val="left"/>
              <w:rPr>
                <w:rFonts w:ascii="Calibri" w:hAnsi="Calibri"/>
                <w:i/>
                <w:szCs w:val="20"/>
              </w:rPr>
            </w:pPr>
            <w:r w:rsidRPr="00070F71">
              <w:rPr>
                <w:rFonts w:ascii="Calibri" w:hAnsi="Calibri"/>
                <w:i/>
                <w:szCs w:val="20"/>
                <w:lang w:val="en-US"/>
              </w:rPr>
              <w:t>“The Interim industry Standard does not absolve collection locations, transporters or recyclers from any federal, state and/or municipal legislation and regulations applicable to their business operation. It is the responsibility of the operator to be aware of and abide by all such legislation and regulations.”</w:t>
            </w:r>
          </w:p>
        </w:tc>
        <w:tc>
          <w:tcPr>
            <w:tcW w:w="1440" w:type="dxa"/>
            <w:shd w:val="clear" w:color="auto" w:fill="FFC000"/>
          </w:tcPr>
          <w:p w:rsidR="003E24B5" w:rsidRDefault="003E24B5" w:rsidP="00F35FFC">
            <w:pPr>
              <w:spacing w:before="120" w:after="120"/>
              <w:jc w:val="left"/>
              <w:rPr>
                <w:rFonts w:ascii="Calibri" w:hAnsi="Calibri"/>
                <w:szCs w:val="20"/>
              </w:rPr>
            </w:pPr>
            <w:r>
              <w:rPr>
                <w:rFonts w:ascii="Calibri" w:hAnsi="Calibri"/>
                <w:szCs w:val="20"/>
              </w:rPr>
              <w:t xml:space="preserve">Adequate </w:t>
            </w:r>
          </w:p>
        </w:tc>
        <w:tc>
          <w:tcPr>
            <w:tcW w:w="990" w:type="dxa"/>
            <w:shd w:val="clear" w:color="auto" w:fill="FFC000"/>
          </w:tcPr>
          <w:p w:rsidR="003E24B5" w:rsidRDefault="003E24B5" w:rsidP="00F35FFC">
            <w:pPr>
              <w:spacing w:before="120" w:after="120"/>
              <w:jc w:val="left"/>
              <w:rPr>
                <w:rFonts w:ascii="Calibri" w:hAnsi="Calibri"/>
                <w:szCs w:val="20"/>
              </w:rPr>
            </w:pPr>
            <w:r>
              <w:rPr>
                <w:rFonts w:ascii="Calibri" w:hAnsi="Calibri"/>
                <w:szCs w:val="20"/>
              </w:rPr>
              <w:t>Unlikely</w:t>
            </w:r>
          </w:p>
        </w:tc>
        <w:tc>
          <w:tcPr>
            <w:tcW w:w="810" w:type="dxa"/>
            <w:shd w:val="clear" w:color="auto" w:fill="FFC000"/>
          </w:tcPr>
          <w:p w:rsidR="003E24B5" w:rsidRDefault="003E24B5" w:rsidP="00F35FFC">
            <w:pPr>
              <w:spacing w:before="120" w:after="120"/>
              <w:ind w:firstLine="3"/>
              <w:jc w:val="left"/>
              <w:rPr>
                <w:rFonts w:ascii="Calibri" w:hAnsi="Calibri"/>
                <w:szCs w:val="20"/>
              </w:rPr>
            </w:pPr>
            <w:r>
              <w:rPr>
                <w:rFonts w:ascii="Calibri" w:hAnsi="Calibri"/>
                <w:szCs w:val="20"/>
              </w:rPr>
              <w:t>Major</w:t>
            </w:r>
          </w:p>
        </w:tc>
        <w:tc>
          <w:tcPr>
            <w:tcW w:w="1080" w:type="dxa"/>
            <w:shd w:val="clear" w:color="auto" w:fill="FFC000"/>
          </w:tcPr>
          <w:p w:rsidR="003E24B5" w:rsidRDefault="003E24B5" w:rsidP="00F35FFC">
            <w:pPr>
              <w:spacing w:before="120" w:after="120"/>
              <w:jc w:val="left"/>
              <w:rPr>
                <w:rFonts w:ascii="Calibri" w:hAnsi="Calibri"/>
                <w:szCs w:val="20"/>
              </w:rPr>
            </w:pPr>
            <w:r>
              <w:rPr>
                <w:rFonts w:ascii="Calibri" w:hAnsi="Calibri"/>
                <w:szCs w:val="20"/>
              </w:rPr>
              <w:t>High</w:t>
            </w:r>
          </w:p>
        </w:tc>
      </w:tr>
      <w:tr w:rsidR="003E24B5" w:rsidTr="00F35FFC">
        <w:trPr>
          <w:tblHeader/>
        </w:trPr>
        <w:tc>
          <w:tcPr>
            <w:tcW w:w="15210" w:type="dxa"/>
            <w:gridSpan w:val="9"/>
          </w:tcPr>
          <w:p w:rsidR="003E24B5" w:rsidRDefault="003E24B5" w:rsidP="00F35FFC">
            <w:pPr>
              <w:spacing w:before="120" w:after="120"/>
              <w:jc w:val="left"/>
              <w:rPr>
                <w:rFonts w:ascii="Calibri" w:hAnsi="Calibri"/>
                <w:szCs w:val="20"/>
              </w:rPr>
            </w:pPr>
            <w:r w:rsidRPr="00635E42">
              <w:rPr>
                <w:rFonts w:ascii="Calibri" w:hAnsi="Calibri"/>
                <w:b/>
                <w:szCs w:val="20"/>
              </w:rPr>
              <w:t xml:space="preserve">Further Treatment </w:t>
            </w:r>
          </w:p>
        </w:tc>
      </w:tr>
      <w:tr w:rsidR="003E24B5" w:rsidTr="00F35FFC">
        <w:trPr>
          <w:tblHeader/>
        </w:trPr>
        <w:tc>
          <w:tcPr>
            <w:tcW w:w="15210" w:type="dxa"/>
            <w:gridSpan w:val="9"/>
          </w:tcPr>
          <w:p w:rsidR="003E24B5" w:rsidRDefault="003E24B5" w:rsidP="00F35FFC">
            <w:pPr>
              <w:spacing w:before="120" w:after="120"/>
              <w:jc w:val="left"/>
              <w:rPr>
                <w:rFonts w:ascii="Calibri" w:hAnsi="Calibri"/>
                <w:szCs w:val="20"/>
              </w:rPr>
            </w:pPr>
            <w:r>
              <w:rPr>
                <w:rFonts w:ascii="Calibri" w:hAnsi="Calibri"/>
                <w:szCs w:val="20"/>
              </w:rPr>
              <w:t xml:space="preserve">To ensure transporters and operators are fully aware of their regulatory requirements relating to the export of hazardous waste, it is recommended that the requirements of the Hazardous Waste Act and how they apply to DIIS associated activities are included in the proposed training/familiarisation program suggested as an improvement measure in the risk treatment plan above. The approved arrangement should ensure that DSEWPaC is consulted in relation to all training material and provided the opportunity to participate. </w:t>
            </w:r>
          </w:p>
          <w:p w:rsidR="003E24B5" w:rsidRDefault="003E24B5" w:rsidP="00F35FFC">
            <w:pPr>
              <w:autoSpaceDE w:val="0"/>
              <w:autoSpaceDN w:val="0"/>
              <w:adjustRightInd w:val="0"/>
              <w:spacing w:before="120" w:after="120"/>
              <w:rPr>
                <w:rFonts w:ascii="Calibri" w:hAnsi="Calibri"/>
                <w:szCs w:val="20"/>
              </w:rPr>
            </w:pPr>
            <w:r w:rsidRPr="001C66C2">
              <w:rPr>
                <w:rFonts w:ascii="Calibri" w:hAnsi="Calibri"/>
                <w:b/>
                <w:szCs w:val="20"/>
              </w:rPr>
              <w:t>Timeframe for Implementation</w:t>
            </w:r>
            <w:r>
              <w:rPr>
                <w:rFonts w:ascii="Calibri" w:hAnsi="Calibri"/>
                <w:szCs w:val="20"/>
              </w:rPr>
              <w:t>: To coincide with the implementation of the Standard.</w:t>
            </w:r>
          </w:p>
          <w:p w:rsidR="003E24B5" w:rsidRDefault="003E24B5" w:rsidP="00F35FFC">
            <w:pPr>
              <w:autoSpaceDE w:val="0"/>
              <w:autoSpaceDN w:val="0"/>
              <w:adjustRightInd w:val="0"/>
              <w:spacing w:before="120" w:after="120"/>
              <w:rPr>
                <w:rFonts w:ascii="Calibri" w:hAnsi="Calibri"/>
                <w:szCs w:val="20"/>
              </w:rPr>
            </w:pPr>
            <w:r w:rsidRPr="001C66C2">
              <w:rPr>
                <w:rFonts w:ascii="Calibri" w:hAnsi="Calibri"/>
                <w:b/>
                <w:szCs w:val="20"/>
              </w:rPr>
              <w:t>Responsibility</w:t>
            </w:r>
            <w:r>
              <w:rPr>
                <w:rFonts w:ascii="Calibri" w:hAnsi="Calibri"/>
                <w:szCs w:val="20"/>
              </w:rPr>
              <w:t>: DSEWPaC</w:t>
            </w:r>
          </w:p>
          <w:p w:rsidR="003E24B5" w:rsidRDefault="003E24B5" w:rsidP="00F35FFC">
            <w:pPr>
              <w:spacing w:before="120" w:after="120"/>
              <w:jc w:val="left"/>
              <w:rPr>
                <w:rFonts w:ascii="Calibri" w:hAnsi="Calibri"/>
                <w:szCs w:val="20"/>
              </w:rPr>
            </w:pPr>
            <w:r w:rsidRPr="001C66C2">
              <w:rPr>
                <w:rFonts w:ascii="Calibri" w:hAnsi="Calibri"/>
                <w:b/>
                <w:i/>
                <w:szCs w:val="20"/>
              </w:rPr>
              <w:t>It should be noted that this risk is likely to remain “high” as the</w:t>
            </w:r>
            <w:r>
              <w:rPr>
                <w:rFonts w:ascii="Calibri" w:hAnsi="Calibri"/>
                <w:b/>
                <w:i/>
                <w:szCs w:val="20"/>
              </w:rPr>
              <w:t xml:space="preserve"> consequence will</w:t>
            </w:r>
            <w:r w:rsidRPr="001C66C2">
              <w:rPr>
                <w:rFonts w:ascii="Calibri" w:hAnsi="Calibri"/>
                <w:b/>
                <w:i/>
                <w:szCs w:val="20"/>
              </w:rPr>
              <w:t xml:space="preserve"> always </w:t>
            </w:r>
            <w:r>
              <w:rPr>
                <w:rFonts w:ascii="Calibri" w:hAnsi="Calibri"/>
                <w:b/>
                <w:i/>
                <w:szCs w:val="20"/>
              </w:rPr>
              <w:t>be major.</w:t>
            </w:r>
          </w:p>
          <w:p w:rsidR="003E24B5" w:rsidRDefault="003E24B5" w:rsidP="00F35FFC">
            <w:pPr>
              <w:spacing w:before="120" w:after="120"/>
              <w:jc w:val="center"/>
              <w:rPr>
                <w:rFonts w:ascii="Calibri" w:hAnsi="Calibri"/>
                <w:szCs w:val="20"/>
              </w:rPr>
            </w:pPr>
          </w:p>
        </w:tc>
      </w:tr>
    </w:tbl>
    <w:p w:rsidR="003E24B5" w:rsidRDefault="003E24B5" w:rsidP="00355341">
      <w:pPr>
        <w:ind w:left="574"/>
      </w:pPr>
    </w:p>
    <w:p w:rsidR="003E24B5" w:rsidRDefault="003E24B5" w:rsidP="00355341">
      <w:pPr>
        <w:spacing w:after="0"/>
        <w:jc w:val="left"/>
      </w:pPr>
      <w:r>
        <w:br w:type="page"/>
      </w:r>
    </w:p>
    <w:tbl>
      <w:tblPr>
        <w:tblW w:w="152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0"/>
        <w:gridCol w:w="1746"/>
        <w:gridCol w:w="2574"/>
        <w:gridCol w:w="1530"/>
        <w:gridCol w:w="3330"/>
        <w:gridCol w:w="1440"/>
        <w:gridCol w:w="990"/>
        <w:gridCol w:w="810"/>
        <w:gridCol w:w="1080"/>
      </w:tblGrid>
      <w:tr w:rsidR="003E24B5" w:rsidTr="00493C8D">
        <w:trPr>
          <w:trHeight w:val="173"/>
        </w:trPr>
        <w:tc>
          <w:tcPr>
            <w:tcW w:w="1710" w:type="dxa"/>
            <w:shd w:val="solid" w:color="C0C0C0" w:fill="auto"/>
          </w:tcPr>
          <w:p w:rsidR="003E24B5" w:rsidRPr="00FC535A" w:rsidRDefault="003E24B5" w:rsidP="00F35FFC">
            <w:pPr>
              <w:spacing w:before="120" w:after="120"/>
              <w:jc w:val="center"/>
              <w:rPr>
                <w:rFonts w:ascii="Calibri" w:hAnsi="Calibri"/>
                <w:b/>
                <w:szCs w:val="20"/>
              </w:rPr>
            </w:pPr>
            <w:r>
              <w:rPr>
                <w:rFonts w:ascii="Calibri" w:hAnsi="Calibri"/>
                <w:b/>
                <w:szCs w:val="20"/>
              </w:rPr>
              <w:lastRenderedPageBreak/>
              <w:t>Risk Category</w:t>
            </w:r>
          </w:p>
        </w:tc>
        <w:tc>
          <w:tcPr>
            <w:tcW w:w="1746"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Description of risk</w:t>
            </w:r>
            <w:r w:rsidRPr="00FC535A">
              <w:rPr>
                <w:rFonts w:ascii="Calibri" w:hAnsi="Calibri"/>
                <w:b/>
                <w:sz w:val="18"/>
                <w:szCs w:val="18"/>
              </w:rPr>
              <w:br/>
              <w:t>(What can happen)</w:t>
            </w:r>
          </w:p>
        </w:tc>
        <w:tc>
          <w:tcPr>
            <w:tcW w:w="2574"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Potential causes/sources</w:t>
            </w:r>
            <w:r w:rsidRPr="00FC535A">
              <w:rPr>
                <w:rFonts w:ascii="Calibri" w:hAnsi="Calibri"/>
                <w:b/>
                <w:sz w:val="18"/>
                <w:szCs w:val="18"/>
              </w:rPr>
              <w:br/>
              <w:t>(of an event happening)</w:t>
            </w:r>
          </w:p>
        </w:tc>
        <w:tc>
          <w:tcPr>
            <w:tcW w:w="153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 xml:space="preserve">Potential impacts </w:t>
            </w:r>
            <w:r w:rsidRPr="00FC535A">
              <w:rPr>
                <w:rFonts w:ascii="Calibri" w:hAnsi="Calibri"/>
                <w:b/>
                <w:sz w:val="18"/>
                <w:szCs w:val="18"/>
              </w:rPr>
              <w:br/>
              <w:t>(if a risk event happens)</w:t>
            </w:r>
          </w:p>
        </w:tc>
        <w:tc>
          <w:tcPr>
            <w:tcW w:w="333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Existing controls</w:t>
            </w:r>
          </w:p>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(what is in place NOW to minimise risk)</w:t>
            </w:r>
          </w:p>
        </w:tc>
        <w:tc>
          <w:tcPr>
            <w:tcW w:w="1440" w:type="dxa"/>
            <w:shd w:val="solid" w:color="C0C0C0" w:fill="auto"/>
          </w:tcPr>
          <w:p w:rsidR="003E24B5" w:rsidRPr="00FC535A" w:rsidRDefault="003E24B5" w:rsidP="00F35FFC">
            <w:pPr>
              <w:spacing w:before="120" w:after="120"/>
              <w:jc w:val="center"/>
              <w:rPr>
                <w:rFonts w:ascii="Calibri" w:hAnsi="Calibri"/>
                <w:b/>
                <w:sz w:val="18"/>
                <w:szCs w:val="18"/>
                <w:vertAlign w:val="superscript"/>
              </w:rPr>
            </w:pPr>
            <w:r w:rsidRPr="00FC535A">
              <w:rPr>
                <w:rFonts w:ascii="Calibri" w:hAnsi="Calibri"/>
                <w:b/>
                <w:sz w:val="18"/>
                <w:szCs w:val="18"/>
              </w:rPr>
              <w:t>Control ratings</w:t>
            </w:r>
          </w:p>
        </w:tc>
        <w:tc>
          <w:tcPr>
            <w:tcW w:w="99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Likeli-hood</w:t>
            </w:r>
          </w:p>
        </w:tc>
        <w:tc>
          <w:tcPr>
            <w:tcW w:w="810" w:type="dxa"/>
            <w:shd w:val="solid" w:color="C0C0C0" w:fill="auto"/>
          </w:tcPr>
          <w:p w:rsidR="003E24B5" w:rsidRPr="00FC535A" w:rsidRDefault="003E24B5" w:rsidP="00F35FFC">
            <w:pPr>
              <w:spacing w:before="120" w:after="120"/>
              <w:ind w:right="-84"/>
              <w:jc w:val="center"/>
              <w:rPr>
                <w:rFonts w:ascii="Calibri" w:hAnsi="Calibri"/>
                <w:b/>
                <w:sz w:val="18"/>
                <w:szCs w:val="18"/>
              </w:rPr>
            </w:pPr>
            <w:r w:rsidRPr="00FC535A">
              <w:rPr>
                <w:rFonts w:ascii="Calibri" w:hAnsi="Calibri"/>
                <w:b/>
                <w:sz w:val="18"/>
                <w:szCs w:val="18"/>
              </w:rPr>
              <w:t>Conse-quence</w:t>
            </w:r>
          </w:p>
        </w:tc>
        <w:tc>
          <w:tcPr>
            <w:tcW w:w="108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Risk Level</w:t>
            </w:r>
          </w:p>
        </w:tc>
      </w:tr>
      <w:tr w:rsidR="003E24B5" w:rsidTr="00493C8D">
        <w:trPr>
          <w:trHeight w:val="173"/>
        </w:trPr>
        <w:tc>
          <w:tcPr>
            <w:tcW w:w="1710" w:type="dxa"/>
            <w:shd w:val="clear" w:color="auto" w:fill="FFC000"/>
          </w:tcPr>
          <w:p w:rsidR="003E24B5" w:rsidRPr="00B727DC" w:rsidRDefault="003E24B5" w:rsidP="00F35FFC">
            <w:pPr>
              <w:jc w:val="left"/>
              <w:rPr>
                <w:rFonts w:ascii="Calibri" w:hAnsi="Calibri" w:cs="Calibri"/>
                <w:b/>
                <w:bCs/>
                <w:i/>
                <w:iCs/>
                <w:color w:val="000000"/>
                <w:szCs w:val="20"/>
              </w:rPr>
            </w:pPr>
            <w:r w:rsidRPr="00B727DC">
              <w:rPr>
                <w:rFonts w:ascii="Calibri" w:hAnsi="Calibri" w:cs="Calibri"/>
                <w:b/>
                <w:bCs/>
                <w:i/>
                <w:iCs/>
                <w:color w:val="000000"/>
                <w:szCs w:val="20"/>
              </w:rPr>
              <w:t>Section 40AA</w:t>
            </w:r>
          </w:p>
          <w:p w:rsidR="003E24B5" w:rsidRDefault="003E24B5" w:rsidP="00F35FFC">
            <w:pPr>
              <w:jc w:val="left"/>
              <w:rPr>
                <w:rFonts w:ascii="Calibri" w:hAnsi="Calibri" w:cs="Calibri"/>
                <w:b/>
                <w:bCs/>
                <w:i/>
                <w:iCs/>
                <w:color w:val="000000"/>
                <w:sz w:val="22"/>
              </w:rPr>
            </w:pPr>
            <w:r w:rsidRPr="00B727DC">
              <w:rPr>
                <w:b/>
                <w:bCs/>
                <w:szCs w:val="20"/>
              </w:rPr>
              <w:t>Regulation of sale of hazardous waste</w:t>
            </w:r>
          </w:p>
        </w:tc>
        <w:tc>
          <w:tcPr>
            <w:tcW w:w="1746" w:type="dxa"/>
            <w:shd w:val="clear" w:color="auto" w:fill="FFC000"/>
          </w:tcPr>
          <w:p w:rsidR="003E24B5" w:rsidRDefault="003E24B5" w:rsidP="00F35FFC">
            <w:pPr>
              <w:spacing w:before="120" w:after="120"/>
              <w:jc w:val="left"/>
              <w:rPr>
                <w:rFonts w:ascii="Calibri" w:hAnsi="Calibri"/>
                <w:i/>
                <w:szCs w:val="20"/>
              </w:rPr>
            </w:pPr>
            <w:r>
              <w:rPr>
                <w:rFonts w:ascii="Calibri" w:hAnsi="Calibri"/>
                <w:i/>
                <w:szCs w:val="20"/>
              </w:rPr>
              <w:t xml:space="preserve">Sell waste to body corporate outside Australia where the body corporate does not have a registered office and an executive in Australia; and knowing the waste will be exported by the body corporate (or is reckless as to whether knowing);and export permit not in force at time of sale. </w:t>
            </w:r>
          </w:p>
        </w:tc>
        <w:tc>
          <w:tcPr>
            <w:tcW w:w="2574" w:type="dxa"/>
            <w:shd w:val="clear" w:color="auto" w:fill="FFC000"/>
          </w:tcPr>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No due diligence undertaken</w:t>
            </w:r>
          </w:p>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Permit not obtained</w:t>
            </w:r>
          </w:p>
          <w:p w:rsidR="003E24B5" w:rsidRDefault="003E24B5" w:rsidP="00F35FFC">
            <w:pPr>
              <w:pStyle w:val="ListParagraph"/>
              <w:spacing w:before="120" w:after="120"/>
              <w:ind w:left="360"/>
              <w:jc w:val="left"/>
              <w:rPr>
                <w:rFonts w:ascii="Calibri" w:hAnsi="Calibri"/>
                <w:szCs w:val="20"/>
              </w:rPr>
            </w:pPr>
          </w:p>
        </w:tc>
        <w:tc>
          <w:tcPr>
            <w:tcW w:w="1530" w:type="dxa"/>
            <w:shd w:val="clear" w:color="auto" w:fill="FFC000"/>
          </w:tcPr>
          <w:p w:rsidR="003E24B5" w:rsidRPr="00796ABF"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Conviction</w:t>
            </w:r>
          </w:p>
        </w:tc>
        <w:tc>
          <w:tcPr>
            <w:tcW w:w="3330" w:type="dxa"/>
            <w:shd w:val="clear" w:color="auto" w:fill="FFC000"/>
          </w:tcPr>
          <w:p w:rsidR="003E24B5" w:rsidRDefault="003E24B5" w:rsidP="00F35FFC">
            <w:pPr>
              <w:autoSpaceDE w:val="0"/>
              <w:autoSpaceDN w:val="0"/>
              <w:adjustRightInd w:val="0"/>
              <w:spacing w:before="120" w:after="120"/>
              <w:jc w:val="left"/>
              <w:rPr>
                <w:rFonts w:ascii="Calibri" w:hAnsi="Calibri"/>
                <w:szCs w:val="20"/>
              </w:rPr>
            </w:pPr>
            <w:r>
              <w:rPr>
                <w:rFonts w:ascii="Calibri" w:hAnsi="Calibri"/>
                <w:szCs w:val="20"/>
              </w:rPr>
              <w:t xml:space="preserve">Section 2 of the standard – </w:t>
            </w:r>
            <w:r>
              <w:rPr>
                <w:rFonts w:ascii="Calibri" w:hAnsi="Calibri"/>
                <w:i/>
                <w:szCs w:val="20"/>
              </w:rPr>
              <w:t>Application</w:t>
            </w:r>
            <w:r>
              <w:rPr>
                <w:rFonts w:ascii="Calibri" w:hAnsi="Calibri"/>
                <w:szCs w:val="20"/>
              </w:rPr>
              <w:t xml:space="preserve"> – includes the following control:</w:t>
            </w:r>
          </w:p>
          <w:p w:rsidR="003E24B5" w:rsidRPr="00070F71" w:rsidRDefault="003E24B5" w:rsidP="00F35FFC">
            <w:pPr>
              <w:autoSpaceDE w:val="0"/>
              <w:autoSpaceDN w:val="0"/>
              <w:adjustRightInd w:val="0"/>
              <w:spacing w:before="120" w:after="120"/>
              <w:jc w:val="left"/>
              <w:rPr>
                <w:rFonts w:ascii="Calibri" w:hAnsi="Calibri"/>
                <w:i/>
                <w:szCs w:val="20"/>
              </w:rPr>
            </w:pPr>
            <w:r w:rsidRPr="00070F71">
              <w:rPr>
                <w:rFonts w:ascii="Calibri" w:hAnsi="Calibri"/>
                <w:i/>
                <w:szCs w:val="20"/>
                <w:lang w:val="en-US"/>
              </w:rPr>
              <w:t>“The Interim industry Standard does not absolve collection locations, transporters or recyclers from any federal, state and/or municipal legislation and regulations applicable to their business operation. It is the responsibility of the operator to be aware of and abide by all such legislation and regulations.”</w:t>
            </w:r>
          </w:p>
        </w:tc>
        <w:tc>
          <w:tcPr>
            <w:tcW w:w="1440" w:type="dxa"/>
            <w:shd w:val="clear" w:color="auto" w:fill="FFC000"/>
          </w:tcPr>
          <w:p w:rsidR="003E24B5" w:rsidRDefault="003E24B5" w:rsidP="00F35FFC">
            <w:pPr>
              <w:spacing w:before="120" w:after="120"/>
              <w:jc w:val="left"/>
              <w:rPr>
                <w:rFonts w:ascii="Calibri" w:hAnsi="Calibri"/>
                <w:szCs w:val="20"/>
              </w:rPr>
            </w:pPr>
            <w:r>
              <w:rPr>
                <w:rFonts w:ascii="Calibri" w:hAnsi="Calibri"/>
                <w:szCs w:val="20"/>
              </w:rPr>
              <w:t xml:space="preserve">Adequate </w:t>
            </w:r>
          </w:p>
        </w:tc>
        <w:tc>
          <w:tcPr>
            <w:tcW w:w="990" w:type="dxa"/>
            <w:shd w:val="clear" w:color="auto" w:fill="FFC000"/>
          </w:tcPr>
          <w:p w:rsidR="003E24B5" w:rsidRDefault="003E24B5" w:rsidP="00F35FFC">
            <w:pPr>
              <w:spacing w:before="120" w:after="120"/>
              <w:jc w:val="left"/>
              <w:rPr>
                <w:rFonts w:ascii="Calibri" w:hAnsi="Calibri"/>
                <w:szCs w:val="20"/>
              </w:rPr>
            </w:pPr>
            <w:r>
              <w:rPr>
                <w:rFonts w:ascii="Calibri" w:hAnsi="Calibri"/>
                <w:szCs w:val="20"/>
              </w:rPr>
              <w:t>Unlikely</w:t>
            </w:r>
          </w:p>
        </w:tc>
        <w:tc>
          <w:tcPr>
            <w:tcW w:w="810" w:type="dxa"/>
            <w:shd w:val="clear" w:color="auto" w:fill="FFC000"/>
          </w:tcPr>
          <w:p w:rsidR="003E24B5" w:rsidRDefault="003E24B5" w:rsidP="00F35FFC">
            <w:pPr>
              <w:spacing w:before="120" w:after="120"/>
              <w:ind w:firstLine="3"/>
              <w:jc w:val="left"/>
              <w:rPr>
                <w:rFonts w:ascii="Calibri" w:hAnsi="Calibri"/>
                <w:szCs w:val="20"/>
              </w:rPr>
            </w:pPr>
            <w:r>
              <w:rPr>
                <w:rFonts w:ascii="Calibri" w:hAnsi="Calibri"/>
                <w:szCs w:val="20"/>
              </w:rPr>
              <w:t>Major</w:t>
            </w:r>
          </w:p>
        </w:tc>
        <w:tc>
          <w:tcPr>
            <w:tcW w:w="1080" w:type="dxa"/>
            <w:shd w:val="clear" w:color="auto" w:fill="FFC000"/>
          </w:tcPr>
          <w:p w:rsidR="003E24B5" w:rsidRDefault="003E24B5" w:rsidP="00F35FFC">
            <w:pPr>
              <w:spacing w:before="120" w:after="120"/>
              <w:jc w:val="left"/>
              <w:rPr>
                <w:rFonts w:ascii="Calibri" w:hAnsi="Calibri"/>
                <w:szCs w:val="20"/>
              </w:rPr>
            </w:pPr>
            <w:r>
              <w:rPr>
                <w:rFonts w:ascii="Calibri" w:hAnsi="Calibri"/>
                <w:szCs w:val="20"/>
              </w:rPr>
              <w:t>High</w:t>
            </w:r>
          </w:p>
        </w:tc>
      </w:tr>
      <w:tr w:rsidR="003E24B5" w:rsidTr="00493C8D">
        <w:trPr>
          <w:trHeight w:val="173"/>
        </w:trPr>
        <w:tc>
          <w:tcPr>
            <w:tcW w:w="15210" w:type="dxa"/>
            <w:gridSpan w:val="9"/>
          </w:tcPr>
          <w:p w:rsidR="003E24B5" w:rsidRDefault="003E24B5" w:rsidP="00F35FFC">
            <w:pPr>
              <w:spacing w:before="120" w:after="120"/>
              <w:jc w:val="left"/>
              <w:rPr>
                <w:rFonts w:ascii="Calibri" w:hAnsi="Calibri"/>
                <w:szCs w:val="20"/>
              </w:rPr>
            </w:pPr>
            <w:r w:rsidRPr="00635E42">
              <w:rPr>
                <w:rFonts w:ascii="Calibri" w:hAnsi="Calibri"/>
                <w:b/>
                <w:szCs w:val="20"/>
              </w:rPr>
              <w:t xml:space="preserve">Further Treatment </w:t>
            </w:r>
          </w:p>
        </w:tc>
      </w:tr>
      <w:tr w:rsidR="003E24B5" w:rsidTr="00493C8D">
        <w:trPr>
          <w:trHeight w:val="173"/>
        </w:trPr>
        <w:tc>
          <w:tcPr>
            <w:tcW w:w="15210" w:type="dxa"/>
            <w:gridSpan w:val="9"/>
          </w:tcPr>
          <w:p w:rsidR="003E24B5" w:rsidRDefault="003E24B5" w:rsidP="00F35FFC">
            <w:pPr>
              <w:spacing w:before="120" w:after="120"/>
              <w:jc w:val="left"/>
              <w:rPr>
                <w:rFonts w:ascii="Calibri" w:hAnsi="Calibri"/>
                <w:szCs w:val="20"/>
              </w:rPr>
            </w:pPr>
            <w:r>
              <w:rPr>
                <w:rFonts w:ascii="Calibri" w:hAnsi="Calibri"/>
                <w:szCs w:val="20"/>
              </w:rPr>
              <w:t xml:space="preserve">To ensure transporters and operators are fully aware of their regulatory requirements relating to the sale of hazardous waste, it is recommended that the requirements of the Hazardous Waste Act and how they apply to DIIS associated activities are included in the proposed training/familiarisation program suggested as an improvement measure in the risk treatment plan above. The approved arrangement should ensure that DSEWPaC is consulted in relation to all training material and provided the opportunity to participate. In addition DSEWPaC could provide guidance on the necessary due diligence required to ensure a breach does not occur. </w:t>
            </w:r>
          </w:p>
          <w:p w:rsidR="003E24B5" w:rsidRDefault="003E24B5" w:rsidP="00F35FFC">
            <w:pPr>
              <w:autoSpaceDE w:val="0"/>
              <w:autoSpaceDN w:val="0"/>
              <w:adjustRightInd w:val="0"/>
              <w:spacing w:before="120" w:after="120"/>
              <w:rPr>
                <w:rFonts w:ascii="Calibri" w:hAnsi="Calibri"/>
                <w:szCs w:val="20"/>
              </w:rPr>
            </w:pPr>
            <w:r w:rsidRPr="001C66C2">
              <w:rPr>
                <w:rFonts w:ascii="Calibri" w:hAnsi="Calibri"/>
                <w:b/>
                <w:szCs w:val="20"/>
              </w:rPr>
              <w:t>Timeframe for Implementation</w:t>
            </w:r>
            <w:r>
              <w:rPr>
                <w:rFonts w:ascii="Calibri" w:hAnsi="Calibri"/>
                <w:szCs w:val="20"/>
              </w:rPr>
              <w:t>: To coincide with the implementation of the Standard.</w:t>
            </w:r>
          </w:p>
          <w:p w:rsidR="003E24B5" w:rsidRDefault="003E24B5" w:rsidP="00F35FFC">
            <w:pPr>
              <w:autoSpaceDE w:val="0"/>
              <w:autoSpaceDN w:val="0"/>
              <w:adjustRightInd w:val="0"/>
              <w:spacing w:before="120" w:after="120"/>
              <w:rPr>
                <w:rFonts w:ascii="Calibri" w:hAnsi="Calibri"/>
                <w:szCs w:val="20"/>
              </w:rPr>
            </w:pPr>
            <w:r w:rsidRPr="001C66C2">
              <w:rPr>
                <w:rFonts w:ascii="Calibri" w:hAnsi="Calibri"/>
                <w:b/>
                <w:szCs w:val="20"/>
              </w:rPr>
              <w:t>Responsibility</w:t>
            </w:r>
            <w:r>
              <w:rPr>
                <w:rFonts w:ascii="Calibri" w:hAnsi="Calibri"/>
                <w:szCs w:val="20"/>
              </w:rPr>
              <w:t>: DSEWPaC</w:t>
            </w:r>
          </w:p>
          <w:p w:rsidR="003E24B5" w:rsidRDefault="003E24B5" w:rsidP="00F35FFC">
            <w:pPr>
              <w:spacing w:before="120" w:after="120"/>
              <w:jc w:val="left"/>
              <w:rPr>
                <w:rFonts w:ascii="Calibri" w:hAnsi="Calibri"/>
                <w:szCs w:val="20"/>
              </w:rPr>
            </w:pPr>
            <w:r w:rsidRPr="001C66C2">
              <w:rPr>
                <w:rFonts w:ascii="Calibri" w:hAnsi="Calibri"/>
                <w:b/>
                <w:i/>
                <w:szCs w:val="20"/>
              </w:rPr>
              <w:t>It should be noted that this risk is likely to remain “high” as the</w:t>
            </w:r>
            <w:r>
              <w:rPr>
                <w:rFonts w:ascii="Calibri" w:hAnsi="Calibri"/>
                <w:b/>
                <w:i/>
                <w:szCs w:val="20"/>
              </w:rPr>
              <w:t xml:space="preserve"> consequence will</w:t>
            </w:r>
            <w:r w:rsidRPr="001C66C2">
              <w:rPr>
                <w:rFonts w:ascii="Calibri" w:hAnsi="Calibri"/>
                <w:b/>
                <w:i/>
                <w:szCs w:val="20"/>
              </w:rPr>
              <w:t xml:space="preserve"> always </w:t>
            </w:r>
            <w:r>
              <w:rPr>
                <w:rFonts w:ascii="Calibri" w:hAnsi="Calibri"/>
                <w:b/>
                <w:i/>
                <w:szCs w:val="20"/>
              </w:rPr>
              <w:t>be major.</w:t>
            </w:r>
          </w:p>
        </w:tc>
      </w:tr>
      <w:tr w:rsidR="003E24B5" w:rsidTr="00493C8D">
        <w:trPr>
          <w:trHeight w:val="173"/>
        </w:trPr>
        <w:tc>
          <w:tcPr>
            <w:tcW w:w="1710" w:type="dxa"/>
            <w:shd w:val="solid" w:color="C0C0C0" w:fill="auto"/>
          </w:tcPr>
          <w:p w:rsidR="003E24B5" w:rsidRPr="00FC535A" w:rsidRDefault="003E24B5" w:rsidP="00F35FFC">
            <w:pPr>
              <w:spacing w:before="120" w:after="120"/>
              <w:jc w:val="center"/>
              <w:rPr>
                <w:rFonts w:ascii="Calibri" w:hAnsi="Calibri"/>
                <w:b/>
                <w:szCs w:val="20"/>
              </w:rPr>
            </w:pPr>
            <w:r>
              <w:lastRenderedPageBreak/>
              <w:br w:type="page"/>
            </w:r>
            <w:r>
              <w:rPr>
                <w:rFonts w:ascii="Calibri" w:hAnsi="Calibri"/>
                <w:b/>
                <w:szCs w:val="20"/>
              </w:rPr>
              <w:t>Risk Category</w:t>
            </w:r>
          </w:p>
        </w:tc>
        <w:tc>
          <w:tcPr>
            <w:tcW w:w="1746"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Description of risk</w:t>
            </w:r>
            <w:r w:rsidRPr="00FC535A">
              <w:rPr>
                <w:rFonts w:ascii="Calibri" w:hAnsi="Calibri"/>
                <w:b/>
                <w:sz w:val="18"/>
                <w:szCs w:val="18"/>
              </w:rPr>
              <w:br/>
              <w:t>(What can happen)</w:t>
            </w:r>
          </w:p>
        </w:tc>
        <w:tc>
          <w:tcPr>
            <w:tcW w:w="2574"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Potential causes/sources</w:t>
            </w:r>
            <w:r w:rsidRPr="00FC535A">
              <w:rPr>
                <w:rFonts w:ascii="Calibri" w:hAnsi="Calibri"/>
                <w:b/>
                <w:sz w:val="18"/>
                <w:szCs w:val="18"/>
              </w:rPr>
              <w:br/>
              <w:t>(of an event happening)</w:t>
            </w:r>
          </w:p>
        </w:tc>
        <w:tc>
          <w:tcPr>
            <w:tcW w:w="153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 xml:space="preserve">Potential impacts </w:t>
            </w:r>
            <w:r w:rsidRPr="00FC535A">
              <w:rPr>
                <w:rFonts w:ascii="Calibri" w:hAnsi="Calibri"/>
                <w:b/>
                <w:sz w:val="18"/>
                <w:szCs w:val="18"/>
              </w:rPr>
              <w:br/>
              <w:t>(if a risk event happens)</w:t>
            </w:r>
          </w:p>
        </w:tc>
        <w:tc>
          <w:tcPr>
            <w:tcW w:w="333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Existing controls</w:t>
            </w:r>
          </w:p>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(what is in place NOW to minimise risk)</w:t>
            </w:r>
          </w:p>
        </w:tc>
        <w:tc>
          <w:tcPr>
            <w:tcW w:w="1440" w:type="dxa"/>
            <w:shd w:val="solid" w:color="C0C0C0" w:fill="auto"/>
          </w:tcPr>
          <w:p w:rsidR="003E24B5" w:rsidRPr="00FC535A" w:rsidRDefault="003E24B5" w:rsidP="00F35FFC">
            <w:pPr>
              <w:spacing w:before="120" w:after="120"/>
              <w:jc w:val="center"/>
              <w:rPr>
                <w:rFonts w:ascii="Calibri" w:hAnsi="Calibri"/>
                <w:b/>
                <w:sz w:val="18"/>
                <w:szCs w:val="18"/>
                <w:vertAlign w:val="superscript"/>
              </w:rPr>
            </w:pPr>
            <w:r w:rsidRPr="00FC535A">
              <w:rPr>
                <w:rFonts w:ascii="Calibri" w:hAnsi="Calibri"/>
                <w:b/>
                <w:sz w:val="18"/>
                <w:szCs w:val="18"/>
              </w:rPr>
              <w:t>Control ratings</w:t>
            </w:r>
          </w:p>
        </w:tc>
        <w:tc>
          <w:tcPr>
            <w:tcW w:w="99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Likeli-hood</w:t>
            </w:r>
          </w:p>
        </w:tc>
        <w:tc>
          <w:tcPr>
            <w:tcW w:w="810" w:type="dxa"/>
            <w:shd w:val="solid" w:color="C0C0C0" w:fill="auto"/>
          </w:tcPr>
          <w:p w:rsidR="003E24B5" w:rsidRPr="00FC535A" w:rsidRDefault="003E24B5" w:rsidP="00F35FFC">
            <w:pPr>
              <w:spacing w:before="120" w:after="120"/>
              <w:ind w:right="-84"/>
              <w:jc w:val="center"/>
              <w:rPr>
                <w:rFonts w:ascii="Calibri" w:hAnsi="Calibri"/>
                <w:b/>
                <w:sz w:val="18"/>
                <w:szCs w:val="18"/>
              </w:rPr>
            </w:pPr>
            <w:r w:rsidRPr="00FC535A">
              <w:rPr>
                <w:rFonts w:ascii="Calibri" w:hAnsi="Calibri"/>
                <w:b/>
                <w:sz w:val="18"/>
                <w:szCs w:val="18"/>
              </w:rPr>
              <w:t>Conse-quence</w:t>
            </w:r>
          </w:p>
        </w:tc>
        <w:tc>
          <w:tcPr>
            <w:tcW w:w="108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Risk Level</w:t>
            </w:r>
          </w:p>
        </w:tc>
      </w:tr>
      <w:tr w:rsidR="003E24B5" w:rsidTr="00493C8D">
        <w:trPr>
          <w:trHeight w:val="173"/>
        </w:trPr>
        <w:tc>
          <w:tcPr>
            <w:tcW w:w="1710" w:type="dxa"/>
            <w:shd w:val="clear" w:color="auto" w:fill="FFC000"/>
          </w:tcPr>
          <w:p w:rsidR="003E24B5" w:rsidRDefault="003E24B5" w:rsidP="00F35FFC">
            <w:pPr>
              <w:jc w:val="left"/>
              <w:rPr>
                <w:rFonts w:ascii="Calibri" w:hAnsi="Calibri" w:cs="Calibri"/>
                <w:b/>
                <w:bCs/>
                <w:i/>
                <w:iCs/>
                <w:color w:val="000000"/>
                <w:sz w:val="22"/>
              </w:rPr>
            </w:pPr>
            <w:r>
              <w:rPr>
                <w:rFonts w:ascii="Calibri" w:hAnsi="Calibri" w:cs="Calibri"/>
                <w:b/>
                <w:bCs/>
                <w:i/>
                <w:iCs/>
                <w:color w:val="000000"/>
                <w:sz w:val="22"/>
              </w:rPr>
              <w:t>Basel Convention Article 4(b)</w:t>
            </w:r>
          </w:p>
        </w:tc>
        <w:tc>
          <w:tcPr>
            <w:tcW w:w="1746" w:type="dxa"/>
            <w:shd w:val="clear" w:color="auto" w:fill="FFC000"/>
          </w:tcPr>
          <w:p w:rsidR="003E24B5" w:rsidRDefault="003E24B5" w:rsidP="00F35FFC">
            <w:pPr>
              <w:spacing w:before="120" w:after="120"/>
              <w:jc w:val="left"/>
              <w:rPr>
                <w:rFonts w:ascii="Calibri" w:hAnsi="Calibri"/>
                <w:i/>
                <w:szCs w:val="20"/>
              </w:rPr>
            </w:pPr>
            <w:r w:rsidRPr="001A2696">
              <w:rPr>
                <w:rFonts w:ascii="Calibri" w:hAnsi="Calibri"/>
                <w:i/>
                <w:szCs w:val="20"/>
              </w:rPr>
              <w:t>Parties shall prohibit or shall not permit the export of hazardous wastes and other wastes to the Parties which have prohibited the import of such wastes</w:t>
            </w:r>
          </w:p>
        </w:tc>
        <w:tc>
          <w:tcPr>
            <w:tcW w:w="2574" w:type="dxa"/>
            <w:shd w:val="clear" w:color="auto" w:fill="FFC000"/>
          </w:tcPr>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 xml:space="preserve">Prohibited waste exported </w:t>
            </w:r>
          </w:p>
        </w:tc>
        <w:tc>
          <w:tcPr>
            <w:tcW w:w="1530" w:type="dxa"/>
            <w:shd w:val="clear" w:color="auto" w:fill="FFC000"/>
          </w:tcPr>
          <w:p w:rsidR="003E24B5" w:rsidRPr="00796ABF"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Contravention of Basel Convention</w:t>
            </w:r>
          </w:p>
        </w:tc>
        <w:tc>
          <w:tcPr>
            <w:tcW w:w="3330" w:type="dxa"/>
            <w:shd w:val="clear" w:color="auto" w:fill="FFC000"/>
          </w:tcPr>
          <w:p w:rsidR="003E24B5" w:rsidRDefault="003E24B5" w:rsidP="00F35FFC">
            <w:pPr>
              <w:autoSpaceDE w:val="0"/>
              <w:autoSpaceDN w:val="0"/>
              <w:adjustRightInd w:val="0"/>
              <w:spacing w:before="120" w:after="120"/>
              <w:jc w:val="left"/>
              <w:rPr>
                <w:rFonts w:ascii="Calibri" w:hAnsi="Calibri"/>
                <w:szCs w:val="20"/>
              </w:rPr>
            </w:pPr>
            <w:r>
              <w:rPr>
                <w:rFonts w:ascii="Calibri" w:hAnsi="Calibri"/>
                <w:szCs w:val="20"/>
              </w:rPr>
              <w:t xml:space="preserve">Compliance with Section 40A of the Hazardous </w:t>
            </w:r>
            <w:r w:rsidRPr="001A2696">
              <w:rPr>
                <w:rFonts w:ascii="Calibri" w:hAnsi="Calibri"/>
                <w:bCs/>
                <w:iCs/>
                <w:szCs w:val="20"/>
                <w:lang w:val="en-US"/>
              </w:rPr>
              <w:t xml:space="preserve">Waste (Regulation of Exports and Imports) Act 1989 </w:t>
            </w:r>
          </w:p>
        </w:tc>
        <w:tc>
          <w:tcPr>
            <w:tcW w:w="1440" w:type="dxa"/>
            <w:shd w:val="clear" w:color="auto" w:fill="FFC000"/>
          </w:tcPr>
          <w:p w:rsidR="003E24B5" w:rsidRDefault="003E24B5" w:rsidP="00F35FFC">
            <w:pPr>
              <w:spacing w:before="120" w:after="120"/>
              <w:jc w:val="left"/>
              <w:rPr>
                <w:rFonts w:ascii="Calibri" w:hAnsi="Calibri"/>
                <w:szCs w:val="20"/>
              </w:rPr>
            </w:pPr>
            <w:r>
              <w:rPr>
                <w:rFonts w:ascii="Calibri" w:hAnsi="Calibri"/>
                <w:szCs w:val="20"/>
              </w:rPr>
              <w:t xml:space="preserve">Adequate </w:t>
            </w:r>
          </w:p>
        </w:tc>
        <w:tc>
          <w:tcPr>
            <w:tcW w:w="990" w:type="dxa"/>
            <w:shd w:val="clear" w:color="auto" w:fill="FFC000"/>
          </w:tcPr>
          <w:p w:rsidR="003E24B5" w:rsidRDefault="003E24B5" w:rsidP="00F35FFC">
            <w:pPr>
              <w:spacing w:before="120" w:after="120"/>
              <w:jc w:val="left"/>
              <w:rPr>
                <w:rFonts w:ascii="Calibri" w:hAnsi="Calibri"/>
                <w:szCs w:val="20"/>
              </w:rPr>
            </w:pPr>
            <w:r>
              <w:rPr>
                <w:rFonts w:ascii="Calibri" w:hAnsi="Calibri"/>
                <w:szCs w:val="20"/>
              </w:rPr>
              <w:t>Unlikely</w:t>
            </w:r>
          </w:p>
        </w:tc>
        <w:tc>
          <w:tcPr>
            <w:tcW w:w="810" w:type="dxa"/>
            <w:shd w:val="clear" w:color="auto" w:fill="FFC000"/>
          </w:tcPr>
          <w:p w:rsidR="003E24B5" w:rsidRDefault="003E24B5" w:rsidP="00F35FFC">
            <w:pPr>
              <w:spacing w:before="120" w:after="120"/>
              <w:ind w:firstLine="3"/>
              <w:jc w:val="left"/>
              <w:rPr>
                <w:rFonts w:ascii="Calibri" w:hAnsi="Calibri"/>
                <w:szCs w:val="20"/>
              </w:rPr>
            </w:pPr>
            <w:r>
              <w:rPr>
                <w:rFonts w:ascii="Calibri" w:hAnsi="Calibri"/>
                <w:szCs w:val="20"/>
              </w:rPr>
              <w:t>Major</w:t>
            </w:r>
          </w:p>
        </w:tc>
        <w:tc>
          <w:tcPr>
            <w:tcW w:w="1080" w:type="dxa"/>
            <w:shd w:val="clear" w:color="auto" w:fill="FFC000"/>
          </w:tcPr>
          <w:p w:rsidR="003E24B5" w:rsidRDefault="003E24B5" w:rsidP="00F35FFC">
            <w:pPr>
              <w:spacing w:before="120" w:after="120"/>
              <w:jc w:val="left"/>
              <w:rPr>
                <w:rFonts w:ascii="Calibri" w:hAnsi="Calibri"/>
                <w:szCs w:val="20"/>
              </w:rPr>
            </w:pPr>
            <w:r>
              <w:rPr>
                <w:rFonts w:ascii="Calibri" w:hAnsi="Calibri"/>
                <w:szCs w:val="20"/>
              </w:rPr>
              <w:t>High</w:t>
            </w:r>
          </w:p>
        </w:tc>
      </w:tr>
      <w:tr w:rsidR="003E24B5" w:rsidTr="00493C8D">
        <w:trPr>
          <w:trHeight w:val="173"/>
        </w:trPr>
        <w:tc>
          <w:tcPr>
            <w:tcW w:w="15210" w:type="dxa"/>
            <w:gridSpan w:val="9"/>
          </w:tcPr>
          <w:p w:rsidR="003E24B5" w:rsidRDefault="003E24B5" w:rsidP="00F35FFC">
            <w:pPr>
              <w:spacing w:before="120" w:after="120"/>
              <w:jc w:val="left"/>
              <w:rPr>
                <w:rFonts w:ascii="Calibri" w:hAnsi="Calibri"/>
                <w:szCs w:val="20"/>
              </w:rPr>
            </w:pPr>
            <w:r w:rsidRPr="00635E42">
              <w:rPr>
                <w:rFonts w:ascii="Calibri" w:hAnsi="Calibri"/>
                <w:b/>
                <w:szCs w:val="20"/>
              </w:rPr>
              <w:t xml:space="preserve">Further Treatment </w:t>
            </w:r>
          </w:p>
        </w:tc>
      </w:tr>
      <w:tr w:rsidR="003E24B5" w:rsidTr="00493C8D">
        <w:trPr>
          <w:trHeight w:val="173"/>
        </w:trPr>
        <w:tc>
          <w:tcPr>
            <w:tcW w:w="15210" w:type="dxa"/>
            <w:gridSpan w:val="9"/>
          </w:tcPr>
          <w:p w:rsidR="003E24B5" w:rsidRDefault="003E24B5" w:rsidP="00440226">
            <w:pPr>
              <w:spacing w:before="120" w:after="120"/>
              <w:jc w:val="left"/>
              <w:rPr>
                <w:rFonts w:ascii="Calibri" w:hAnsi="Calibri"/>
                <w:szCs w:val="20"/>
              </w:rPr>
            </w:pPr>
            <w:r>
              <w:rPr>
                <w:rFonts w:ascii="Calibri" w:hAnsi="Calibri"/>
                <w:szCs w:val="20"/>
              </w:rPr>
              <w:t xml:space="preserve">To ensure transporters and operators do not </w:t>
            </w:r>
            <w:r w:rsidRPr="00315BD0">
              <w:rPr>
                <w:rFonts w:ascii="Calibri" w:hAnsi="Calibri"/>
                <w:szCs w:val="20"/>
              </w:rPr>
              <w:t xml:space="preserve">contravene </w:t>
            </w:r>
            <w:r w:rsidRPr="00315BD0">
              <w:rPr>
                <w:rFonts w:ascii="Calibri" w:hAnsi="Calibri"/>
                <w:bCs/>
                <w:i/>
                <w:iCs/>
                <w:szCs w:val="20"/>
              </w:rPr>
              <w:t>Basel Convention on the Control of Transboundary Movements of Hazardous Wastes and their Disposal</w:t>
            </w:r>
            <w:r w:rsidRPr="00315BD0">
              <w:rPr>
                <w:rFonts w:ascii="Calibri" w:hAnsi="Calibri"/>
                <w:b/>
                <w:bCs/>
                <w:i/>
                <w:iCs/>
                <w:szCs w:val="20"/>
              </w:rPr>
              <w:t xml:space="preserve"> </w:t>
            </w:r>
            <w:r>
              <w:rPr>
                <w:rFonts w:ascii="Calibri" w:hAnsi="Calibri"/>
                <w:szCs w:val="20"/>
              </w:rPr>
              <w:t xml:space="preserve">it is recommended that the requirements of the Hazardous Waste Act and the Basel Convention are included in the proposed training/familiarisation program suggested as an improvement measure in the risk treatment plan above. The approved arrangement should ensure that DSEWPaC is consulted in relation to all training material and provided the opportunity to participate. </w:t>
            </w:r>
          </w:p>
          <w:p w:rsidR="003E24B5" w:rsidRDefault="003E24B5" w:rsidP="00F35FFC">
            <w:pPr>
              <w:autoSpaceDE w:val="0"/>
              <w:autoSpaceDN w:val="0"/>
              <w:adjustRightInd w:val="0"/>
              <w:spacing w:before="120" w:after="120"/>
              <w:rPr>
                <w:rFonts w:ascii="Calibri" w:hAnsi="Calibri"/>
                <w:szCs w:val="20"/>
              </w:rPr>
            </w:pPr>
            <w:r w:rsidRPr="001C66C2">
              <w:rPr>
                <w:rFonts w:ascii="Calibri" w:hAnsi="Calibri"/>
                <w:b/>
                <w:szCs w:val="20"/>
              </w:rPr>
              <w:t>Timeframe for Implementation</w:t>
            </w:r>
            <w:r>
              <w:rPr>
                <w:rFonts w:ascii="Calibri" w:hAnsi="Calibri"/>
                <w:szCs w:val="20"/>
              </w:rPr>
              <w:t>: To coincide with the implementation of the Standard.</w:t>
            </w:r>
          </w:p>
          <w:p w:rsidR="003E24B5" w:rsidRDefault="003E24B5" w:rsidP="00F35FFC">
            <w:pPr>
              <w:autoSpaceDE w:val="0"/>
              <w:autoSpaceDN w:val="0"/>
              <w:adjustRightInd w:val="0"/>
              <w:spacing w:before="120" w:after="120"/>
              <w:rPr>
                <w:rFonts w:ascii="Calibri" w:hAnsi="Calibri"/>
                <w:szCs w:val="20"/>
              </w:rPr>
            </w:pPr>
            <w:r w:rsidRPr="001C66C2">
              <w:rPr>
                <w:rFonts w:ascii="Calibri" w:hAnsi="Calibri"/>
                <w:b/>
                <w:szCs w:val="20"/>
              </w:rPr>
              <w:t>Responsibility</w:t>
            </w:r>
            <w:r>
              <w:rPr>
                <w:rFonts w:ascii="Calibri" w:hAnsi="Calibri"/>
                <w:szCs w:val="20"/>
              </w:rPr>
              <w:t xml:space="preserve">: DSEWPaC and the approved arrangement. </w:t>
            </w:r>
          </w:p>
          <w:p w:rsidR="003E24B5" w:rsidRDefault="003E24B5" w:rsidP="00F35FFC">
            <w:pPr>
              <w:spacing w:before="120" w:after="120"/>
              <w:jc w:val="left"/>
              <w:rPr>
                <w:rFonts w:ascii="Calibri" w:hAnsi="Calibri"/>
                <w:szCs w:val="20"/>
              </w:rPr>
            </w:pPr>
            <w:r w:rsidRPr="001C66C2">
              <w:rPr>
                <w:rFonts w:ascii="Calibri" w:hAnsi="Calibri"/>
                <w:b/>
                <w:i/>
                <w:szCs w:val="20"/>
              </w:rPr>
              <w:t>It should be noted that this risk is likely to remain “high” as the</w:t>
            </w:r>
            <w:r>
              <w:rPr>
                <w:rFonts w:ascii="Calibri" w:hAnsi="Calibri"/>
                <w:b/>
                <w:i/>
                <w:szCs w:val="20"/>
              </w:rPr>
              <w:t xml:space="preserve"> consequence will</w:t>
            </w:r>
            <w:r w:rsidRPr="001C66C2">
              <w:rPr>
                <w:rFonts w:ascii="Calibri" w:hAnsi="Calibri"/>
                <w:b/>
                <w:i/>
                <w:szCs w:val="20"/>
              </w:rPr>
              <w:t xml:space="preserve"> always </w:t>
            </w:r>
            <w:r>
              <w:rPr>
                <w:rFonts w:ascii="Calibri" w:hAnsi="Calibri"/>
                <w:b/>
                <w:i/>
                <w:szCs w:val="20"/>
              </w:rPr>
              <w:t>be major.</w:t>
            </w:r>
          </w:p>
        </w:tc>
      </w:tr>
    </w:tbl>
    <w:p w:rsidR="003E24B5" w:rsidRDefault="003E24B5" w:rsidP="00355341">
      <w:r>
        <w:br w:type="page"/>
      </w:r>
    </w:p>
    <w:tbl>
      <w:tblPr>
        <w:tblW w:w="152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0"/>
        <w:gridCol w:w="2491"/>
        <w:gridCol w:w="1829"/>
        <w:gridCol w:w="1530"/>
        <w:gridCol w:w="3330"/>
        <w:gridCol w:w="1440"/>
        <w:gridCol w:w="990"/>
        <w:gridCol w:w="810"/>
        <w:gridCol w:w="1080"/>
      </w:tblGrid>
      <w:tr w:rsidR="003E24B5" w:rsidTr="00F35FFC">
        <w:trPr>
          <w:trHeight w:val="173"/>
          <w:tblHeader/>
        </w:trPr>
        <w:tc>
          <w:tcPr>
            <w:tcW w:w="1710" w:type="dxa"/>
            <w:shd w:val="solid" w:color="C0C0C0" w:fill="auto"/>
          </w:tcPr>
          <w:p w:rsidR="003E24B5" w:rsidRPr="00FC535A" w:rsidRDefault="003E24B5" w:rsidP="00F35FFC">
            <w:pPr>
              <w:spacing w:before="120" w:after="120"/>
              <w:jc w:val="center"/>
              <w:rPr>
                <w:rFonts w:ascii="Calibri" w:hAnsi="Calibri"/>
                <w:b/>
                <w:szCs w:val="20"/>
              </w:rPr>
            </w:pPr>
            <w:r>
              <w:rPr>
                <w:rFonts w:ascii="Calibri" w:hAnsi="Calibri"/>
                <w:b/>
                <w:szCs w:val="20"/>
              </w:rPr>
              <w:lastRenderedPageBreak/>
              <w:t>Risk Category</w:t>
            </w:r>
          </w:p>
        </w:tc>
        <w:tc>
          <w:tcPr>
            <w:tcW w:w="2491"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Description of risk</w:t>
            </w:r>
            <w:r w:rsidRPr="00FC535A">
              <w:rPr>
                <w:rFonts w:ascii="Calibri" w:hAnsi="Calibri"/>
                <w:b/>
                <w:sz w:val="18"/>
                <w:szCs w:val="18"/>
              </w:rPr>
              <w:br/>
              <w:t>(What can happen)</w:t>
            </w:r>
          </w:p>
        </w:tc>
        <w:tc>
          <w:tcPr>
            <w:tcW w:w="1829"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Potential causes/sources</w:t>
            </w:r>
            <w:r w:rsidRPr="00FC535A">
              <w:rPr>
                <w:rFonts w:ascii="Calibri" w:hAnsi="Calibri"/>
                <w:b/>
                <w:sz w:val="18"/>
                <w:szCs w:val="18"/>
              </w:rPr>
              <w:br/>
              <w:t>(of an event happening)</w:t>
            </w:r>
          </w:p>
        </w:tc>
        <w:tc>
          <w:tcPr>
            <w:tcW w:w="153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 xml:space="preserve">Potential impacts </w:t>
            </w:r>
            <w:r w:rsidRPr="00FC535A">
              <w:rPr>
                <w:rFonts w:ascii="Calibri" w:hAnsi="Calibri"/>
                <w:b/>
                <w:sz w:val="18"/>
                <w:szCs w:val="18"/>
              </w:rPr>
              <w:br/>
              <w:t>(if a risk event happens)</w:t>
            </w:r>
          </w:p>
        </w:tc>
        <w:tc>
          <w:tcPr>
            <w:tcW w:w="333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Existing controls</w:t>
            </w:r>
          </w:p>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(what is in place NOW to minimise risk)</w:t>
            </w:r>
          </w:p>
        </w:tc>
        <w:tc>
          <w:tcPr>
            <w:tcW w:w="1440" w:type="dxa"/>
            <w:shd w:val="solid" w:color="C0C0C0" w:fill="auto"/>
          </w:tcPr>
          <w:p w:rsidR="003E24B5" w:rsidRPr="00FC535A" w:rsidRDefault="003E24B5" w:rsidP="00F35FFC">
            <w:pPr>
              <w:spacing w:before="120" w:after="120"/>
              <w:jc w:val="center"/>
              <w:rPr>
                <w:rFonts w:ascii="Calibri" w:hAnsi="Calibri"/>
                <w:b/>
                <w:sz w:val="18"/>
                <w:szCs w:val="18"/>
                <w:vertAlign w:val="superscript"/>
              </w:rPr>
            </w:pPr>
            <w:r w:rsidRPr="00FC535A">
              <w:rPr>
                <w:rFonts w:ascii="Calibri" w:hAnsi="Calibri"/>
                <w:b/>
                <w:sz w:val="18"/>
                <w:szCs w:val="18"/>
              </w:rPr>
              <w:t>Control ratings</w:t>
            </w:r>
          </w:p>
        </w:tc>
        <w:tc>
          <w:tcPr>
            <w:tcW w:w="99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Likeli-hood</w:t>
            </w:r>
          </w:p>
        </w:tc>
        <w:tc>
          <w:tcPr>
            <w:tcW w:w="810" w:type="dxa"/>
            <w:shd w:val="solid" w:color="C0C0C0" w:fill="auto"/>
          </w:tcPr>
          <w:p w:rsidR="003E24B5" w:rsidRPr="00FC535A" w:rsidRDefault="003E24B5" w:rsidP="00F35FFC">
            <w:pPr>
              <w:spacing w:before="120" w:after="120"/>
              <w:ind w:right="-84"/>
              <w:jc w:val="center"/>
              <w:rPr>
                <w:rFonts w:ascii="Calibri" w:hAnsi="Calibri"/>
                <w:b/>
                <w:sz w:val="18"/>
                <w:szCs w:val="18"/>
              </w:rPr>
            </w:pPr>
            <w:r w:rsidRPr="00FC535A">
              <w:rPr>
                <w:rFonts w:ascii="Calibri" w:hAnsi="Calibri"/>
                <w:b/>
                <w:sz w:val="18"/>
                <w:szCs w:val="18"/>
              </w:rPr>
              <w:t>Conse-quence</w:t>
            </w:r>
          </w:p>
        </w:tc>
        <w:tc>
          <w:tcPr>
            <w:tcW w:w="108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Risk Level</w:t>
            </w:r>
          </w:p>
        </w:tc>
      </w:tr>
      <w:tr w:rsidR="003E24B5" w:rsidTr="00F35FFC">
        <w:trPr>
          <w:trHeight w:val="173"/>
        </w:trPr>
        <w:tc>
          <w:tcPr>
            <w:tcW w:w="1710" w:type="dxa"/>
            <w:shd w:val="clear" w:color="auto" w:fill="FFC000"/>
          </w:tcPr>
          <w:p w:rsidR="003E24B5" w:rsidRPr="00B727DC" w:rsidRDefault="003E24B5" w:rsidP="00F35FFC">
            <w:pPr>
              <w:jc w:val="left"/>
              <w:rPr>
                <w:rFonts w:ascii="Calibri" w:hAnsi="Calibri" w:cs="Calibri"/>
                <w:b/>
                <w:bCs/>
                <w:i/>
                <w:iCs/>
                <w:color w:val="000000"/>
                <w:szCs w:val="20"/>
              </w:rPr>
            </w:pPr>
            <w:r w:rsidRPr="00B727DC">
              <w:rPr>
                <w:rFonts w:ascii="Calibri" w:hAnsi="Calibri" w:cs="Calibri"/>
                <w:b/>
                <w:bCs/>
                <w:i/>
                <w:iCs/>
                <w:color w:val="000000"/>
                <w:szCs w:val="20"/>
              </w:rPr>
              <w:t>Basel Convention</w:t>
            </w:r>
          </w:p>
          <w:p w:rsidR="003E24B5" w:rsidRPr="00B727DC" w:rsidRDefault="003E24B5" w:rsidP="00F35FFC">
            <w:pPr>
              <w:jc w:val="left"/>
              <w:rPr>
                <w:rFonts w:ascii="Calibri" w:hAnsi="Calibri" w:cs="Calibri"/>
                <w:b/>
                <w:bCs/>
                <w:i/>
                <w:iCs/>
                <w:color w:val="000000"/>
                <w:szCs w:val="20"/>
              </w:rPr>
            </w:pPr>
            <w:r w:rsidRPr="00B727DC">
              <w:rPr>
                <w:rFonts w:ascii="Calibri" w:hAnsi="Calibri" w:cs="Calibri"/>
                <w:b/>
                <w:bCs/>
                <w:i/>
                <w:iCs/>
                <w:color w:val="000000"/>
                <w:szCs w:val="20"/>
              </w:rPr>
              <w:t xml:space="preserve">Article 6 </w:t>
            </w:r>
          </w:p>
          <w:p w:rsidR="003E24B5" w:rsidRPr="00B727DC" w:rsidRDefault="003E24B5" w:rsidP="00F35FFC">
            <w:pPr>
              <w:jc w:val="left"/>
              <w:rPr>
                <w:rFonts w:ascii="Calibri" w:hAnsi="Calibri" w:cs="Calibri"/>
                <w:b/>
                <w:bCs/>
                <w:iCs/>
                <w:color w:val="000000"/>
                <w:szCs w:val="20"/>
                <w:lang w:val="en-GB"/>
              </w:rPr>
            </w:pPr>
            <w:r w:rsidRPr="00B727DC">
              <w:rPr>
                <w:rFonts w:ascii="Calibri" w:hAnsi="Calibri" w:cs="Calibri"/>
                <w:b/>
                <w:bCs/>
                <w:iCs/>
                <w:color w:val="000000"/>
                <w:szCs w:val="20"/>
                <w:lang w:val="en-GB"/>
              </w:rPr>
              <w:t>Transboundary Movement between Parties</w:t>
            </w:r>
          </w:p>
          <w:p w:rsidR="003E24B5" w:rsidRDefault="003E24B5" w:rsidP="00F35FFC">
            <w:pPr>
              <w:jc w:val="left"/>
              <w:rPr>
                <w:rFonts w:ascii="Calibri" w:hAnsi="Calibri" w:cs="Calibri"/>
                <w:b/>
                <w:bCs/>
                <w:i/>
                <w:iCs/>
                <w:color w:val="000000"/>
                <w:sz w:val="22"/>
              </w:rPr>
            </w:pPr>
          </w:p>
        </w:tc>
        <w:tc>
          <w:tcPr>
            <w:tcW w:w="2491" w:type="dxa"/>
            <w:shd w:val="clear" w:color="auto" w:fill="FFC000"/>
          </w:tcPr>
          <w:p w:rsidR="003E24B5" w:rsidRPr="001A2696" w:rsidRDefault="003E24B5" w:rsidP="00F35FFC">
            <w:pPr>
              <w:spacing w:before="120" w:after="120"/>
              <w:jc w:val="left"/>
              <w:rPr>
                <w:rFonts w:ascii="Calibri" w:hAnsi="Calibri"/>
                <w:i/>
                <w:szCs w:val="20"/>
                <w:lang w:val="en-GB"/>
              </w:rPr>
            </w:pPr>
            <w:r w:rsidRPr="001A2696">
              <w:rPr>
                <w:rFonts w:ascii="Calibri" w:hAnsi="Calibri"/>
                <w:i/>
                <w:szCs w:val="20"/>
                <w:lang w:val="en-GB"/>
              </w:rPr>
              <w:t>The State of export shall not allow the generator or exporter to commence the transboundary movement until it has received written confirmation that:</w:t>
            </w:r>
          </w:p>
          <w:p w:rsidR="003E24B5" w:rsidRPr="001A2696" w:rsidRDefault="003E24B5" w:rsidP="00F35FFC">
            <w:pPr>
              <w:spacing w:before="120" w:after="120"/>
              <w:jc w:val="left"/>
              <w:rPr>
                <w:rFonts w:ascii="Calibri" w:hAnsi="Calibri"/>
                <w:i/>
                <w:szCs w:val="20"/>
                <w:lang w:val="en-GB"/>
              </w:rPr>
            </w:pPr>
            <w:r>
              <w:rPr>
                <w:rFonts w:ascii="Calibri" w:hAnsi="Calibri"/>
                <w:i/>
                <w:szCs w:val="20"/>
                <w:lang w:val="en-GB"/>
              </w:rPr>
              <w:t xml:space="preserve">(a) </w:t>
            </w:r>
            <w:r w:rsidRPr="001A2696">
              <w:rPr>
                <w:rFonts w:ascii="Calibri" w:hAnsi="Calibri"/>
                <w:i/>
                <w:szCs w:val="20"/>
                <w:lang w:val="en-GB"/>
              </w:rPr>
              <w:t>The notifier has received the written consent of the State of import; and</w:t>
            </w:r>
          </w:p>
          <w:p w:rsidR="003E24B5" w:rsidRDefault="003E24B5" w:rsidP="00F35FFC">
            <w:pPr>
              <w:spacing w:before="120" w:after="120"/>
              <w:jc w:val="left"/>
              <w:rPr>
                <w:rFonts w:ascii="Calibri" w:hAnsi="Calibri"/>
                <w:i/>
                <w:szCs w:val="20"/>
              </w:rPr>
            </w:pPr>
            <w:r>
              <w:rPr>
                <w:rFonts w:ascii="Calibri" w:hAnsi="Calibri"/>
                <w:i/>
                <w:szCs w:val="20"/>
                <w:lang w:val="en-GB"/>
              </w:rPr>
              <w:t xml:space="preserve">(b) </w:t>
            </w:r>
            <w:r w:rsidRPr="001A2696">
              <w:rPr>
                <w:rFonts w:ascii="Calibri" w:hAnsi="Calibri"/>
                <w:i/>
                <w:szCs w:val="20"/>
                <w:lang w:val="en-GB"/>
              </w:rPr>
              <w:t>The notifier has received from the State of import confirmation of the existence of a contract between the exporter and the disposer specifying environmentally sound management of the wastes in question.</w:t>
            </w:r>
          </w:p>
        </w:tc>
        <w:tc>
          <w:tcPr>
            <w:tcW w:w="1829" w:type="dxa"/>
            <w:shd w:val="clear" w:color="auto" w:fill="FFC000"/>
          </w:tcPr>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Waste exported prior to receiving written consent</w:t>
            </w:r>
          </w:p>
        </w:tc>
        <w:tc>
          <w:tcPr>
            <w:tcW w:w="1530" w:type="dxa"/>
            <w:shd w:val="clear" w:color="auto" w:fill="FFC000"/>
          </w:tcPr>
          <w:p w:rsidR="003E24B5" w:rsidRPr="00796ABF"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Contravention of Basel Convention</w:t>
            </w:r>
          </w:p>
        </w:tc>
        <w:tc>
          <w:tcPr>
            <w:tcW w:w="3330" w:type="dxa"/>
            <w:shd w:val="clear" w:color="auto" w:fill="FFC000"/>
          </w:tcPr>
          <w:p w:rsidR="003E24B5" w:rsidRDefault="003E24B5" w:rsidP="00F35FFC">
            <w:pPr>
              <w:autoSpaceDE w:val="0"/>
              <w:autoSpaceDN w:val="0"/>
              <w:adjustRightInd w:val="0"/>
              <w:spacing w:before="120" w:after="120"/>
              <w:jc w:val="left"/>
              <w:rPr>
                <w:rFonts w:ascii="Calibri" w:hAnsi="Calibri"/>
                <w:szCs w:val="20"/>
              </w:rPr>
            </w:pPr>
            <w:r>
              <w:rPr>
                <w:rFonts w:ascii="Calibri" w:hAnsi="Calibri"/>
                <w:szCs w:val="20"/>
              </w:rPr>
              <w:t xml:space="preserve">Compliance with Section 40A of the Hazardous </w:t>
            </w:r>
            <w:r w:rsidRPr="001A2696">
              <w:rPr>
                <w:rFonts w:ascii="Calibri" w:hAnsi="Calibri"/>
                <w:bCs/>
                <w:iCs/>
                <w:szCs w:val="20"/>
                <w:lang w:val="en-US"/>
              </w:rPr>
              <w:t>Waste (Regulation of Exports and Imports) Act 1989</w:t>
            </w:r>
          </w:p>
        </w:tc>
        <w:tc>
          <w:tcPr>
            <w:tcW w:w="1440" w:type="dxa"/>
            <w:shd w:val="clear" w:color="auto" w:fill="FFC000"/>
          </w:tcPr>
          <w:p w:rsidR="003E24B5" w:rsidRDefault="003E24B5" w:rsidP="00F35FFC">
            <w:pPr>
              <w:spacing w:before="120" w:after="120"/>
              <w:jc w:val="left"/>
              <w:rPr>
                <w:rFonts w:ascii="Calibri" w:hAnsi="Calibri"/>
                <w:szCs w:val="20"/>
              </w:rPr>
            </w:pPr>
            <w:r>
              <w:rPr>
                <w:rFonts w:ascii="Calibri" w:hAnsi="Calibri"/>
                <w:szCs w:val="20"/>
              </w:rPr>
              <w:t xml:space="preserve">Adequate </w:t>
            </w:r>
          </w:p>
        </w:tc>
        <w:tc>
          <w:tcPr>
            <w:tcW w:w="990" w:type="dxa"/>
            <w:shd w:val="clear" w:color="auto" w:fill="FFC000"/>
          </w:tcPr>
          <w:p w:rsidR="003E24B5" w:rsidRDefault="003E24B5" w:rsidP="00F35FFC">
            <w:pPr>
              <w:spacing w:before="120" w:after="120"/>
              <w:jc w:val="left"/>
              <w:rPr>
                <w:rFonts w:ascii="Calibri" w:hAnsi="Calibri"/>
                <w:szCs w:val="20"/>
              </w:rPr>
            </w:pPr>
            <w:r>
              <w:rPr>
                <w:rFonts w:ascii="Calibri" w:hAnsi="Calibri"/>
                <w:szCs w:val="20"/>
              </w:rPr>
              <w:t>Unlikely</w:t>
            </w:r>
          </w:p>
        </w:tc>
        <w:tc>
          <w:tcPr>
            <w:tcW w:w="810" w:type="dxa"/>
            <w:shd w:val="clear" w:color="auto" w:fill="FFC000"/>
          </w:tcPr>
          <w:p w:rsidR="003E24B5" w:rsidRDefault="003E24B5" w:rsidP="00F35FFC">
            <w:pPr>
              <w:spacing w:before="120" w:after="120"/>
              <w:ind w:firstLine="3"/>
              <w:jc w:val="left"/>
              <w:rPr>
                <w:rFonts w:ascii="Calibri" w:hAnsi="Calibri"/>
                <w:szCs w:val="20"/>
              </w:rPr>
            </w:pPr>
            <w:r>
              <w:rPr>
                <w:rFonts w:ascii="Calibri" w:hAnsi="Calibri"/>
                <w:szCs w:val="20"/>
              </w:rPr>
              <w:t>Major</w:t>
            </w:r>
          </w:p>
        </w:tc>
        <w:tc>
          <w:tcPr>
            <w:tcW w:w="1080" w:type="dxa"/>
            <w:shd w:val="clear" w:color="auto" w:fill="FFC000"/>
          </w:tcPr>
          <w:p w:rsidR="003E24B5" w:rsidRDefault="003E24B5" w:rsidP="00F35FFC">
            <w:pPr>
              <w:spacing w:before="120" w:after="120"/>
              <w:jc w:val="left"/>
              <w:rPr>
                <w:rFonts w:ascii="Calibri" w:hAnsi="Calibri"/>
                <w:szCs w:val="20"/>
              </w:rPr>
            </w:pPr>
            <w:r>
              <w:rPr>
                <w:rFonts w:ascii="Calibri" w:hAnsi="Calibri"/>
                <w:szCs w:val="20"/>
              </w:rPr>
              <w:t>High</w:t>
            </w:r>
          </w:p>
        </w:tc>
      </w:tr>
      <w:tr w:rsidR="003E24B5" w:rsidTr="00F35FFC">
        <w:trPr>
          <w:trHeight w:val="173"/>
        </w:trPr>
        <w:tc>
          <w:tcPr>
            <w:tcW w:w="15210" w:type="dxa"/>
            <w:gridSpan w:val="9"/>
          </w:tcPr>
          <w:p w:rsidR="003E24B5" w:rsidRDefault="003E24B5" w:rsidP="00F35FFC">
            <w:pPr>
              <w:spacing w:before="120" w:after="120"/>
              <w:jc w:val="left"/>
              <w:rPr>
                <w:rFonts w:ascii="Calibri" w:hAnsi="Calibri"/>
                <w:szCs w:val="20"/>
              </w:rPr>
            </w:pPr>
            <w:r w:rsidRPr="00635E42">
              <w:rPr>
                <w:rFonts w:ascii="Calibri" w:hAnsi="Calibri"/>
                <w:b/>
                <w:szCs w:val="20"/>
              </w:rPr>
              <w:t xml:space="preserve">Further Treatment </w:t>
            </w:r>
          </w:p>
        </w:tc>
      </w:tr>
      <w:tr w:rsidR="003E24B5" w:rsidTr="00F35FFC">
        <w:trPr>
          <w:trHeight w:val="173"/>
        </w:trPr>
        <w:tc>
          <w:tcPr>
            <w:tcW w:w="15210" w:type="dxa"/>
            <w:gridSpan w:val="9"/>
          </w:tcPr>
          <w:p w:rsidR="003E24B5" w:rsidRDefault="003E24B5" w:rsidP="00F35FFC">
            <w:pPr>
              <w:spacing w:before="120" w:after="120"/>
              <w:jc w:val="left"/>
              <w:rPr>
                <w:rFonts w:ascii="Calibri" w:hAnsi="Calibri"/>
                <w:szCs w:val="20"/>
              </w:rPr>
            </w:pPr>
            <w:r>
              <w:rPr>
                <w:rFonts w:ascii="Calibri" w:hAnsi="Calibri"/>
                <w:szCs w:val="20"/>
              </w:rPr>
              <w:t xml:space="preserve">To ensure transporters and operators do not </w:t>
            </w:r>
            <w:r w:rsidRPr="00315BD0">
              <w:rPr>
                <w:rFonts w:ascii="Calibri" w:hAnsi="Calibri"/>
                <w:szCs w:val="20"/>
              </w:rPr>
              <w:t xml:space="preserve">contravene </w:t>
            </w:r>
            <w:r w:rsidRPr="00315BD0">
              <w:rPr>
                <w:rFonts w:ascii="Calibri" w:hAnsi="Calibri"/>
                <w:bCs/>
                <w:i/>
                <w:iCs/>
                <w:szCs w:val="20"/>
              </w:rPr>
              <w:t>Basel Convention on the Control of Transboundary Movements of Hazardous Wastes and their Disposal</w:t>
            </w:r>
            <w:r w:rsidRPr="00315BD0">
              <w:rPr>
                <w:rFonts w:ascii="Calibri" w:hAnsi="Calibri"/>
                <w:b/>
                <w:bCs/>
                <w:i/>
                <w:iCs/>
                <w:szCs w:val="20"/>
              </w:rPr>
              <w:t xml:space="preserve"> </w:t>
            </w:r>
            <w:r>
              <w:rPr>
                <w:rFonts w:ascii="Calibri" w:hAnsi="Calibri"/>
                <w:szCs w:val="20"/>
              </w:rPr>
              <w:t xml:space="preserve">it is recommended that the requirements of </w:t>
            </w:r>
            <w:r w:rsidRPr="003547DB">
              <w:rPr>
                <w:rFonts w:ascii="Calibri" w:hAnsi="Calibri"/>
                <w:i/>
                <w:szCs w:val="20"/>
              </w:rPr>
              <w:t>the Hazardous Waste Act</w:t>
            </w:r>
            <w:r>
              <w:rPr>
                <w:rFonts w:ascii="Calibri" w:hAnsi="Calibri"/>
                <w:szCs w:val="20"/>
              </w:rPr>
              <w:t xml:space="preserve"> </w:t>
            </w:r>
            <w:r w:rsidRPr="003547DB">
              <w:rPr>
                <w:rFonts w:ascii="Calibri" w:hAnsi="Calibri"/>
                <w:i/>
                <w:szCs w:val="20"/>
              </w:rPr>
              <w:t xml:space="preserve">1989 </w:t>
            </w:r>
            <w:r>
              <w:rPr>
                <w:rFonts w:ascii="Calibri" w:hAnsi="Calibri"/>
                <w:szCs w:val="20"/>
              </w:rPr>
              <w:t xml:space="preserve">and the Basel Convention are included in the proposed training/familiarisation program suggested as an improvement measure in the risk treatment plan above. </w:t>
            </w:r>
          </w:p>
          <w:p w:rsidR="003E24B5" w:rsidRDefault="003E24B5" w:rsidP="00F35FFC">
            <w:pPr>
              <w:autoSpaceDE w:val="0"/>
              <w:autoSpaceDN w:val="0"/>
              <w:adjustRightInd w:val="0"/>
              <w:spacing w:before="120" w:after="120"/>
              <w:rPr>
                <w:rFonts w:ascii="Calibri" w:hAnsi="Calibri"/>
                <w:szCs w:val="20"/>
              </w:rPr>
            </w:pPr>
            <w:r w:rsidRPr="001C66C2">
              <w:rPr>
                <w:rFonts w:ascii="Calibri" w:hAnsi="Calibri"/>
                <w:b/>
                <w:szCs w:val="20"/>
              </w:rPr>
              <w:t>Timeframe for Implementation</w:t>
            </w:r>
            <w:r>
              <w:rPr>
                <w:rFonts w:ascii="Calibri" w:hAnsi="Calibri"/>
                <w:szCs w:val="20"/>
              </w:rPr>
              <w:t>: To coincide with the implementation of the Standard.</w:t>
            </w:r>
          </w:p>
          <w:p w:rsidR="003E24B5" w:rsidRDefault="003E24B5" w:rsidP="00F35FFC">
            <w:pPr>
              <w:autoSpaceDE w:val="0"/>
              <w:autoSpaceDN w:val="0"/>
              <w:adjustRightInd w:val="0"/>
              <w:spacing w:before="120" w:after="120"/>
              <w:rPr>
                <w:rFonts w:ascii="Calibri" w:hAnsi="Calibri"/>
                <w:szCs w:val="20"/>
              </w:rPr>
            </w:pPr>
            <w:r w:rsidRPr="001C66C2">
              <w:rPr>
                <w:rFonts w:ascii="Calibri" w:hAnsi="Calibri"/>
                <w:b/>
                <w:szCs w:val="20"/>
              </w:rPr>
              <w:t>Responsibility</w:t>
            </w:r>
            <w:r>
              <w:rPr>
                <w:rFonts w:ascii="Calibri" w:hAnsi="Calibri"/>
                <w:szCs w:val="20"/>
              </w:rPr>
              <w:t>: DSEWPaC and the approved arrangement.</w:t>
            </w:r>
          </w:p>
          <w:p w:rsidR="003E24B5" w:rsidRPr="00315BD0" w:rsidRDefault="003E24B5" w:rsidP="00F35FFC">
            <w:pPr>
              <w:autoSpaceDE w:val="0"/>
              <w:autoSpaceDN w:val="0"/>
              <w:adjustRightInd w:val="0"/>
              <w:spacing w:before="120" w:after="120"/>
              <w:rPr>
                <w:rFonts w:ascii="Calibri" w:hAnsi="Calibri"/>
                <w:b/>
                <w:szCs w:val="20"/>
              </w:rPr>
            </w:pPr>
            <w:r w:rsidRPr="001C66C2">
              <w:rPr>
                <w:rFonts w:ascii="Calibri" w:hAnsi="Calibri"/>
                <w:b/>
                <w:i/>
                <w:szCs w:val="20"/>
              </w:rPr>
              <w:t>It should be noted that this risk is likely to remain “high” as the</w:t>
            </w:r>
            <w:r>
              <w:rPr>
                <w:rFonts w:ascii="Calibri" w:hAnsi="Calibri"/>
                <w:b/>
                <w:i/>
                <w:szCs w:val="20"/>
              </w:rPr>
              <w:t xml:space="preserve"> consequence will</w:t>
            </w:r>
            <w:r w:rsidRPr="001C66C2">
              <w:rPr>
                <w:rFonts w:ascii="Calibri" w:hAnsi="Calibri"/>
                <w:b/>
                <w:i/>
                <w:szCs w:val="20"/>
              </w:rPr>
              <w:t xml:space="preserve"> always </w:t>
            </w:r>
            <w:r>
              <w:rPr>
                <w:rFonts w:ascii="Calibri" w:hAnsi="Calibri"/>
                <w:b/>
                <w:i/>
                <w:szCs w:val="20"/>
              </w:rPr>
              <w:t>be major.</w:t>
            </w:r>
          </w:p>
        </w:tc>
      </w:tr>
    </w:tbl>
    <w:p w:rsidR="003E24B5" w:rsidRDefault="003E24B5" w:rsidP="00355341">
      <w:r>
        <w:br w:type="page"/>
      </w:r>
    </w:p>
    <w:tbl>
      <w:tblPr>
        <w:tblW w:w="152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24"/>
        <w:gridCol w:w="142"/>
        <w:gridCol w:w="3969"/>
        <w:gridCol w:w="425"/>
        <w:gridCol w:w="1560"/>
        <w:gridCol w:w="141"/>
        <w:gridCol w:w="1843"/>
        <w:gridCol w:w="142"/>
        <w:gridCol w:w="1843"/>
        <w:gridCol w:w="1041"/>
        <w:gridCol w:w="990"/>
        <w:gridCol w:w="810"/>
        <w:gridCol w:w="1080"/>
      </w:tblGrid>
      <w:tr w:rsidR="003E24B5" w:rsidTr="00970538">
        <w:trPr>
          <w:trHeight w:val="173"/>
        </w:trPr>
        <w:tc>
          <w:tcPr>
            <w:tcW w:w="1224" w:type="dxa"/>
            <w:shd w:val="solid" w:color="C0C0C0" w:fill="auto"/>
          </w:tcPr>
          <w:p w:rsidR="003E24B5" w:rsidRPr="00FC535A" w:rsidRDefault="003E24B5" w:rsidP="00F35FFC">
            <w:pPr>
              <w:spacing w:before="120" w:after="120"/>
              <w:jc w:val="center"/>
              <w:rPr>
                <w:rFonts w:ascii="Calibri" w:hAnsi="Calibri"/>
                <w:b/>
                <w:szCs w:val="20"/>
              </w:rPr>
            </w:pPr>
            <w:r>
              <w:rPr>
                <w:rFonts w:ascii="Calibri" w:hAnsi="Calibri"/>
                <w:b/>
                <w:szCs w:val="20"/>
              </w:rPr>
              <w:lastRenderedPageBreak/>
              <w:t>Risk Category</w:t>
            </w:r>
          </w:p>
        </w:tc>
        <w:tc>
          <w:tcPr>
            <w:tcW w:w="4536" w:type="dxa"/>
            <w:gridSpan w:val="3"/>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Description of risk</w:t>
            </w:r>
            <w:r w:rsidRPr="00FC535A">
              <w:rPr>
                <w:rFonts w:ascii="Calibri" w:hAnsi="Calibri"/>
                <w:b/>
                <w:sz w:val="18"/>
                <w:szCs w:val="18"/>
              </w:rPr>
              <w:br/>
              <w:t>(What can happen)</w:t>
            </w:r>
          </w:p>
        </w:tc>
        <w:tc>
          <w:tcPr>
            <w:tcW w:w="1701" w:type="dxa"/>
            <w:gridSpan w:val="2"/>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Potential causes/sources</w:t>
            </w:r>
            <w:r w:rsidRPr="00FC535A">
              <w:rPr>
                <w:rFonts w:ascii="Calibri" w:hAnsi="Calibri"/>
                <w:b/>
                <w:sz w:val="18"/>
                <w:szCs w:val="18"/>
              </w:rPr>
              <w:br/>
              <w:t>(of an event happening)</w:t>
            </w:r>
          </w:p>
        </w:tc>
        <w:tc>
          <w:tcPr>
            <w:tcW w:w="1843"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 xml:space="preserve">Potential impacts </w:t>
            </w:r>
            <w:r w:rsidRPr="00FC535A">
              <w:rPr>
                <w:rFonts w:ascii="Calibri" w:hAnsi="Calibri"/>
                <w:b/>
                <w:sz w:val="18"/>
                <w:szCs w:val="18"/>
              </w:rPr>
              <w:br/>
              <w:t>(if a risk event happens)</w:t>
            </w:r>
          </w:p>
        </w:tc>
        <w:tc>
          <w:tcPr>
            <w:tcW w:w="1985" w:type="dxa"/>
            <w:gridSpan w:val="2"/>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Existing controls</w:t>
            </w:r>
          </w:p>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(what is in place NOW to minimise risk)</w:t>
            </w:r>
          </w:p>
        </w:tc>
        <w:tc>
          <w:tcPr>
            <w:tcW w:w="1041" w:type="dxa"/>
            <w:shd w:val="solid" w:color="C0C0C0" w:fill="auto"/>
          </w:tcPr>
          <w:p w:rsidR="003E24B5" w:rsidRPr="00FC535A" w:rsidRDefault="003E24B5" w:rsidP="00F35FFC">
            <w:pPr>
              <w:spacing w:before="120" w:after="120"/>
              <w:jc w:val="center"/>
              <w:rPr>
                <w:rFonts w:ascii="Calibri" w:hAnsi="Calibri"/>
                <w:b/>
                <w:sz w:val="18"/>
                <w:szCs w:val="18"/>
                <w:vertAlign w:val="superscript"/>
              </w:rPr>
            </w:pPr>
            <w:r w:rsidRPr="00FC535A">
              <w:rPr>
                <w:rFonts w:ascii="Calibri" w:hAnsi="Calibri"/>
                <w:b/>
                <w:sz w:val="18"/>
                <w:szCs w:val="18"/>
              </w:rPr>
              <w:t>Control ratings</w:t>
            </w:r>
          </w:p>
        </w:tc>
        <w:tc>
          <w:tcPr>
            <w:tcW w:w="99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Likeli-hood</w:t>
            </w:r>
          </w:p>
        </w:tc>
        <w:tc>
          <w:tcPr>
            <w:tcW w:w="810" w:type="dxa"/>
            <w:shd w:val="solid" w:color="C0C0C0" w:fill="auto"/>
          </w:tcPr>
          <w:p w:rsidR="003E24B5" w:rsidRPr="00FC535A" w:rsidRDefault="003E24B5" w:rsidP="00F35FFC">
            <w:pPr>
              <w:spacing w:before="120" w:after="120"/>
              <w:ind w:right="-84"/>
              <w:jc w:val="center"/>
              <w:rPr>
                <w:rFonts w:ascii="Calibri" w:hAnsi="Calibri"/>
                <w:b/>
                <w:sz w:val="18"/>
                <w:szCs w:val="18"/>
              </w:rPr>
            </w:pPr>
            <w:r w:rsidRPr="00FC535A">
              <w:rPr>
                <w:rFonts w:ascii="Calibri" w:hAnsi="Calibri"/>
                <w:b/>
                <w:sz w:val="18"/>
                <w:szCs w:val="18"/>
              </w:rPr>
              <w:t>Conse-quence</w:t>
            </w:r>
          </w:p>
        </w:tc>
        <w:tc>
          <w:tcPr>
            <w:tcW w:w="108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Risk Level</w:t>
            </w:r>
          </w:p>
        </w:tc>
      </w:tr>
      <w:tr w:rsidR="003E24B5" w:rsidTr="00970538">
        <w:trPr>
          <w:trHeight w:val="173"/>
        </w:trPr>
        <w:tc>
          <w:tcPr>
            <w:tcW w:w="1224" w:type="dxa"/>
            <w:shd w:val="clear" w:color="auto" w:fill="FFC000"/>
          </w:tcPr>
          <w:p w:rsidR="003E24B5" w:rsidRPr="00B727DC" w:rsidRDefault="003E24B5" w:rsidP="00F35FFC">
            <w:pPr>
              <w:jc w:val="left"/>
              <w:rPr>
                <w:rFonts w:ascii="Calibri" w:hAnsi="Calibri" w:cs="Calibri"/>
                <w:b/>
                <w:bCs/>
                <w:i/>
                <w:iCs/>
                <w:color w:val="000000"/>
                <w:szCs w:val="20"/>
              </w:rPr>
            </w:pPr>
            <w:r w:rsidRPr="00B727DC">
              <w:rPr>
                <w:rFonts w:ascii="Calibri" w:hAnsi="Calibri" w:cs="Calibri"/>
                <w:b/>
                <w:bCs/>
                <w:i/>
                <w:iCs/>
                <w:color w:val="000000"/>
                <w:szCs w:val="20"/>
              </w:rPr>
              <w:t>Basel Convention</w:t>
            </w:r>
          </w:p>
          <w:p w:rsidR="003E24B5" w:rsidRPr="00B727DC" w:rsidRDefault="003E24B5" w:rsidP="00F35FFC">
            <w:pPr>
              <w:jc w:val="left"/>
              <w:rPr>
                <w:rFonts w:ascii="Calibri" w:hAnsi="Calibri" w:cs="Calibri"/>
                <w:b/>
                <w:bCs/>
                <w:i/>
                <w:iCs/>
                <w:color w:val="000000"/>
                <w:szCs w:val="20"/>
              </w:rPr>
            </w:pPr>
            <w:r w:rsidRPr="00B727DC">
              <w:rPr>
                <w:rFonts w:ascii="Calibri" w:hAnsi="Calibri" w:cs="Calibri"/>
                <w:b/>
                <w:bCs/>
                <w:i/>
                <w:iCs/>
                <w:color w:val="000000"/>
                <w:szCs w:val="20"/>
              </w:rPr>
              <w:t>Article 9</w:t>
            </w:r>
          </w:p>
          <w:p w:rsidR="003E24B5" w:rsidRDefault="003E24B5" w:rsidP="00F35FFC">
            <w:pPr>
              <w:jc w:val="left"/>
              <w:rPr>
                <w:rFonts w:ascii="Calibri" w:hAnsi="Calibri" w:cs="Calibri"/>
                <w:b/>
                <w:bCs/>
                <w:i/>
                <w:iCs/>
                <w:color w:val="000000"/>
                <w:sz w:val="22"/>
              </w:rPr>
            </w:pPr>
            <w:r w:rsidRPr="00B727DC">
              <w:rPr>
                <w:rFonts w:ascii="Calibri" w:hAnsi="Calibri" w:cs="Calibri"/>
                <w:b/>
                <w:bCs/>
                <w:i/>
                <w:iCs/>
                <w:color w:val="000000"/>
                <w:szCs w:val="20"/>
              </w:rPr>
              <w:t>Illegal Traffic</w:t>
            </w:r>
          </w:p>
        </w:tc>
        <w:tc>
          <w:tcPr>
            <w:tcW w:w="4536" w:type="dxa"/>
            <w:gridSpan w:val="3"/>
            <w:shd w:val="clear" w:color="auto" w:fill="FFC000"/>
          </w:tcPr>
          <w:p w:rsidR="003E24B5" w:rsidRPr="001A2696" w:rsidRDefault="003E24B5" w:rsidP="00F35FFC">
            <w:pPr>
              <w:spacing w:before="120" w:after="120"/>
              <w:jc w:val="left"/>
              <w:rPr>
                <w:rFonts w:ascii="Calibri" w:hAnsi="Calibri"/>
                <w:i/>
                <w:szCs w:val="20"/>
                <w:lang w:val="en-GB"/>
              </w:rPr>
            </w:pPr>
            <w:r w:rsidRPr="001A2696">
              <w:rPr>
                <w:rFonts w:ascii="Calibri" w:hAnsi="Calibri"/>
                <w:i/>
                <w:szCs w:val="20"/>
                <w:lang w:val="en-GB"/>
              </w:rPr>
              <w:t>For the purpose of this Convention, any transboundary movement of hazardous wastes or other wastes:</w:t>
            </w:r>
          </w:p>
          <w:p w:rsidR="003E24B5" w:rsidRPr="001A2696" w:rsidRDefault="003E24B5" w:rsidP="00F35FFC">
            <w:pPr>
              <w:spacing w:before="120" w:after="120"/>
              <w:jc w:val="left"/>
              <w:rPr>
                <w:rFonts w:ascii="Calibri" w:hAnsi="Calibri"/>
                <w:i/>
                <w:szCs w:val="20"/>
                <w:lang w:val="en-GB"/>
              </w:rPr>
            </w:pPr>
            <w:r>
              <w:rPr>
                <w:rFonts w:ascii="Calibri" w:hAnsi="Calibri"/>
                <w:i/>
                <w:szCs w:val="20"/>
                <w:lang w:val="en-GB"/>
              </w:rPr>
              <w:t xml:space="preserve">(a) </w:t>
            </w:r>
            <w:r w:rsidRPr="001A2696">
              <w:rPr>
                <w:rFonts w:ascii="Calibri" w:hAnsi="Calibri"/>
                <w:i/>
                <w:szCs w:val="20"/>
                <w:lang w:val="en-GB"/>
              </w:rPr>
              <w:t>without notification pursuant to the provisions of this Convention to all States concerned; or</w:t>
            </w:r>
          </w:p>
          <w:p w:rsidR="003E24B5" w:rsidRPr="001A2696" w:rsidRDefault="003E24B5" w:rsidP="00F35FFC">
            <w:pPr>
              <w:spacing w:before="120" w:after="120"/>
              <w:jc w:val="left"/>
              <w:rPr>
                <w:rFonts w:ascii="Calibri" w:hAnsi="Calibri"/>
                <w:i/>
                <w:szCs w:val="20"/>
                <w:lang w:val="en-GB"/>
              </w:rPr>
            </w:pPr>
            <w:r>
              <w:rPr>
                <w:rFonts w:ascii="Calibri" w:hAnsi="Calibri"/>
                <w:i/>
                <w:szCs w:val="20"/>
                <w:lang w:val="en-GB"/>
              </w:rPr>
              <w:t xml:space="preserve">(b) </w:t>
            </w:r>
            <w:r w:rsidRPr="001A2696">
              <w:rPr>
                <w:rFonts w:ascii="Calibri" w:hAnsi="Calibri"/>
                <w:i/>
                <w:szCs w:val="20"/>
                <w:lang w:val="en-GB"/>
              </w:rPr>
              <w:t>without the consent pursuant to the provisions of this Convention of a State concerned; or</w:t>
            </w:r>
          </w:p>
          <w:p w:rsidR="003E24B5" w:rsidRPr="001A2696" w:rsidRDefault="003E24B5" w:rsidP="00F35FFC">
            <w:pPr>
              <w:spacing w:before="120" w:after="120"/>
              <w:jc w:val="left"/>
              <w:rPr>
                <w:rFonts w:ascii="Calibri" w:hAnsi="Calibri"/>
                <w:i/>
                <w:szCs w:val="20"/>
                <w:lang w:val="en-GB"/>
              </w:rPr>
            </w:pPr>
            <w:r>
              <w:rPr>
                <w:rFonts w:ascii="Calibri" w:hAnsi="Calibri"/>
                <w:i/>
                <w:szCs w:val="20"/>
                <w:lang w:val="en-GB"/>
              </w:rPr>
              <w:t xml:space="preserve">(c) </w:t>
            </w:r>
            <w:r w:rsidRPr="001A2696">
              <w:rPr>
                <w:rFonts w:ascii="Calibri" w:hAnsi="Calibri"/>
                <w:i/>
                <w:szCs w:val="20"/>
                <w:lang w:val="en-GB"/>
              </w:rPr>
              <w:t>with consent obtained from States concerned through falsification, misrepresentation or fraud; or</w:t>
            </w:r>
          </w:p>
          <w:p w:rsidR="003E24B5" w:rsidRPr="001A2696" w:rsidRDefault="003E24B5" w:rsidP="00F35FFC">
            <w:pPr>
              <w:spacing w:before="120" w:after="120"/>
              <w:jc w:val="left"/>
              <w:rPr>
                <w:rFonts w:ascii="Calibri" w:hAnsi="Calibri"/>
                <w:i/>
                <w:szCs w:val="20"/>
                <w:lang w:val="en-GB"/>
              </w:rPr>
            </w:pPr>
            <w:r>
              <w:rPr>
                <w:rFonts w:ascii="Calibri" w:hAnsi="Calibri"/>
                <w:i/>
                <w:szCs w:val="20"/>
                <w:lang w:val="en-GB"/>
              </w:rPr>
              <w:t xml:space="preserve">(d) </w:t>
            </w:r>
            <w:r w:rsidRPr="001A2696">
              <w:rPr>
                <w:rFonts w:ascii="Calibri" w:hAnsi="Calibri"/>
                <w:i/>
                <w:szCs w:val="20"/>
                <w:lang w:val="en-GB"/>
              </w:rPr>
              <w:t>that does not conform in a material way with the documents; or</w:t>
            </w:r>
          </w:p>
          <w:p w:rsidR="003E24B5" w:rsidRDefault="003E24B5" w:rsidP="00E66687">
            <w:pPr>
              <w:tabs>
                <w:tab w:val="left" w:pos="2223"/>
              </w:tabs>
              <w:spacing w:before="120" w:after="120"/>
              <w:jc w:val="left"/>
              <w:rPr>
                <w:rFonts w:ascii="Calibri" w:hAnsi="Calibri"/>
                <w:i/>
                <w:szCs w:val="20"/>
                <w:lang w:val="en-GB"/>
              </w:rPr>
            </w:pPr>
            <w:r>
              <w:rPr>
                <w:rFonts w:ascii="Calibri" w:hAnsi="Calibri"/>
                <w:i/>
                <w:szCs w:val="20"/>
                <w:lang w:val="en-GB"/>
              </w:rPr>
              <w:t xml:space="preserve">(e) </w:t>
            </w:r>
            <w:r w:rsidRPr="001A2696">
              <w:rPr>
                <w:rFonts w:ascii="Calibri" w:hAnsi="Calibri"/>
                <w:i/>
                <w:szCs w:val="20"/>
                <w:lang w:val="en-GB"/>
              </w:rPr>
              <w:t>that results in deliberate disposal (e.g. dumping) of hazardous wastes or other wastes in contravention of this Convention and of general principles of international law,</w:t>
            </w:r>
            <w:r>
              <w:rPr>
                <w:rFonts w:ascii="Calibri" w:hAnsi="Calibri"/>
                <w:i/>
                <w:szCs w:val="20"/>
                <w:lang w:val="en-GB"/>
              </w:rPr>
              <w:t xml:space="preserve"> </w:t>
            </w:r>
          </w:p>
          <w:p w:rsidR="003E24B5" w:rsidRPr="00B727DC" w:rsidRDefault="003E24B5" w:rsidP="00F35FFC">
            <w:pPr>
              <w:spacing w:before="120" w:after="120"/>
              <w:jc w:val="left"/>
              <w:rPr>
                <w:rFonts w:ascii="Calibri" w:hAnsi="Calibri"/>
                <w:i/>
                <w:szCs w:val="20"/>
                <w:lang w:val="en-GB"/>
              </w:rPr>
            </w:pPr>
            <w:r w:rsidRPr="001A2696">
              <w:rPr>
                <w:rFonts w:ascii="Calibri" w:hAnsi="Calibri"/>
                <w:i/>
                <w:szCs w:val="20"/>
                <w:lang w:val="en-GB"/>
              </w:rPr>
              <w:t>shall be deemed to be illegal traffic.</w:t>
            </w:r>
          </w:p>
        </w:tc>
        <w:tc>
          <w:tcPr>
            <w:tcW w:w="1701" w:type="dxa"/>
            <w:gridSpan w:val="2"/>
            <w:shd w:val="clear" w:color="auto" w:fill="FFC000"/>
          </w:tcPr>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Consent not obtained;</w:t>
            </w:r>
          </w:p>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Falsification of consent</w:t>
            </w:r>
          </w:p>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Non-conforming consent</w:t>
            </w:r>
          </w:p>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Disposal contravenes intent of Basel convention</w:t>
            </w:r>
          </w:p>
        </w:tc>
        <w:tc>
          <w:tcPr>
            <w:tcW w:w="1843" w:type="dxa"/>
            <w:shd w:val="clear" w:color="auto" w:fill="FFC000"/>
          </w:tcPr>
          <w:p w:rsidR="003E24B5" w:rsidRPr="00796ABF"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Contravention of Basel Convention</w:t>
            </w:r>
          </w:p>
        </w:tc>
        <w:tc>
          <w:tcPr>
            <w:tcW w:w="1985" w:type="dxa"/>
            <w:gridSpan w:val="2"/>
            <w:shd w:val="clear" w:color="auto" w:fill="FFC000"/>
          </w:tcPr>
          <w:p w:rsidR="003E24B5" w:rsidRDefault="003E24B5" w:rsidP="00F35FFC">
            <w:pPr>
              <w:autoSpaceDE w:val="0"/>
              <w:autoSpaceDN w:val="0"/>
              <w:adjustRightInd w:val="0"/>
              <w:spacing w:before="120" w:after="120"/>
              <w:jc w:val="left"/>
              <w:rPr>
                <w:rFonts w:ascii="Calibri" w:hAnsi="Calibri"/>
                <w:szCs w:val="20"/>
              </w:rPr>
            </w:pPr>
            <w:r>
              <w:rPr>
                <w:rFonts w:ascii="Calibri" w:hAnsi="Calibri"/>
                <w:szCs w:val="20"/>
              </w:rPr>
              <w:t xml:space="preserve">Compliance with Section 40A of the Hazardous </w:t>
            </w:r>
            <w:r w:rsidRPr="001A2696">
              <w:rPr>
                <w:rFonts w:ascii="Calibri" w:hAnsi="Calibri"/>
                <w:bCs/>
                <w:iCs/>
                <w:szCs w:val="20"/>
                <w:lang w:val="en-US"/>
              </w:rPr>
              <w:t>Waste (Regulation of Exports and Imports) Act 1989</w:t>
            </w:r>
          </w:p>
        </w:tc>
        <w:tc>
          <w:tcPr>
            <w:tcW w:w="1041" w:type="dxa"/>
            <w:shd w:val="clear" w:color="auto" w:fill="FFC000"/>
          </w:tcPr>
          <w:p w:rsidR="003E24B5" w:rsidRDefault="003E24B5" w:rsidP="00F35FFC">
            <w:pPr>
              <w:spacing w:before="120" w:after="120"/>
              <w:jc w:val="left"/>
              <w:rPr>
                <w:rFonts w:ascii="Calibri" w:hAnsi="Calibri"/>
                <w:szCs w:val="20"/>
              </w:rPr>
            </w:pPr>
            <w:r>
              <w:rPr>
                <w:rFonts w:ascii="Calibri" w:hAnsi="Calibri"/>
                <w:szCs w:val="20"/>
              </w:rPr>
              <w:t xml:space="preserve">Adequate </w:t>
            </w:r>
          </w:p>
        </w:tc>
        <w:tc>
          <w:tcPr>
            <w:tcW w:w="990" w:type="dxa"/>
            <w:shd w:val="clear" w:color="auto" w:fill="FFC000"/>
          </w:tcPr>
          <w:p w:rsidR="003E24B5" w:rsidRDefault="003E24B5" w:rsidP="00F35FFC">
            <w:pPr>
              <w:spacing w:before="120" w:after="120"/>
              <w:jc w:val="left"/>
              <w:rPr>
                <w:rFonts w:ascii="Calibri" w:hAnsi="Calibri"/>
                <w:szCs w:val="20"/>
              </w:rPr>
            </w:pPr>
            <w:r>
              <w:rPr>
                <w:rFonts w:ascii="Calibri" w:hAnsi="Calibri"/>
                <w:szCs w:val="20"/>
              </w:rPr>
              <w:t>Unlikely</w:t>
            </w:r>
          </w:p>
        </w:tc>
        <w:tc>
          <w:tcPr>
            <w:tcW w:w="810" w:type="dxa"/>
            <w:shd w:val="clear" w:color="auto" w:fill="FFC000"/>
          </w:tcPr>
          <w:p w:rsidR="003E24B5" w:rsidRDefault="003E24B5" w:rsidP="00F35FFC">
            <w:pPr>
              <w:spacing w:before="120" w:after="120"/>
              <w:ind w:firstLine="3"/>
              <w:jc w:val="left"/>
              <w:rPr>
                <w:rFonts w:ascii="Calibri" w:hAnsi="Calibri"/>
                <w:szCs w:val="20"/>
              </w:rPr>
            </w:pPr>
            <w:r>
              <w:rPr>
                <w:rFonts w:ascii="Calibri" w:hAnsi="Calibri"/>
                <w:szCs w:val="20"/>
              </w:rPr>
              <w:t>Major</w:t>
            </w:r>
          </w:p>
        </w:tc>
        <w:tc>
          <w:tcPr>
            <w:tcW w:w="1080" w:type="dxa"/>
            <w:shd w:val="clear" w:color="auto" w:fill="FFC000"/>
          </w:tcPr>
          <w:p w:rsidR="003E24B5" w:rsidRDefault="003E24B5" w:rsidP="00F35FFC">
            <w:pPr>
              <w:spacing w:before="120" w:after="120"/>
              <w:jc w:val="left"/>
              <w:rPr>
                <w:rFonts w:ascii="Calibri" w:hAnsi="Calibri"/>
                <w:szCs w:val="20"/>
              </w:rPr>
            </w:pPr>
            <w:r>
              <w:rPr>
                <w:rFonts w:ascii="Calibri" w:hAnsi="Calibri"/>
                <w:szCs w:val="20"/>
              </w:rPr>
              <w:t>High</w:t>
            </w:r>
          </w:p>
        </w:tc>
      </w:tr>
      <w:tr w:rsidR="003E24B5" w:rsidTr="00970538">
        <w:trPr>
          <w:trHeight w:val="173"/>
        </w:trPr>
        <w:tc>
          <w:tcPr>
            <w:tcW w:w="15210" w:type="dxa"/>
            <w:gridSpan w:val="13"/>
          </w:tcPr>
          <w:p w:rsidR="003E24B5" w:rsidRDefault="003E24B5" w:rsidP="00F35FFC">
            <w:pPr>
              <w:spacing w:before="120" w:after="120"/>
              <w:jc w:val="left"/>
              <w:rPr>
                <w:rFonts w:ascii="Calibri" w:hAnsi="Calibri"/>
                <w:szCs w:val="20"/>
              </w:rPr>
            </w:pPr>
            <w:r w:rsidRPr="00635E42">
              <w:rPr>
                <w:rFonts w:ascii="Calibri" w:hAnsi="Calibri"/>
                <w:b/>
                <w:szCs w:val="20"/>
              </w:rPr>
              <w:t xml:space="preserve">Further Treatment </w:t>
            </w:r>
          </w:p>
        </w:tc>
      </w:tr>
      <w:tr w:rsidR="003E24B5" w:rsidTr="00970538">
        <w:trPr>
          <w:trHeight w:val="173"/>
        </w:trPr>
        <w:tc>
          <w:tcPr>
            <w:tcW w:w="15210" w:type="dxa"/>
            <w:gridSpan w:val="13"/>
          </w:tcPr>
          <w:p w:rsidR="003E24B5" w:rsidRDefault="003E24B5" w:rsidP="00F35FFC">
            <w:pPr>
              <w:spacing w:before="120" w:after="120"/>
              <w:jc w:val="left"/>
              <w:rPr>
                <w:rFonts w:ascii="Calibri" w:hAnsi="Calibri"/>
                <w:szCs w:val="20"/>
              </w:rPr>
            </w:pPr>
            <w:r>
              <w:rPr>
                <w:rFonts w:ascii="Calibri" w:hAnsi="Calibri"/>
                <w:szCs w:val="20"/>
              </w:rPr>
              <w:t xml:space="preserve">To ensure transporters and operators do not </w:t>
            </w:r>
            <w:r w:rsidRPr="00315BD0">
              <w:rPr>
                <w:rFonts w:ascii="Calibri" w:hAnsi="Calibri"/>
                <w:szCs w:val="20"/>
              </w:rPr>
              <w:t xml:space="preserve">contravene </w:t>
            </w:r>
            <w:r w:rsidRPr="00315BD0">
              <w:rPr>
                <w:rFonts w:ascii="Calibri" w:hAnsi="Calibri"/>
                <w:bCs/>
                <w:i/>
                <w:iCs/>
                <w:szCs w:val="20"/>
              </w:rPr>
              <w:t>Basel Convention on the Control of Transboundary Movements of Hazardous Wastes and their Disposal</w:t>
            </w:r>
            <w:r w:rsidRPr="00315BD0">
              <w:rPr>
                <w:rFonts w:ascii="Calibri" w:hAnsi="Calibri"/>
                <w:b/>
                <w:bCs/>
                <w:i/>
                <w:iCs/>
                <w:szCs w:val="20"/>
              </w:rPr>
              <w:t xml:space="preserve"> </w:t>
            </w:r>
            <w:r>
              <w:rPr>
                <w:rFonts w:ascii="Calibri" w:hAnsi="Calibri"/>
                <w:szCs w:val="20"/>
              </w:rPr>
              <w:t xml:space="preserve">it is recommended that the requirements of the Hazardous Waste Act and the Basel Convention are included in the proposed training/familiarisation program suggested as an improvement measure in the risk treatment plan above. </w:t>
            </w:r>
          </w:p>
          <w:p w:rsidR="003E24B5" w:rsidRDefault="003E24B5" w:rsidP="00F35FFC">
            <w:pPr>
              <w:autoSpaceDE w:val="0"/>
              <w:autoSpaceDN w:val="0"/>
              <w:adjustRightInd w:val="0"/>
              <w:spacing w:before="120" w:after="120"/>
              <w:rPr>
                <w:rFonts w:ascii="Calibri" w:hAnsi="Calibri"/>
                <w:szCs w:val="20"/>
              </w:rPr>
            </w:pPr>
            <w:r w:rsidRPr="001C66C2">
              <w:rPr>
                <w:rFonts w:ascii="Calibri" w:hAnsi="Calibri"/>
                <w:b/>
                <w:szCs w:val="20"/>
              </w:rPr>
              <w:t>Timeframe for Implementation</w:t>
            </w:r>
            <w:r>
              <w:rPr>
                <w:rFonts w:ascii="Calibri" w:hAnsi="Calibri"/>
                <w:szCs w:val="20"/>
              </w:rPr>
              <w:t>: To coincide with the implementation of the Standard.</w:t>
            </w:r>
          </w:p>
          <w:p w:rsidR="003E24B5" w:rsidRDefault="003E24B5" w:rsidP="00F35FFC">
            <w:pPr>
              <w:autoSpaceDE w:val="0"/>
              <w:autoSpaceDN w:val="0"/>
              <w:adjustRightInd w:val="0"/>
              <w:spacing w:before="120" w:after="120"/>
              <w:rPr>
                <w:rFonts w:ascii="Calibri" w:hAnsi="Calibri"/>
                <w:szCs w:val="20"/>
              </w:rPr>
            </w:pPr>
            <w:r w:rsidRPr="001C66C2">
              <w:rPr>
                <w:rFonts w:ascii="Calibri" w:hAnsi="Calibri"/>
                <w:b/>
                <w:szCs w:val="20"/>
              </w:rPr>
              <w:t>Responsibility</w:t>
            </w:r>
            <w:r>
              <w:rPr>
                <w:rFonts w:ascii="Calibri" w:hAnsi="Calibri"/>
                <w:szCs w:val="20"/>
              </w:rPr>
              <w:t>: DSEWPaC</w:t>
            </w:r>
          </w:p>
          <w:p w:rsidR="003E24B5" w:rsidRPr="00315BD0" w:rsidRDefault="003E24B5" w:rsidP="00F35FFC">
            <w:pPr>
              <w:autoSpaceDE w:val="0"/>
              <w:autoSpaceDN w:val="0"/>
              <w:adjustRightInd w:val="0"/>
              <w:spacing w:before="120" w:after="120"/>
              <w:rPr>
                <w:rFonts w:ascii="Calibri" w:hAnsi="Calibri"/>
                <w:b/>
                <w:szCs w:val="20"/>
              </w:rPr>
            </w:pPr>
            <w:r w:rsidRPr="001C66C2">
              <w:rPr>
                <w:rFonts w:ascii="Calibri" w:hAnsi="Calibri"/>
                <w:b/>
                <w:i/>
                <w:szCs w:val="20"/>
              </w:rPr>
              <w:t>It should be noted that this risk is likely to remain “high” as the</w:t>
            </w:r>
            <w:r>
              <w:rPr>
                <w:rFonts w:ascii="Calibri" w:hAnsi="Calibri"/>
                <w:b/>
                <w:i/>
                <w:szCs w:val="20"/>
              </w:rPr>
              <w:t xml:space="preserve"> consequence will</w:t>
            </w:r>
            <w:r w:rsidRPr="001C66C2">
              <w:rPr>
                <w:rFonts w:ascii="Calibri" w:hAnsi="Calibri"/>
                <w:b/>
                <w:i/>
                <w:szCs w:val="20"/>
              </w:rPr>
              <w:t xml:space="preserve"> always </w:t>
            </w:r>
            <w:r>
              <w:rPr>
                <w:rFonts w:ascii="Calibri" w:hAnsi="Calibri"/>
                <w:b/>
                <w:i/>
                <w:szCs w:val="20"/>
              </w:rPr>
              <w:t>be major.</w:t>
            </w:r>
          </w:p>
        </w:tc>
      </w:tr>
      <w:tr w:rsidR="003E24B5" w:rsidTr="00970538">
        <w:trPr>
          <w:trHeight w:val="173"/>
        </w:trPr>
        <w:tc>
          <w:tcPr>
            <w:tcW w:w="1366" w:type="dxa"/>
            <w:gridSpan w:val="2"/>
            <w:shd w:val="solid" w:color="C0C0C0" w:fill="auto"/>
          </w:tcPr>
          <w:p w:rsidR="003E24B5" w:rsidRPr="00FC535A" w:rsidRDefault="003E24B5" w:rsidP="00F35FFC">
            <w:pPr>
              <w:spacing w:before="120" w:after="120"/>
              <w:jc w:val="center"/>
              <w:rPr>
                <w:rFonts w:ascii="Calibri" w:hAnsi="Calibri"/>
                <w:b/>
                <w:szCs w:val="20"/>
              </w:rPr>
            </w:pPr>
            <w:r>
              <w:lastRenderedPageBreak/>
              <w:br w:type="page"/>
            </w:r>
            <w:r>
              <w:rPr>
                <w:rFonts w:ascii="Calibri" w:hAnsi="Calibri"/>
                <w:b/>
                <w:szCs w:val="20"/>
              </w:rPr>
              <w:t>Risk Category</w:t>
            </w:r>
          </w:p>
        </w:tc>
        <w:tc>
          <w:tcPr>
            <w:tcW w:w="3969"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Description of risk</w:t>
            </w:r>
            <w:r w:rsidRPr="00FC535A">
              <w:rPr>
                <w:rFonts w:ascii="Calibri" w:hAnsi="Calibri"/>
                <w:b/>
                <w:sz w:val="18"/>
                <w:szCs w:val="18"/>
              </w:rPr>
              <w:br/>
              <w:t>(What can happen)</w:t>
            </w:r>
          </w:p>
        </w:tc>
        <w:tc>
          <w:tcPr>
            <w:tcW w:w="1985" w:type="dxa"/>
            <w:gridSpan w:val="2"/>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Potential causes/sources</w:t>
            </w:r>
            <w:r w:rsidRPr="00FC535A">
              <w:rPr>
                <w:rFonts w:ascii="Calibri" w:hAnsi="Calibri"/>
                <w:b/>
                <w:sz w:val="18"/>
                <w:szCs w:val="18"/>
              </w:rPr>
              <w:br/>
              <w:t>(of an event happening)</w:t>
            </w:r>
          </w:p>
        </w:tc>
        <w:tc>
          <w:tcPr>
            <w:tcW w:w="2126" w:type="dxa"/>
            <w:gridSpan w:val="3"/>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 xml:space="preserve">Potential impacts </w:t>
            </w:r>
            <w:r w:rsidRPr="00FC535A">
              <w:rPr>
                <w:rFonts w:ascii="Calibri" w:hAnsi="Calibri"/>
                <w:b/>
                <w:sz w:val="18"/>
                <w:szCs w:val="18"/>
              </w:rPr>
              <w:br/>
              <w:t>(if a risk event happens)</w:t>
            </w:r>
          </w:p>
        </w:tc>
        <w:tc>
          <w:tcPr>
            <w:tcW w:w="1843"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Existing controls</w:t>
            </w:r>
          </w:p>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(what is in place NOW to minimise risk)</w:t>
            </w:r>
          </w:p>
        </w:tc>
        <w:tc>
          <w:tcPr>
            <w:tcW w:w="1041" w:type="dxa"/>
            <w:shd w:val="solid" w:color="C0C0C0" w:fill="auto"/>
          </w:tcPr>
          <w:p w:rsidR="003E24B5" w:rsidRPr="00FC535A" w:rsidRDefault="003E24B5" w:rsidP="00F35FFC">
            <w:pPr>
              <w:spacing w:before="120" w:after="120"/>
              <w:jc w:val="center"/>
              <w:rPr>
                <w:rFonts w:ascii="Calibri" w:hAnsi="Calibri"/>
                <w:b/>
                <w:sz w:val="18"/>
                <w:szCs w:val="18"/>
                <w:vertAlign w:val="superscript"/>
              </w:rPr>
            </w:pPr>
            <w:r w:rsidRPr="00FC535A">
              <w:rPr>
                <w:rFonts w:ascii="Calibri" w:hAnsi="Calibri"/>
                <w:b/>
                <w:sz w:val="18"/>
                <w:szCs w:val="18"/>
              </w:rPr>
              <w:t>Control ratings</w:t>
            </w:r>
          </w:p>
        </w:tc>
        <w:tc>
          <w:tcPr>
            <w:tcW w:w="99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Likeli-hood</w:t>
            </w:r>
          </w:p>
        </w:tc>
        <w:tc>
          <w:tcPr>
            <w:tcW w:w="810" w:type="dxa"/>
            <w:shd w:val="solid" w:color="C0C0C0" w:fill="auto"/>
          </w:tcPr>
          <w:p w:rsidR="003E24B5" w:rsidRPr="00FC535A" w:rsidRDefault="003E24B5" w:rsidP="00F35FFC">
            <w:pPr>
              <w:spacing w:before="120" w:after="120"/>
              <w:ind w:right="-84"/>
              <w:jc w:val="center"/>
              <w:rPr>
                <w:rFonts w:ascii="Calibri" w:hAnsi="Calibri"/>
                <w:b/>
                <w:sz w:val="18"/>
                <w:szCs w:val="18"/>
              </w:rPr>
            </w:pPr>
            <w:r w:rsidRPr="00FC535A">
              <w:rPr>
                <w:rFonts w:ascii="Calibri" w:hAnsi="Calibri"/>
                <w:b/>
                <w:sz w:val="18"/>
                <w:szCs w:val="18"/>
              </w:rPr>
              <w:t>Conse-quence</w:t>
            </w:r>
          </w:p>
        </w:tc>
        <w:tc>
          <w:tcPr>
            <w:tcW w:w="1080" w:type="dxa"/>
            <w:shd w:val="solid" w:color="C0C0C0" w:fill="auto"/>
          </w:tcPr>
          <w:p w:rsidR="003E24B5" w:rsidRPr="00FC535A" w:rsidRDefault="003E24B5" w:rsidP="00F35FFC">
            <w:pPr>
              <w:spacing w:before="120" w:after="120"/>
              <w:jc w:val="center"/>
              <w:rPr>
                <w:rFonts w:ascii="Calibri" w:hAnsi="Calibri"/>
                <w:b/>
                <w:sz w:val="18"/>
                <w:szCs w:val="18"/>
              </w:rPr>
            </w:pPr>
            <w:r w:rsidRPr="00FC535A">
              <w:rPr>
                <w:rFonts w:ascii="Calibri" w:hAnsi="Calibri"/>
                <w:b/>
                <w:sz w:val="18"/>
                <w:szCs w:val="18"/>
              </w:rPr>
              <w:t>Risk Level</w:t>
            </w:r>
          </w:p>
        </w:tc>
      </w:tr>
      <w:tr w:rsidR="003E24B5" w:rsidTr="00970538">
        <w:trPr>
          <w:trHeight w:val="2992"/>
        </w:trPr>
        <w:tc>
          <w:tcPr>
            <w:tcW w:w="1366" w:type="dxa"/>
            <w:gridSpan w:val="2"/>
            <w:shd w:val="clear" w:color="auto" w:fill="FFC000"/>
          </w:tcPr>
          <w:p w:rsidR="003E24B5" w:rsidRPr="00B727DC" w:rsidRDefault="003E24B5" w:rsidP="00F35FFC">
            <w:pPr>
              <w:jc w:val="left"/>
              <w:rPr>
                <w:rFonts w:ascii="Calibri" w:hAnsi="Calibri" w:cs="Calibri"/>
                <w:b/>
                <w:bCs/>
                <w:i/>
                <w:iCs/>
                <w:color w:val="000000"/>
                <w:szCs w:val="20"/>
              </w:rPr>
            </w:pPr>
            <w:r>
              <w:rPr>
                <w:rFonts w:ascii="Calibri" w:hAnsi="Calibri" w:cs="Calibri"/>
                <w:b/>
                <w:bCs/>
                <w:i/>
                <w:iCs/>
                <w:color w:val="000000"/>
                <w:szCs w:val="20"/>
              </w:rPr>
              <w:t>Stockholm Convention</w:t>
            </w:r>
          </w:p>
          <w:p w:rsidR="003E24B5" w:rsidRPr="00B727DC" w:rsidRDefault="003E24B5" w:rsidP="00F35FFC">
            <w:pPr>
              <w:jc w:val="left"/>
              <w:rPr>
                <w:rFonts w:ascii="Calibri" w:hAnsi="Calibri" w:cs="Calibri"/>
                <w:b/>
                <w:bCs/>
                <w:i/>
                <w:iCs/>
                <w:color w:val="000000"/>
                <w:szCs w:val="20"/>
              </w:rPr>
            </w:pPr>
            <w:r w:rsidRPr="00B727DC">
              <w:rPr>
                <w:rFonts w:ascii="Calibri" w:hAnsi="Calibri" w:cs="Calibri"/>
                <w:b/>
                <w:bCs/>
                <w:i/>
                <w:iCs/>
                <w:color w:val="000000"/>
                <w:szCs w:val="20"/>
              </w:rPr>
              <w:t xml:space="preserve">Article 3 </w:t>
            </w:r>
            <w:r w:rsidRPr="00B727DC">
              <w:rPr>
                <w:rFonts w:ascii="Calibri" w:hAnsi="Calibri" w:cs="Calibri"/>
                <w:b/>
                <w:bCs/>
                <w:i/>
                <w:iCs/>
                <w:color w:val="000000"/>
                <w:szCs w:val="20"/>
                <w:lang w:val="en-US"/>
              </w:rPr>
              <w:t>Measures to reduce or eliminate releases from intentional production and use</w:t>
            </w:r>
          </w:p>
        </w:tc>
        <w:tc>
          <w:tcPr>
            <w:tcW w:w="3969" w:type="dxa"/>
            <w:shd w:val="clear" w:color="auto" w:fill="FFC000"/>
          </w:tcPr>
          <w:p w:rsidR="003E24B5" w:rsidRDefault="003E24B5" w:rsidP="00F35FFC">
            <w:pPr>
              <w:spacing w:before="120" w:after="120"/>
              <w:jc w:val="left"/>
              <w:rPr>
                <w:rFonts w:ascii="Calibri" w:hAnsi="Calibri"/>
                <w:i/>
                <w:szCs w:val="20"/>
              </w:rPr>
            </w:pPr>
            <w:r w:rsidRPr="00237E46">
              <w:rPr>
                <w:rFonts w:ascii="Calibri" w:hAnsi="Calibri"/>
                <w:i/>
                <w:szCs w:val="20"/>
                <w:lang w:val="en-US"/>
              </w:rPr>
              <w:t>That a chemical listed in Annex A for which any production or use specific</w:t>
            </w:r>
            <w:r>
              <w:rPr>
                <w:rFonts w:ascii="Calibri" w:hAnsi="Calibri"/>
                <w:i/>
                <w:szCs w:val="20"/>
                <w:lang w:val="en-US"/>
              </w:rPr>
              <w:t xml:space="preserve"> </w:t>
            </w:r>
            <w:r w:rsidRPr="00237E46">
              <w:rPr>
                <w:rFonts w:ascii="Calibri" w:hAnsi="Calibri"/>
                <w:i/>
                <w:szCs w:val="20"/>
                <w:lang w:val="en-US"/>
              </w:rPr>
              <w:t>exemption is in effect or a chemical listed in Annex B for which any production or use</w:t>
            </w:r>
            <w:r>
              <w:rPr>
                <w:rFonts w:ascii="Calibri" w:hAnsi="Calibri"/>
                <w:i/>
                <w:szCs w:val="20"/>
                <w:lang w:val="en-US"/>
              </w:rPr>
              <w:t xml:space="preserve"> </w:t>
            </w:r>
            <w:r w:rsidRPr="00237E46">
              <w:rPr>
                <w:rFonts w:ascii="Calibri" w:hAnsi="Calibri"/>
                <w:i/>
                <w:szCs w:val="20"/>
                <w:lang w:val="en-US"/>
              </w:rPr>
              <w:t>specific exemption or acceptable purpose is in effect, taking into account any relevant</w:t>
            </w:r>
            <w:r>
              <w:rPr>
                <w:rFonts w:ascii="Calibri" w:hAnsi="Calibri"/>
                <w:i/>
                <w:szCs w:val="20"/>
                <w:lang w:val="en-US"/>
              </w:rPr>
              <w:t xml:space="preserve"> </w:t>
            </w:r>
            <w:r w:rsidRPr="00237E46">
              <w:rPr>
                <w:rFonts w:ascii="Calibri" w:hAnsi="Calibri"/>
                <w:i/>
                <w:szCs w:val="20"/>
                <w:lang w:val="en-US"/>
              </w:rPr>
              <w:t>provisions in existing international prior informed consent instruments, is exported only:</w:t>
            </w:r>
            <w:r w:rsidRPr="00237E46">
              <w:rPr>
                <w:rFonts w:ascii="Calibri" w:hAnsi="Calibri"/>
                <w:i/>
                <w:szCs w:val="20"/>
              </w:rPr>
              <w:t xml:space="preserve"> </w:t>
            </w:r>
          </w:p>
          <w:p w:rsidR="003E24B5" w:rsidRPr="00100498" w:rsidRDefault="003E24B5" w:rsidP="00100498">
            <w:pPr>
              <w:spacing w:before="120" w:after="120"/>
              <w:jc w:val="left"/>
              <w:rPr>
                <w:rFonts w:ascii="Calibri" w:hAnsi="Calibri"/>
                <w:i/>
                <w:szCs w:val="20"/>
                <w:lang w:val="en-US"/>
              </w:rPr>
            </w:pPr>
            <w:r w:rsidRPr="00237E46">
              <w:rPr>
                <w:rFonts w:ascii="Calibri" w:hAnsi="Calibri"/>
                <w:i/>
                <w:szCs w:val="20"/>
                <w:lang w:val="en-US"/>
              </w:rPr>
              <w:t xml:space="preserve">(i) For the purpose of environmentally sound disposal as set forth in paragraph1 (d) of Article 6; </w:t>
            </w:r>
          </w:p>
        </w:tc>
        <w:tc>
          <w:tcPr>
            <w:tcW w:w="1985" w:type="dxa"/>
            <w:gridSpan w:val="2"/>
            <w:shd w:val="clear" w:color="auto" w:fill="FFC000"/>
          </w:tcPr>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Export not for environmentally sound disposal</w:t>
            </w:r>
          </w:p>
          <w:p w:rsidR="003E24B5" w:rsidRDefault="003E24B5" w:rsidP="00F35FFC">
            <w:pPr>
              <w:spacing w:before="120" w:after="120"/>
              <w:jc w:val="left"/>
              <w:rPr>
                <w:rFonts w:ascii="Calibri" w:hAnsi="Calibri"/>
                <w:szCs w:val="20"/>
              </w:rPr>
            </w:pPr>
          </w:p>
          <w:p w:rsidR="003E24B5" w:rsidRDefault="003E24B5" w:rsidP="00F35FFC">
            <w:pPr>
              <w:spacing w:before="120" w:after="120"/>
              <w:jc w:val="left"/>
              <w:rPr>
                <w:rFonts w:ascii="Calibri" w:hAnsi="Calibri"/>
                <w:szCs w:val="20"/>
              </w:rPr>
            </w:pPr>
          </w:p>
          <w:p w:rsidR="003E24B5" w:rsidRPr="00014D1B" w:rsidRDefault="003E24B5" w:rsidP="00F35FFC">
            <w:pPr>
              <w:spacing w:before="120" w:after="120"/>
              <w:jc w:val="left"/>
              <w:rPr>
                <w:rFonts w:ascii="Calibri" w:hAnsi="Calibri"/>
                <w:szCs w:val="20"/>
              </w:rPr>
            </w:pPr>
          </w:p>
          <w:p w:rsidR="003E24B5" w:rsidRPr="00100498" w:rsidRDefault="003E24B5" w:rsidP="00100498">
            <w:pPr>
              <w:spacing w:before="120" w:after="120"/>
              <w:jc w:val="left"/>
              <w:rPr>
                <w:rFonts w:ascii="Calibri" w:hAnsi="Calibri"/>
                <w:szCs w:val="20"/>
              </w:rPr>
            </w:pPr>
          </w:p>
        </w:tc>
        <w:tc>
          <w:tcPr>
            <w:tcW w:w="2126" w:type="dxa"/>
            <w:gridSpan w:val="3"/>
            <w:shd w:val="clear" w:color="auto" w:fill="FFC000"/>
          </w:tcPr>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Contravention of Basel and Stockholm Conventions</w:t>
            </w:r>
          </w:p>
          <w:p w:rsidR="003E24B5" w:rsidRDefault="003E24B5" w:rsidP="00F35FFC">
            <w:pPr>
              <w:spacing w:before="120" w:after="120"/>
              <w:jc w:val="left"/>
              <w:rPr>
                <w:rFonts w:ascii="Calibri" w:hAnsi="Calibri"/>
                <w:szCs w:val="20"/>
              </w:rPr>
            </w:pPr>
          </w:p>
          <w:p w:rsidR="003E24B5" w:rsidRPr="00100498" w:rsidRDefault="003E24B5" w:rsidP="00100498">
            <w:pPr>
              <w:spacing w:before="120" w:after="120"/>
              <w:jc w:val="left"/>
              <w:rPr>
                <w:rFonts w:ascii="Calibri" w:hAnsi="Calibri"/>
                <w:szCs w:val="20"/>
              </w:rPr>
            </w:pPr>
          </w:p>
        </w:tc>
        <w:tc>
          <w:tcPr>
            <w:tcW w:w="1843" w:type="dxa"/>
            <w:shd w:val="clear" w:color="auto" w:fill="FFC000"/>
          </w:tcPr>
          <w:p w:rsidR="003E24B5" w:rsidRDefault="003E24B5" w:rsidP="00100498">
            <w:pPr>
              <w:autoSpaceDE w:val="0"/>
              <w:autoSpaceDN w:val="0"/>
              <w:adjustRightInd w:val="0"/>
              <w:spacing w:before="120" w:after="120"/>
              <w:jc w:val="left"/>
              <w:rPr>
                <w:rFonts w:ascii="Calibri" w:hAnsi="Calibri"/>
                <w:szCs w:val="20"/>
              </w:rPr>
            </w:pPr>
            <w:r>
              <w:rPr>
                <w:rFonts w:ascii="Calibri" w:hAnsi="Calibri"/>
                <w:szCs w:val="20"/>
              </w:rPr>
              <w:t xml:space="preserve">Compliance with Section 40A of the Hazardous </w:t>
            </w:r>
            <w:r w:rsidRPr="001A2696">
              <w:rPr>
                <w:rFonts w:ascii="Calibri" w:hAnsi="Calibri"/>
                <w:bCs/>
                <w:iCs/>
                <w:szCs w:val="20"/>
                <w:lang w:val="en-US"/>
              </w:rPr>
              <w:t>Waste (Regulation of Exports and Imports) Act 1989</w:t>
            </w:r>
          </w:p>
        </w:tc>
        <w:tc>
          <w:tcPr>
            <w:tcW w:w="1041" w:type="dxa"/>
            <w:shd w:val="clear" w:color="auto" w:fill="FFC000"/>
          </w:tcPr>
          <w:p w:rsidR="003E24B5" w:rsidRDefault="003E24B5" w:rsidP="00F35FFC">
            <w:pPr>
              <w:spacing w:before="120" w:after="120"/>
              <w:jc w:val="left"/>
              <w:rPr>
                <w:rFonts w:ascii="Calibri" w:hAnsi="Calibri"/>
                <w:szCs w:val="20"/>
              </w:rPr>
            </w:pPr>
            <w:r>
              <w:rPr>
                <w:rFonts w:ascii="Calibri" w:hAnsi="Calibri"/>
                <w:szCs w:val="20"/>
              </w:rPr>
              <w:t>Adequate</w:t>
            </w:r>
          </w:p>
          <w:p w:rsidR="003E24B5" w:rsidRDefault="003E24B5" w:rsidP="00F35FFC">
            <w:pPr>
              <w:spacing w:before="120" w:after="120"/>
              <w:jc w:val="left"/>
              <w:rPr>
                <w:rFonts w:ascii="Calibri" w:hAnsi="Calibri"/>
                <w:szCs w:val="20"/>
              </w:rPr>
            </w:pPr>
          </w:p>
          <w:p w:rsidR="003E24B5" w:rsidRDefault="003E24B5" w:rsidP="00F35FFC">
            <w:pPr>
              <w:spacing w:before="120" w:after="120"/>
              <w:jc w:val="left"/>
              <w:rPr>
                <w:rFonts w:ascii="Calibri" w:hAnsi="Calibri"/>
                <w:szCs w:val="20"/>
              </w:rPr>
            </w:pPr>
          </w:p>
          <w:p w:rsidR="003E24B5" w:rsidRDefault="003E24B5" w:rsidP="00F35FFC">
            <w:pPr>
              <w:spacing w:before="120" w:after="120"/>
              <w:jc w:val="left"/>
              <w:rPr>
                <w:rFonts w:ascii="Calibri" w:hAnsi="Calibri"/>
                <w:szCs w:val="20"/>
              </w:rPr>
            </w:pPr>
          </w:p>
          <w:p w:rsidR="003E24B5" w:rsidRDefault="003E24B5" w:rsidP="00F35FFC">
            <w:pPr>
              <w:spacing w:before="120" w:after="120"/>
              <w:jc w:val="left"/>
              <w:rPr>
                <w:rFonts w:ascii="Calibri" w:hAnsi="Calibri"/>
                <w:szCs w:val="20"/>
              </w:rPr>
            </w:pPr>
          </w:p>
          <w:p w:rsidR="003E24B5" w:rsidRDefault="003E24B5" w:rsidP="00F35FFC">
            <w:pPr>
              <w:spacing w:before="120" w:after="120"/>
              <w:jc w:val="left"/>
              <w:rPr>
                <w:rFonts w:ascii="Calibri" w:hAnsi="Calibri"/>
                <w:szCs w:val="20"/>
              </w:rPr>
            </w:pPr>
          </w:p>
        </w:tc>
        <w:tc>
          <w:tcPr>
            <w:tcW w:w="990" w:type="dxa"/>
            <w:shd w:val="clear" w:color="auto" w:fill="FFC000"/>
          </w:tcPr>
          <w:p w:rsidR="003E24B5" w:rsidRDefault="003E24B5" w:rsidP="00F35FFC">
            <w:pPr>
              <w:spacing w:before="120" w:after="120"/>
              <w:jc w:val="left"/>
              <w:rPr>
                <w:rFonts w:ascii="Calibri" w:hAnsi="Calibri"/>
                <w:szCs w:val="20"/>
              </w:rPr>
            </w:pPr>
            <w:r>
              <w:rPr>
                <w:rFonts w:ascii="Calibri" w:hAnsi="Calibri"/>
                <w:szCs w:val="20"/>
              </w:rPr>
              <w:t>Unlikely</w:t>
            </w:r>
          </w:p>
          <w:p w:rsidR="003E24B5" w:rsidRDefault="003E24B5" w:rsidP="00F35FFC">
            <w:pPr>
              <w:spacing w:before="120" w:after="120"/>
              <w:jc w:val="left"/>
              <w:rPr>
                <w:rFonts w:ascii="Calibri" w:hAnsi="Calibri"/>
                <w:szCs w:val="20"/>
              </w:rPr>
            </w:pPr>
          </w:p>
          <w:p w:rsidR="003E24B5" w:rsidRDefault="003E24B5" w:rsidP="00F35FFC">
            <w:pPr>
              <w:spacing w:before="120" w:after="120"/>
              <w:jc w:val="left"/>
              <w:rPr>
                <w:rFonts w:ascii="Calibri" w:hAnsi="Calibri"/>
                <w:szCs w:val="20"/>
              </w:rPr>
            </w:pPr>
          </w:p>
          <w:p w:rsidR="003E24B5" w:rsidRDefault="003E24B5" w:rsidP="00F35FFC">
            <w:pPr>
              <w:spacing w:before="120" w:after="120"/>
              <w:jc w:val="left"/>
              <w:rPr>
                <w:rFonts w:ascii="Calibri" w:hAnsi="Calibri"/>
                <w:szCs w:val="20"/>
              </w:rPr>
            </w:pPr>
          </w:p>
          <w:p w:rsidR="003E24B5" w:rsidRDefault="003E24B5" w:rsidP="00F35FFC">
            <w:pPr>
              <w:spacing w:before="120" w:after="120"/>
              <w:jc w:val="left"/>
              <w:rPr>
                <w:rFonts w:ascii="Calibri" w:hAnsi="Calibri"/>
                <w:szCs w:val="20"/>
              </w:rPr>
            </w:pPr>
          </w:p>
          <w:p w:rsidR="003E24B5" w:rsidRDefault="003E24B5" w:rsidP="00F35FFC">
            <w:pPr>
              <w:spacing w:before="120" w:after="120"/>
              <w:jc w:val="left"/>
              <w:rPr>
                <w:rFonts w:ascii="Calibri" w:hAnsi="Calibri"/>
                <w:szCs w:val="20"/>
              </w:rPr>
            </w:pPr>
          </w:p>
        </w:tc>
        <w:tc>
          <w:tcPr>
            <w:tcW w:w="810" w:type="dxa"/>
            <w:shd w:val="clear" w:color="auto" w:fill="FFC000"/>
          </w:tcPr>
          <w:p w:rsidR="003E24B5" w:rsidRDefault="003E24B5" w:rsidP="00F35FFC">
            <w:pPr>
              <w:spacing w:before="120" w:after="120"/>
              <w:ind w:firstLine="3"/>
              <w:jc w:val="left"/>
              <w:rPr>
                <w:rFonts w:ascii="Calibri" w:hAnsi="Calibri"/>
                <w:szCs w:val="20"/>
              </w:rPr>
            </w:pPr>
            <w:r>
              <w:rPr>
                <w:rFonts w:ascii="Calibri" w:hAnsi="Calibri"/>
                <w:szCs w:val="20"/>
              </w:rPr>
              <w:t>Major</w:t>
            </w:r>
          </w:p>
          <w:p w:rsidR="003E24B5" w:rsidRDefault="003E24B5" w:rsidP="00F35FFC">
            <w:pPr>
              <w:spacing w:before="120" w:after="120"/>
              <w:ind w:firstLine="3"/>
              <w:jc w:val="left"/>
              <w:rPr>
                <w:rFonts w:ascii="Calibri" w:hAnsi="Calibri"/>
                <w:szCs w:val="20"/>
              </w:rPr>
            </w:pPr>
          </w:p>
          <w:p w:rsidR="003E24B5" w:rsidRDefault="003E24B5" w:rsidP="00F35FFC">
            <w:pPr>
              <w:spacing w:before="120" w:after="120"/>
              <w:ind w:firstLine="3"/>
              <w:jc w:val="left"/>
              <w:rPr>
                <w:rFonts w:ascii="Calibri" w:hAnsi="Calibri"/>
                <w:szCs w:val="20"/>
              </w:rPr>
            </w:pPr>
          </w:p>
          <w:p w:rsidR="003E24B5" w:rsidRDefault="003E24B5" w:rsidP="00F35FFC">
            <w:pPr>
              <w:spacing w:before="120" w:after="120"/>
              <w:ind w:firstLine="3"/>
              <w:jc w:val="left"/>
              <w:rPr>
                <w:rFonts w:ascii="Calibri" w:hAnsi="Calibri"/>
                <w:szCs w:val="20"/>
              </w:rPr>
            </w:pPr>
          </w:p>
          <w:p w:rsidR="003E24B5" w:rsidRDefault="003E24B5" w:rsidP="00F35FFC">
            <w:pPr>
              <w:spacing w:before="120" w:after="120"/>
              <w:ind w:firstLine="3"/>
              <w:jc w:val="left"/>
              <w:rPr>
                <w:rFonts w:ascii="Calibri" w:hAnsi="Calibri"/>
                <w:szCs w:val="20"/>
              </w:rPr>
            </w:pPr>
          </w:p>
          <w:p w:rsidR="003E24B5" w:rsidRDefault="003E24B5" w:rsidP="00F35FFC">
            <w:pPr>
              <w:spacing w:before="120" w:after="120"/>
              <w:ind w:firstLine="3"/>
              <w:jc w:val="left"/>
              <w:rPr>
                <w:rFonts w:ascii="Calibri" w:hAnsi="Calibri"/>
                <w:szCs w:val="20"/>
              </w:rPr>
            </w:pPr>
          </w:p>
        </w:tc>
        <w:tc>
          <w:tcPr>
            <w:tcW w:w="1080" w:type="dxa"/>
            <w:shd w:val="clear" w:color="auto" w:fill="FFC000"/>
          </w:tcPr>
          <w:p w:rsidR="003E24B5" w:rsidRDefault="003E24B5" w:rsidP="00F35FFC">
            <w:pPr>
              <w:spacing w:before="120" w:after="120"/>
              <w:jc w:val="left"/>
              <w:rPr>
                <w:rFonts w:ascii="Calibri" w:hAnsi="Calibri"/>
                <w:szCs w:val="20"/>
              </w:rPr>
            </w:pPr>
            <w:r>
              <w:rPr>
                <w:rFonts w:ascii="Calibri" w:hAnsi="Calibri"/>
                <w:szCs w:val="20"/>
              </w:rPr>
              <w:t>High</w:t>
            </w:r>
          </w:p>
          <w:p w:rsidR="003E24B5" w:rsidRDefault="003E24B5" w:rsidP="00F35FFC">
            <w:pPr>
              <w:spacing w:before="120" w:after="120"/>
              <w:jc w:val="left"/>
              <w:rPr>
                <w:rFonts w:ascii="Calibri" w:hAnsi="Calibri"/>
                <w:szCs w:val="20"/>
              </w:rPr>
            </w:pPr>
          </w:p>
          <w:p w:rsidR="003E24B5" w:rsidRDefault="003E24B5" w:rsidP="00F35FFC">
            <w:pPr>
              <w:spacing w:before="120" w:after="120"/>
              <w:jc w:val="left"/>
              <w:rPr>
                <w:rFonts w:ascii="Calibri" w:hAnsi="Calibri"/>
                <w:szCs w:val="20"/>
              </w:rPr>
            </w:pPr>
          </w:p>
          <w:p w:rsidR="003E24B5" w:rsidRDefault="003E24B5" w:rsidP="00F35FFC">
            <w:pPr>
              <w:spacing w:before="120" w:after="120"/>
              <w:jc w:val="left"/>
              <w:rPr>
                <w:rFonts w:ascii="Calibri" w:hAnsi="Calibri"/>
                <w:szCs w:val="20"/>
              </w:rPr>
            </w:pPr>
          </w:p>
          <w:p w:rsidR="003E24B5" w:rsidRDefault="003E24B5" w:rsidP="00F35FFC">
            <w:pPr>
              <w:spacing w:before="120" w:after="120"/>
              <w:jc w:val="left"/>
              <w:rPr>
                <w:rFonts w:ascii="Calibri" w:hAnsi="Calibri"/>
                <w:szCs w:val="20"/>
              </w:rPr>
            </w:pPr>
          </w:p>
          <w:p w:rsidR="003E24B5" w:rsidRDefault="003E24B5" w:rsidP="00F35FFC">
            <w:pPr>
              <w:spacing w:before="120" w:after="120"/>
              <w:jc w:val="left"/>
              <w:rPr>
                <w:rFonts w:ascii="Calibri" w:hAnsi="Calibri"/>
                <w:szCs w:val="20"/>
              </w:rPr>
            </w:pPr>
          </w:p>
        </w:tc>
      </w:tr>
      <w:tr w:rsidR="003E24B5" w:rsidTr="00970538">
        <w:trPr>
          <w:trHeight w:val="1787"/>
        </w:trPr>
        <w:tc>
          <w:tcPr>
            <w:tcW w:w="1366" w:type="dxa"/>
            <w:gridSpan w:val="2"/>
            <w:shd w:val="clear" w:color="auto" w:fill="FFC000"/>
          </w:tcPr>
          <w:p w:rsidR="003E24B5" w:rsidRDefault="003E24B5" w:rsidP="00F35FFC">
            <w:pPr>
              <w:jc w:val="left"/>
              <w:rPr>
                <w:rFonts w:ascii="Calibri" w:hAnsi="Calibri" w:cs="Calibri"/>
                <w:b/>
                <w:bCs/>
                <w:i/>
                <w:iCs/>
                <w:color w:val="000000"/>
                <w:sz w:val="22"/>
              </w:rPr>
            </w:pPr>
          </w:p>
        </w:tc>
        <w:tc>
          <w:tcPr>
            <w:tcW w:w="3969" w:type="dxa"/>
            <w:shd w:val="clear" w:color="auto" w:fill="FFC000"/>
          </w:tcPr>
          <w:p w:rsidR="003E24B5" w:rsidRPr="00237E46" w:rsidRDefault="003E24B5" w:rsidP="00F35FFC">
            <w:pPr>
              <w:spacing w:before="120" w:after="120"/>
              <w:jc w:val="left"/>
              <w:rPr>
                <w:rFonts w:ascii="Calibri" w:hAnsi="Calibri"/>
                <w:i/>
                <w:szCs w:val="20"/>
                <w:lang w:val="en-US"/>
              </w:rPr>
            </w:pPr>
            <w:r w:rsidRPr="00237E46">
              <w:rPr>
                <w:rFonts w:ascii="Calibri" w:hAnsi="Calibri"/>
                <w:i/>
                <w:szCs w:val="20"/>
                <w:lang w:val="en-US"/>
              </w:rPr>
              <w:t>(c) That a chemical listed in Annex A, for which production and use specific</w:t>
            </w:r>
            <w:r>
              <w:rPr>
                <w:rFonts w:ascii="Calibri" w:hAnsi="Calibri"/>
                <w:i/>
                <w:szCs w:val="20"/>
                <w:lang w:val="en-US"/>
              </w:rPr>
              <w:t xml:space="preserve"> </w:t>
            </w:r>
            <w:r w:rsidRPr="00237E46">
              <w:rPr>
                <w:rFonts w:ascii="Calibri" w:hAnsi="Calibri"/>
                <w:i/>
                <w:szCs w:val="20"/>
                <w:lang w:val="en-US"/>
              </w:rPr>
              <w:t>exemptions are no longer in effect for any Party, is not exported from it except for the purpose</w:t>
            </w:r>
            <w:r>
              <w:rPr>
                <w:rFonts w:ascii="Calibri" w:hAnsi="Calibri"/>
                <w:i/>
                <w:szCs w:val="20"/>
                <w:lang w:val="en-US"/>
              </w:rPr>
              <w:t xml:space="preserve"> </w:t>
            </w:r>
            <w:r w:rsidRPr="00237E46">
              <w:rPr>
                <w:rFonts w:ascii="Calibri" w:hAnsi="Calibri"/>
                <w:i/>
                <w:szCs w:val="20"/>
                <w:lang w:val="en-US"/>
              </w:rPr>
              <w:t>of environmentally sound disposal as set forth in paragraph 1 (d) of Article 6;</w:t>
            </w:r>
          </w:p>
        </w:tc>
        <w:tc>
          <w:tcPr>
            <w:tcW w:w="1985" w:type="dxa"/>
            <w:gridSpan w:val="2"/>
            <w:shd w:val="clear" w:color="auto" w:fill="FFC000"/>
          </w:tcPr>
          <w:p w:rsidR="003E24B5"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Export not for environmentally sound disposal</w:t>
            </w:r>
          </w:p>
        </w:tc>
        <w:tc>
          <w:tcPr>
            <w:tcW w:w="2126" w:type="dxa"/>
            <w:gridSpan w:val="3"/>
            <w:shd w:val="clear" w:color="auto" w:fill="FFC000"/>
          </w:tcPr>
          <w:p w:rsidR="003E24B5" w:rsidRPr="00796ABF" w:rsidRDefault="003E24B5" w:rsidP="00162446">
            <w:pPr>
              <w:pStyle w:val="ListParagraph"/>
              <w:numPr>
                <w:ilvl w:val="0"/>
                <w:numId w:val="41"/>
              </w:numPr>
              <w:spacing w:before="120" w:after="120"/>
              <w:jc w:val="left"/>
              <w:rPr>
                <w:rFonts w:ascii="Calibri" w:hAnsi="Calibri"/>
                <w:szCs w:val="20"/>
              </w:rPr>
            </w:pPr>
            <w:r>
              <w:rPr>
                <w:rFonts w:ascii="Calibri" w:hAnsi="Calibri"/>
                <w:szCs w:val="20"/>
              </w:rPr>
              <w:t>Contravention of Basel and Stockholm Conventions</w:t>
            </w:r>
          </w:p>
        </w:tc>
        <w:tc>
          <w:tcPr>
            <w:tcW w:w="1843" w:type="dxa"/>
            <w:shd w:val="clear" w:color="auto" w:fill="FFC000"/>
          </w:tcPr>
          <w:p w:rsidR="003E24B5" w:rsidRDefault="003E24B5" w:rsidP="00F35FFC">
            <w:pPr>
              <w:autoSpaceDE w:val="0"/>
              <w:autoSpaceDN w:val="0"/>
              <w:adjustRightInd w:val="0"/>
              <w:spacing w:before="120" w:after="120"/>
              <w:jc w:val="left"/>
              <w:rPr>
                <w:rFonts w:ascii="Calibri" w:hAnsi="Calibri"/>
                <w:szCs w:val="20"/>
              </w:rPr>
            </w:pPr>
            <w:r>
              <w:rPr>
                <w:rFonts w:ascii="Calibri" w:hAnsi="Calibri"/>
                <w:szCs w:val="20"/>
              </w:rPr>
              <w:t xml:space="preserve">Compliance with Section 40A of the Hazardous </w:t>
            </w:r>
            <w:r w:rsidRPr="001A2696">
              <w:rPr>
                <w:rFonts w:ascii="Calibri" w:hAnsi="Calibri"/>
                <w:bCs/>
                <w:iCs/>
                <w:szCs w:val="20"/>
                <w:lang w:val="en-US"/>
              </w:rPr>
              <w:t>Waste (Regulation of Exports and Imports) Act 1989</w:t>
            </w:r>
          </w:p>
        </w:tc>
        <w:tc>
          <w:tcPr>
            <w:tcW w:w="1041" w:type="dxa"/>
            <w:shd w:val="clear" w:color="auto" w:fill="FFC000"/>
          </w:tcPr>
          <w:p w:rsidR="003E24B5" w:rsidRDefault="003E24B5" w:rsidP="00F35FFC">
            <w:pPr>
              <w:spacing w:before="120" w:after="120"/>
              <w:jc w:val="left"/>
              <w:rPr>
                <w:rFonts w:ascii="Calibri" w:hAnsi="Calibri"/>
                <w:szCs w:val="20"/>
              </w:rPr>
            </w:pPr>
            <w:r>
              <w:rPr>
                <w:rFonts w:ascii="Calibri" w:hAnsi="Calibri"/>
                <w:szCs w:val="20"/>
              </w:rPr>
              <w:t xml:space="preserve">Adequate </w:t>
            </w:r>
          </w:p>
        </w:tc>
        <w:tc>
          <w:tcPr>
            <w:tcW w:w="990" w:type="dxa"/>
            <w:shd w:val="clear" w:color="auto" w:fill="FFC000"/>
          </w:tcPr>
          <w:p w:rsidR="003E24B5" w:rsidRDefault="003E24B5" w:rsidP="00F35FFC">
            <w:pPr>
              <w:spacing w:before="120" w:after="120"/>
              <w:jc w:val="left"/>
              <w:rPr>
                <w:rFonts w:ascii="Calibri" w:hAnsi="Calibri"/>
                <w:szCs w:val="20"/>
              </w:rPr>
            </w:pPr>
            <w:r>
              <w:rPr>
                <w:rFonts w:ascii="Calibri" w:hAnsi="Calibri"/>
                <w:szCs w:val="20"/>
              </w:rPr>
              <w:t>Unlikely</w:t>
            </w:r>
          </w:p>
        </w:tc>
        <w:tc>
          <w:tcPr>
            <w:tcW w:w="810" w:type="dxa"/>
            <w:shd w:val="clear" w:color="auto" w:fill="FFC000"/>
          </w:tcPr>
          <w:p w:rsidR="003E24B5" w:rsidRDefault="003E24B5" w:rsidP="00F35FFC">
            <w:pPr>
              <w:spacing w:before="120" w:after="120"/>
              <w:ind w:firstLine="3"/>
              <w:jc w:val="left"/>
              <w:rPr>
                <w:rFonts w:ascii="Calibri" w:hAnsi="Calibri"/>
                <w:szCs w:val="20"/>
              </w:rPr>
            </w:pPr>
            <w:r>
              <w:rPr>
                <w:rFonts w:ascii="Calibri" w:hAnsi="Calibri"/>
                <w:szCs w:val="20"/>
              </w:rPr>
              <w:t>Major</w:t>
            </w:r>
          </w:p>
        </w:tc>
        <w:tc>
          <w:tcPr>
            <w:tcW w:w="1080" w:type="dxa"/>
            <w:shd w:val="clear" w:color="auto" w:fill="FFC000"/>
          </w:tcPr>
          <w:p w:rsidR="003E24B5" w:rsidRDefault="003E24B5" w:rsidP="00F35FFC">
            <w:pPr>
              <w:spacing w:before="120" w:after="120"/>
              <w:jc w:val="left"/>
              <w:rPr>
                <w:rFonts w:ascii="Calibri" w:hAnsi="Calibri"/>
                <w:szCs w:val="20"/>
              </w:rPr>
            </w:pPr>
            <w:r>
              <w:rPr>
                <w:rFonts w:ascii="Calibri" w:hAnsi="Calibri"/>
                <w:szCs w:val="20"/>
              </w:rPr>
              <w:t>High</w:t>
            </w:r>
          </w:p>
        </w:tc>
      </w:tr>
      <w:tr w:rsidR="003E24B5" w:rsidTr="00970538">
        <w:trPr>
          <w:trHeight w:val="173"/>
        </w:trPr>
        <w:tc>
          <w:tcPr>
            <w:tcW w:w="15210" w:type="dxa"/>
            <w:gridSpan w:val="13"/>
          </w:tcPr>
          <w:p w:rsidR="003E24B5" w:rsidRDefault="003E24B5" w:rsidP="00F35FFC">
            <w:pPr>
              <w:spacing w:before="120" w:after="120"/>
              <w:jc w:val="left"/>
              <w:rPr>
                <w:rFonts w:ascii="Calibri" w:hAnsi="Calibri"/>
                <w:szCs w:val="20"/>
              </w:rPr>
            </w:pPr>
            <w:r w:rsidRPr="00635E42">
              <w:rPr>
                <w:rFonts w:ascii="Calibri" w:hAnsi="Calibri"/>
                <w:b/>
                <w:szCs w:val="20"/>
              </w:rPr>
              <w:t xml:space="preserve">Further Treatment </w:t>
            </w:r>
          </w:p>
        </w:tc>
      </w:tr>
      <w:tr w:rsidR="003E24B5" w:rsidTr="00970538">
        <w:trPr>
          <w:trHeight w:val="173"/>
        </w:trPr>
        <w:tc>
          <w:tcPr>
            <w:tcW w:w="15210" w:type="dxa"/>
            <w:gridSpan w:val="13"/>
          </w:tcPr>
          <w:p w:rsidR="003E24B5" w:rsidRDefault="003E24B5" w:rsidP="00F35FFC">
            <w:pPr>
              <w:spacing w:before="120" w:after="120"/>
              <w:jc w:val="left"/>
              <w:rPr>
                <w:rFonts w:ascii="Calibri" w:hAnsi="Calibri"/>
                <w:szCs w:val="20"/>
              </w:rPr>
            </w:pPr>
            <w:r>
              <w:rPr>
                <w:rFonts w:ascii="Calibri" w:hAnsi="Calibri"/>
                <w:szCs w:val="20"/>
              </w:rPr>
              <w:t xml:space="preserve">This risk and its consequences relate to contravention of the Stockholm Convention on POPs. Given the complexities of the compliance requirements </w:t>
            </w:r>
            <w:r w:rsidRPr="00315BD0">
              <w:rPr>
                <w:rFonts w:ascii="Calibri" w:hAnsi="Calibri"/>
                <w:bCs/>
                <w:i/>
                <w:iCs/>
                <w:szCs w:val="20"/>
              </w:rPr>
              <w:t>l</w:t>
            </w:r>
            <w:r w:rsidRPr="00315BD0">
              <w:rPr>
                <w:rFonts w:ascii="Calibri" w:hAnsi="Calibri"/>
                <w:b/>
                <w:bCs/>
                <w:i/>
                <w:iCs/>
                <w:szCs w:val="20"/>
              </w:rPr>
              <w:t xml:space="preserve"> </w:t>
            </w:r>
            <w:r>
              <w:rPr>
                <w:rFonts w:ascii="Calibri" w:hAnsi="Calibri"/>
                <w:szCs w:val="20"/>
              </w:rPr>
              <w:t>it is recommended that the requirements of the Hazardous Waste Act and the Basel Convention are included in the proposed training/familiarisation program.</w:t>
            </w:r>
          </w:p>
          <w:p w:rsidR="003E24B5" w:rsidRDefault="003E24B5" w:rsidP="00F35FFC">
            <w:pPr>
              <w:autoSpaceDE w:val="0"/>
              <w:autoSpaceDN w:val="0"/>
              <w:adjustRightInd w:val="0"/>
              <w:spacing w:before="120" w:after="120"/>
              <w:rPr>
                <w:rFonts w:ascii="Calibri" w:hAnsi="Calibri"/>
                <w:szCs w:val="20"/>
              </w:rPr>
            </w:pPr>
            <w:r w:rsidRPr="001C66C2">
              <w:rPr>
                <w:rFonts w:ascii="Calibri" w:hAnsi="Calibri"/>
                <w:b/>
                <w:szCs w:val="20"/>
              </w:rPr>
              <w:t>Timeframe for Implementation</w:t>
            </w:r>
            <w:r>
              <w:rPr>
                <w:rFonts w:ascii="Calibri" w:hAnsi="Calibri"/>
                <w:szCs w:val="20"/>
              </w:rPr>
              <w:t>: To coincide with the implementation of the Standard.</w:t>
            </w:r>
          </w:p>
          <w:p w:rsidR="003E24B5" w:rsidRDefault="003E24B5" w:rsidP="00F35FFC">
            <w:pPr>
              <w:autoSpaceDE w:val="0"/>
              <w:autoSpaceDN w:val="0"/>
              <w:adjustRightInd w:val="0"/>
              <w:spacing w:before="120" w:after="120"/>
              <w:rPr>
                <w:rFonts w:ascii="Calibri" w:hAnsi="Calibri"/>
                <w:szCs w:val="20"/>
              </w:rPr>
            </w:pPr>
            <w:r w:rsidRPr="001C66C2">
              <w:rPr>
                <w:rFonts w:ascii="Calibri" w:hAnsi="Calibri"/>
                <w:b/>
                <w:szCs w:val="20"/>
              </w:rPr>
              <w:t>Responsibility</w:t>
            </w:r>
            <w:r>
              <w:rPr>
                <w:rFonts w:ascii="Calibri" w:hAnsi="Calibri"/>
                <w:szCs w:val="20"/>
              </w:rPr>
              <w:t>: DSEWPaC</w:t>
            </w:r>
          </w:p>
          <w:p w:rsidR="003E24B5" w:rsidRPr="00315BD0" w:rsidRDefault="003E24B5" w:rsidP="00F35FFC">
            <w:pPr>
              <w:autoSpaceDE w:val="0"/>
              <w:autoSpaceDN w:val="0"/>
              <w:adjustRightInd w:val="0"/>
              <w:spacing w:before="120" w:after="120"/>
              <w:rPr>
                <w:rFonts w:ascii="Calibri" w:hAnsi="Calibri"/>
                <w:b/>
                <w:szCs w:val="20"/>
              </w:rPr>
            </w:pPr>
            <w:r w:rsidRPr="001C66C2">
              <w:rPr>
                <w:rFonts w:ascii="Calibri" w:hAnsi="Calibri"/>
                <w:b/>
                <w:i/>
                <w:szCs w:val="20"/>
              </w:rPr>
              <w:t>It should be noted that this risk is likely to remain “high” as the</w:t>
            </w:r>
            <w:r>
              <w:rPr>
                <w:rFonts w:ascii="Calibri" w:hAnsi="Calibri"/>
                <w:b/>
                <w:i/>
                <w:szCs w:val="20"/>
              </w:rPr>
              <w:t xml:space="preserve"> consequence will</w:t>
            </w:r>
            <w:r w:rsidRPr="001C66C2">
              <w:rPr>
                <w:rFonts w:ascii="Calibri" w:hAnsi="Calibri"/>
                <w:b/>
                <w:i/>
                <w:szCs w:val="20"/>
              </w:rPr>
              <w:t xml:space="preserve"> always </w:t>
            </w:r>
            <w:r>
              <w:rPr>
                <w:rFonts w:ascii="Calibri" w:hAnsi="Calibri"/>
                <w:b/>
                <w:i/>
                <w:szCs w:val="20"/>
              </w:rPr>
              <w:t>be major.</w:t>
            </w:r>
          </w:p>
        </w:tc>
      </w:tr>
    </w:tbl>
    <w:p w:rsidR="003E24B5" w:rsidRDefault="003E24B5" w:rsidP="00355341"/>
    <w:p w:rsidR="003E24B5" w:rsidRDefault="003E24B5">
      <w:pPr>
        <w:spacing w:after="0"/>
        <w:jc w:val="left"/>
        <w:sectPr w:rsidR="003E24B5" w:rsidSect="000426C2">
          <w:footerReference w:type="default" r:id="rId43"/>
          <w:pgSz w:w="16839" w:h="11907" w:orient="landscape" w:code="9"/>
          <w:pgMar w:top="1699" w:right="850" w:bottom="1138" w:left="850" w:header="432" w:footer="432" w:gutter="0"/>
          <w:cols w:space="708"/>
          <w:docGrid w:linePitch="360"/>
        </w:sectPr>
      </w:pPr>
    </w:p>
    <w:p w:rsidR="003E24B5" w:rsidRDefault="003E24B5">
      <w:pPr>
        <w:spacing w:after="0"/>
        <w:jc w:val="left"/>
      </w:pPr>
    </w:p>
    <w:p w:rsidR="003E24B5" w:rsidRDefault="003E24B5" w:rsidP="003B541B">
      <w:pPr>
        <w:jc w:val="left"/>
      </w:pPr>
    </w:p>
    <w:p w:rsidR="003E24B5" w:rsidRDefault="003E24B5" w:rsidP="003B541B">
      <w:pPr>
        <w:jc w:val="left"/>
      </w:pPr>
    </w:p>
    <w:p w:rsidR="003E24B5" w:rsidRDefault="003E24B5" w:rsidP="003B541B">
      <w:pPr>
        <w:jc w:val="left"/>
      </w:pPr>
    </w:p>
    <w:p w:rsidR="003E24B5" w:rsidRDefault="003E24B5" w:rsidP="003B541B">
      <w:pPr>
        <w:jc w:val="left"/>
      </w:pPr>
    </w:p>
    <w:p w:rsidR="003E24B5" w:rsidRDefault="003E24B5" w:rsidP="0060640C">
      <w:pPr>
        <w:pStyle w:val="KMHTitleAppendix"/>
        <w:rPr>
          <w:noProof/>
        </w:rPr>
      </w:pPr>
      <w:r>
        <w:rPr>
          <w:noProof/>
        </w:rPr>
        <w:t>Appendix G –</w:t>
      </w:r>
    </w:p>
    <w:p w:rsidR="003E24B5" w:rsidRDefault="003E24B5" w:rsidP="0060640C">
      <w:pPr>
        <w:pStyle w:val="KMHTitleAppendix"/>
        <w:rPr>
          <w:noProof/>
        </w:rPr>
      </w:pPr>
      <w:r>
        <w:rPr>
          <w:noProof/>
        </w:rPr>
        <w:t xml:space="preserve"> International Best Practice Review </w:t>
      </w:r>
    </w:p>
    <w:p w:rsidR="003E24B5" w:rsidRDefault="003E24B5" w:rsidP="003B541B">
      <w:pPr>
        <w:jc w:val="left"/>
      </w:pPr>
    </w:p>
    <w:p w:rsidR="003E24B5" w:rsidRDefault="003E24B5" w:rsidP="003B541B">
      <w:pPr>
        <w:jc w:val="left"/>
      </w:pPr>
    </w:p>
    <w:p w:rsidR="003E24B5" w:rsidRDefault="003E24B5" w:rsidP="003B541B">
      <w:pPr>
        <w:jc w:val="left"/>
      </w:pPr>
    </w:p>
    <w:p w:rsidR="003E24B5" w:rsidRDefault="003E24B5" w:rsidP="003B541B">
      <w:pPr>
        <w:jc w:val="left"/>
        <w:sectPr w:rsidR="003E24B5" w:rsidSect="0060640C">
          <w:footerReference w:type="default" r:id="rId44"/>
          <w:pgSz w:w="11907" w:h="16839" w:code="9"/>
          <w:pgMar w:top="850" w:right="1138" w:bottom="850" w:left="1699" w:header="432" w:footer="432" w:gutter="0"/>
          <w:cols w:space="708"/>
          <w:docGrid w:linePitch="360"/>
        </w:sectPr>
      </w:pPr>
    </w:p>
    <w:p w:rsidR="003E24B5" w:rsidRDefault="003E24B5" w:rsidP="003B541B">
      <w:pPr>
        <w:jc w:val="left"/>
      </w:pPr>
    </w:p>
    <w:p w:rsidR="003E24B5" w:rsidRPr="004E5888" w:rsidRDefault="003E24B5" w:rsidP="002F709B">
      <w:pPr>
        <w:pStyle w:val="Caption"/>
        <w:keepNext/>
      </w:pPr>
      <w:bookmarkStart w:id="118" w:name="_Toc287018313"/>
      <w:r>
        <w:t xml:space="preserve">Table </w:t>
      </w:r>
      <w:fldSimple w:instr=" SEQ Table \* ARABIC ">
        <w:r w:rsidR="00235045">
          <w:rPr>
            <w:noProof/>
          </w:rPr>
          <w:t>11</w:t>
        </w:r>
      </w:fldSimple>
      <w:r>
        <w:t>: International Best Practice Review</w:t>
      </w:r>
      <w:bookmarkEnd w:id="118"/>
    </w:p>
    <w:p w:rsidR="003E24B5" w:rsidRDefault="003E24B5" w:rsidP="002F709B">
      <w:pPr>
        <w:spacing w:after="0"/>
        <w:jc w:val="left"/>
      </w:pPr>
    </w:p>
    <w:tbl>
      <w:tblPr>
        <w:tblW w:w="14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2635"/>
        <w:gridCol w:w="2200"/>
        <w:gridCol w:w="2400"/>
        <w:gridCol w:w="3000"/>
        <w:gridCol w:w="2664"/>
      </w:tblGrid>
      <w:tr w:rsidR="003E24B5" w:rsidTr="006033C4">
        <w:trPr>
          <w:tblHeader/>
          <w:jc w:val="center"/>
        </w:trPr>
        <w:tc>
          <w:tcPr>
            <w:tcW w:w="1890" w:type="dxa"/>
            <w:shd w:val="solid" w:color="C0C0C0" w:fill="auto"/>
          </w:tcPr>
          <w:p w:rsidR="003E24B5" w:rsidRPr="00FC535A" w:rsidRDefault="003E24B5" w:rsidP="00833B5A">
            <w:pPr>
              <w:spacing w:before="120" w:after="120"/>
              <w:jc w:val="center"/>
              <w:rPr>
                <w:rFonts w:ascii="Calibri" w:hAnsi="Calibri"/>
                <w:b/>
                <w:szCs w:val="20"/>
              </w:rPr>
            </w:pPr>
            <w:r>
              <w:rPr>
                <w:rFonts w:ascii="Calibri" w:hAnsi="Calibri"/>
                <w:b/>
                <w:szCs w:val="20"/>
              </w:rPr>
              <w:t>DIIS Issue</w:t>
            </w:r>
          </w:p>
        </w:tc>
        <w:tc>
          <w:tcPr>
            <w:tcW w:w="2635" w:type="dxa"/>
            <w:shd w:val="solid" w:color="C0C0C0" w:fill="auto"/>
          </w:tcPr>
          <w:p w:rsidR="003E24B5" w:rsidRDefault="003E24B5" w:rsidP="00833B5A">
            <w:pPr>
              <w:spacing w:before="120" w:after="120"/>
              <w:jc w:val="center"/>
              <w:rPr>
                <w:rFonts w:ascii="Calibri" w:hAnsi="Calibri"/>
                <w:b/>
                <w:sz w:val="18"/>
                <w:szCs w:val="18"/>
              </w:rPr>
            </w:pPr>
            <w:r>
              <w:rPr>
                <w:rFonts w:ascii="Calibri" w:hAnsi="Calibri"/>
                <w:b/>
                <w:sz w:val="18"/>
                <w:szCs w:val="18"/>
              </w:rPr>
              <w:t>DIIS</w:t>
            </w:r>
          </w:p>
        </w:tc>
        <w:tc>
          <w:tcPr>
            <w:tcW w:w="2200" w:type="dxa"/>
            <w:shd w:val="solid" w:color="C0C0C0" w:fill="auto"/>
          </w:tcPr>
          <w:p w:rsidR="003E24B5" w:rsidRPr="00FC535A" w:rsidRDefault="003E24B5" w:rsidP="00833B5A">
            <w:pPr>
              <w:spacing w:before="120" w:after="120"/>
              <w:jc w:val="center"/>
              <w:rPr>
                <w:rFonts w:ascii="Calibri" w:hAnsi="Calibri"/>
                <w:b/>
                <w:sz w:val="18"/>
                <w:szCs w:val="18"/>
              </w:rPr>
            </w:pPr>
            <w:r>
              <w:rPr>
                <w:rFonts w:ascii="Calibri" w:hAnsi="Calibri"/>
                <w:b/>
                <w:sz w:val="18"/>
                <w:szCs w:val="18"/>
              </w:rPr>
              <w:t>Canada Electronics Recycling Standard</w:t>
            </w:r>
          </w:p>
        </w:tc>
        <w:tc>
          <w:tcPr>
            <w:tcW w:w="2400" w:type="dxa"/>
            <w:shd w:val="solid" w:color="C0C0C0" w:fill="auto"/>
          </w:tcPr>
          <w:p w:rsidR="003E24B5" w:rsidRPr="00FC535A" w:rsidRDefault="003E24B5" w:rsidP="00833B5A">
            <w:pPr>
              <w:spacing w:before="120" w:after="120"/>
              <w:jc w:val="center"/>
              <w:rPr>
                <w:rFonts w:ascii="Calibri" w:hAnsi="Calibri"/>
                <w:b/>
                <w:sz w:val="18"/>
                <w:szCs w:val="18"/>
              </w:rPr>
            </w:pPr>
            <w:r>
              <w:rPr>
                <w:rFonts w:ascii="Calibri" w:hAnsi="Calibri"/>
                <w:b/>
                <w:sz w:val="18"/>
                <w:szCs w:val="18"/>
              </w:rPr>
              <w:t>Weeelabex</w:t>
            </w:r>
          </w:p>
        </w:tc>
        <w:tc>
          <w:tcPr>
            <w:tcW w:w="3000" w:type="dxa"/>
            <w:shd w:val="solid" w:color="C0C0C0" w:fill="auto"/>
          </w:tcPr>
          <w:p w:rsidR="003E24B5" w:rsidRPr="001223BC" w:rsidRDefault="003E24B5" w:rsidP="00833B5A">
            <w:pPr>
              <w:spacing w:before="120" w:after="120"/>
              <w:jc w:val="center"/>
              <w:rPr>
                <w:rFonts w:ascii="Calibri" w:hAnsi="Calibri"/>
                <w:b/>
                <w:bCs/>
                <w:sz w:val="18"/>
                <w:szCs w:val="18"/>
                <w:lang w:val="en-US"/>
              </w:rPr>
            </w:pPr>
            <w:r w:rsidRPr="001223BC">
              <w:rPr>
                <w:rFonts w:ascii="Calibri" w:hAnsi="Calibri"/>
                <w:b/>
                <w:bCs/>
                <w:sz w:val="18"/>
                <w:szCs w:val="18"/>
                <w:lang w:val="en-US"/>
              </w:rPr>
              <w:t>The e-Stewards Standard</w:t>
            </w:r>
          </w:p>
          <w:p w:rsidR="003E24B5" w:rsidRPr="001223BC" w:rsidRDefault="003E24B5" w:rsidP="00833B5A">
            <w:pPr>
              <w:spacing w:before="120" w:after="120"/>
              <w:jc w:val="center"/>
              <w:rPr>
                <w:rFonts w:ascii="Calibri" w:hAnsi="Calibri"/>
                <w:b/>
                <w:bCs/>
                <w:sz w:val="18"/>
                <w:szCs w:val="18"/>
                <w:lang w:val="en-US"/>
              </w:rPr>
            </w:pPr>
            <w:r w:rsidRPr="001223BC">
              <w:rPr>
                <w:rFonts w:ascii="Calibri" w:hAnsi="Calibri"/>
                <w:b/>
                <w:bCs/>
                <w:sz w:val="18"/>
                <w:szCs w:val="18"/>
                <w:lang w:val="en-US"/>
              </w:rPr>
              <w:t>for Responsible Recycling and Reuse</w:t>
            </w:r>
          </w:p>
          <w:p w:rsidR="003E24B5" w:rsidRPr="00FC535A" w:rsidRDefault="003E24B5" w:rsidP="00833B5A">
            <w:pPr>
              <w:spacing w:before="120" w:after="120"/>
              <w:jc w:val="center"/>
              <w:rPr>
                <w:rFonts w:ascii="Calibri" w:hAnsi="Calibri"/>
                <w:b/>
                <w:sz w:val="18"/>
                <w:szCs w:val="18"/>
              </w:rPr>
            </w:pPr>
            <w:r w:rsidRPr="001223BC">
              <w:rPr>
                <w:rFonts w:ascii="Calibri" w:hAnsi="Calibri"/>
                <w:b/>
                <w:bCs/>
                <w:sz w:val="18"/>
                <w:szCs w:val="18"/>
                <w:lang w:val="en-US"/>
              </w:rPr>
              <w:t>of Electronic Equipment</w:t>
            </w:r>
          </w:p>
        </w:tc>
        <w:tc>
          <w:tcPr>
            <w:tcW w:w="2664" w:type="dxa"/>
            <w:shd w:val="solid" w:color="C0C0C0" w:fill="auto"/>
          </w:tcPr>
          <w:p w:rsidR="003E24B5" w:rsidRPr="001223BC" w:rsidRDefault="003E24B5" w:rsidP="00833B5A">
            <w:pPr>
              <w:spacing w:before="120" w:after="120"/>
              <w:jc w:val="center"/>
              <w:rPr>
                <w:rFonts w:ascii="Calibri" w:hAnsi="Calibri"/>
                <w:b/>
                <w:bCs/>
                <w:sz w:val="18"/>
                <w:szCs w:val="18"/>
                <w:lang w:val="en-US"/>
              </w:rPr>
            </w:pPr>
            <w:r>
              <w:rPr>
                <w:rFonts w:ascii="Calibri" w:hAnsi="Calibri"/>
                <w:b/>
                <w:bCs/>
                <w:sz w:val="18"/>
                <w:szCs w:val="18"/>
                <w:lang w:val="en-US"/>
              </w:rPr>
              <w:t>Gaps in DIIS</w:t>
            </w:r>
          </w:p>
        </w:tc>
      </w:tr>
      <w:tr w:rsidR="003E24B5" w:rsidTr="006033C4">
        <w:trPr>
          <w:jc w:val="center"/>
        </w:trPr>
        <w:tc>
          <w:tcPr>
            <w:tcW w:w="12125" w:type="dxa"/>
            <w:gridSpan w:val="5"/>
            <w:shd w:val="clear" w:color="auto" w:fill="B8CCE4"/>
          </w:tcPr>
          <w:p w:rsidR="003E24B5" w:rsidRPr="00207777" w:rsidRDefault="003E24B5" w:rsidP="00833B5A">
            <w:pPr>
              <w:spacing w:before="120" w:after="120"/>
              <w:rPr>
                <w:rFonts w:ascii="Calibri" w:hAnsi="Calibri"/>
                <w:szCs w:val="20"/>
              </w:rPr>
            </w:pPr>
            <w:r w:rsidRPr="00207777">
              <w:rPr>
                <w:rFonts w:ascii="Calibri" w:hAnsi="Calibri" w:cs="Calibri"/>
                <w:b/>
                <w:bCs/>
                <w:i/>
                <w:iCs/>
                <w:color w:val="000000"/>
                <w:sz w:val="22"/>
              </w:rPr>
              <w:t>General requirements</w:t>
            </w:r>
          </w:p>
        </w:tc>
        <w:tc>
          <w:tcPr>
            <w:tcW w:w="2664" w:type="dxa"/>
            <w:shd w:val="clear" w:color="auto" w:fill="B8CCE4"/>
          </w:tcPr>
          <w:p w:rsidR="003E24B5" w:rsidRPr="00207777" w:rsidRDefault="003E24B5" w:rsidP="00833B5A">
            <w:pPr>
              <w:spacing w:before="120" w:after="120"/>
              <w:rPr>
                <w:rFonts w:ascii="Calibri" w:hAnsi="Calibri" w:cs="Calibri"/>
                <w:b/>
                <w:bCs/>
                <w:i/>
                <w:iCs/>
                <w:color w:val="000000"/>
                <w:sz w:val="22"/>
              </w:rPr>
            </w:pPr>
          </w:p>
        </w:tc>
      </w:tr>
      <w:tr w:rsidR="003E24B5" w:rsidTr="006033C4">
        <w:trPr>
          <w:jc w:val="center"/>
        </w:trPr>
        <w:tc>
          <w:tcPr>
            <w:tcW w:w="1890" w:type="dxa"/>
            <w:shd w:val="clear" w:color="auto" w:fill="B8CCE4"/>
          </w:tcPr>
          <w:p w:rsidR="003E24B5" w:rsidRDefault="003E24B5" w:rsidP="00833B5A">
            <w:pPr>
              <w:jc w:val="center"/>
              <w:rPr>
                <w:rFonts w:ascii="Calibri" w:hAnsi="Calibri" w:cs="Calibri"/>
                <w:b/>
                <w:bCs/>
                <w:i/>
                <w:iCs/>
                <w:color w:val="000000"/>
                <w:sz w:val="22"/>
              </w:rPr>
            </w:pPr>
            <w:r>
              <w:rPr>
                <w:rFonts w:ascii="Calibri" w:hAnsi="Calibri" w:cs="Calibri"/>
                <w:b/>
                <w:bCs/>
                <w:i/>
                <w:iCs/>
                <w:color w:val="000000"/>
                <w:sz w:val="22"/>
              </w:rPr>
              <w:t>Risk management</w:t>
            </w:r>
          </w:p>
        </w:tc>
        <w:tc>
          <w:tcPr>
            <w:tcW w:w="2635"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Document safe work method</w:t>
            </w:r>
          </w:p>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Training and assessment of staff</w:t>
            </w:r>
          </w:p>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Self assessment/audit</w:t>
            </w:r>
          </w:p>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Monitor worker exposure (air / noise)</w:t>
            </w:r>
          </w:p>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Keep records of training</w:t>
            </w:r>
          </w:p>
          <w:p w:rsidR="003E24B5" w:rsidRPr="001223BC"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Develop / maintain 14001 system.</w:t>
            </w:r>
          </w:p>
        </w:tc>
        <w:tc>
          <w:tcPr>
            <w:tcW w:w="2200"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sidRPr="008865AB">
              <w:rPr>
                <w:rFonts w:ascii="Calibri" w:hAnsi="Calibri"/>
                <w:i/>
                <w:szCs w:val="20"/>
              </w:rPr>
              <w:t>Develop / maintain 14001 system.</w:t>
            </w:r>
          </w:p>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Maintain worker committee to evaluate OHS</w:t>
            </w:r>
          </w:p>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Annual risk assessment of hazards and worker exposure</w:t>
            </w:r>
          </w:p>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Safeguard hazardous mechanical process against injury</w:t>
            </w:r>
          </w:p>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Air sampling for contaminants (human health)</w:t>
            </w:r>
          </w:p>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Monitor worker exposure</w:t>
            </w:r>
          </w:p>
          <w:p w:rsidR="003E24B5" w:rsidRPr="008865AB"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Implement policies for eating/drinking and hygiene</w:t>
            </w:r>
          </w:p>
        </w:tc>
        <w:tc>
          <w:tcPr>
            <w:tcW w:w="2400" w:type="dxa"/>
            <w:shd w:val="clear" w:color="auto" w:fill="B8CCE4"/>
          </w:tcPr>
          <w:p w:rsidR="003E24B5" w:rsidRPr="00DD7F5B" w:rsidRDefault="003E24B5" w:rsidP="00162446">
            <w:pPr>
              <w:pStyle w:val="ListParagraph"/>
              <w:numPr>
                <w:ilvl w:val="0"/>
                <w:numId w:val="48"/>
              </w:numPr>
              <w:spacing w:before="120" w:after="120"/>
              <w:ind w:left="317" w:hanging="283"/>
              <w:jc w:val="left"/>
              <w:rPr>
                <w:rFonts w:ascii="Calibri" w:hAnsi="Calibri"/>
                <w:szCs w:val="20"/>
              </w:rPr>
            </w:pPr>
            <w:r>
              <w:rPr>
                <w:rFonts w:ascii="Calibri" w:hAnsi="Calibri"/>
                <w:i/>
                <w:szCs w:val="20"/>
              </w:rPr>
              <w:t>Training and assessment of staff</w:t>
            </w:r>
          </w:p>
          <w:p w:rsidR="003E24B5" w:rsidRPr="00251318" w:rsidRDefault="003E24B5" w:rsidP="00162446">
            <w:pPr>
              <w:pStyle w:val="ListParagraph"/>
              <w:numPr>
                <w:ilvl w:val="0"/>
                <w:numId w:val="48"/>
              </w:numPr>
              <w:spacing w:before="120" w:after="120"/>
              <w:ind w:left="317" w:hanging="283"/>
              <w:jc w:val="left"/>
              <w:rPr>
                <w:rFonts w:ascii="Calibri" w:hAnsi="Calibri"/>
                <w:szCs w:val="20"/>
              </w:rPr>
            </w:pPr>
            <w:r>
              <w:rPr>
                <w:rFonts w:ascii="Calibri" w:hAnsi="Calibri"/>
                <w:szCs w:val="20"/>
              </w:rPr>
              <w:t>Requirement to monitor</w:t>
            </w:r>
          </w:p>
        </w:tc>
        <w:tc>
          <w:tcPr>
            <w:tcW w:w="3000" w:type="dxa"/>
            <w:shd w:val="clear" w:color="auto" w:fill="B8CCE4"/>
          </w:tcPr>
          <w:p w:rsidR="003E24B5" w:rsidRPr="008865AB" w:rsidRDefault="003E24B5" w:rsidP="00162446">
            <w:pPr>
              <w:pStyle w:val="ListParagraph"/>
              <w:numPr>
                <w:ilvl w:val="0"/>
                <w:numId w:val="48"/>
              </w:numPr>
              <w:spacing w:before="120" w:after="120"/>
              <w:ind w:left="317" w:hanging="283"/>
              <w:jc w:val="left"/>
              <w:rPr>
                <w:rFonts w:ascii="Calibri" w:hAnsi="Calibri"/>
                <w:szCs w:val="20"/>
              </w:rPr>
            </w:pPr>
            <w:r>
              <w:rPr>
                <w:rFonts w:ascii="Calibri" w:hAnsi="Calibri"/>
                <w:i/>
                <w:szCs w:val="20"/>
              </w:rPr>
              <w:t>Document aspects and impacts</w:t>
            </w:r>
          </w:p>
          <w:p w:rsidR="003E24B5" w:rsidRPr="008865AB" w:rsidRDefault="003E24B5" w:rsidP="00162446">
            <w:pPr>
              <w:pStyle w:val="ListParagraph"/>
              <w:numPr>
                <w:ilvl w:val="0"/>
                <w:numId w:val="48"/>
              </w:numPr>
              <w:spacing w:before="120" w:after="120"/>
              <w:ind w:left="317" w:hanging="283"/>
              <w:jc w:val="left"/>
              <w:rPr>
                <w:rFonts w:ascii="Calibri" w:hAnsi="Calibri"/>
                <w:szCs w:val="20"/>
              </w:rPr>
            </w:pPr>
            <w:r>
              <w:rPr>
                <w:rFonts w:ascii="Calibri" w:hAnsi="Calibri"/>
                <w:i/>
                <w:szCs w:val="20"/>
              </w:rPr>
              <w:t>Training procedure</w:t>
            </w:r>
          </w:p>
          <w:p w:rsidR="003E24B5" w:rsidRPr="008865AB" w:rsidRDefault="003E24B5" w:rsidP="00162446">
            <w:pPr>
              <w:pStyle w:val="ListParagraph"/>
              <w:numPr>
                <w:ilvl w:val="0"/>
                <w:numId w:val="48"/>
              </w:numPr>
              <w:spacing w:before="120" w:after="120"/>
              <w:ind w:left="317" w:hanging="283"/>
              <w:jc w:val="left"/>
              <w:rPr>
                <w:rFonts w:ascii="Calibri" w:hAnsi="Calibri"/>
                <w:szCs w:val="20"/>
              </w:rPr>
            </w:pPr>
            <w:r>
              <w:rPr>
                <w:rFonts w:ascii="Calibri" w:hAnsi="Calibri"/>
                <w:i/>
                <w:szCs w:val="20"/>
              </w:rPr>
              <w:t>Internal audit / self assessment</w:t>
            </w:r>
          </w:p>
          <w:p w:rsidR="003E24B5" w:rsidRPr="008865AB" w:rsidRDefault="003E24B5" w:rsidP="00162446">
            <w:pPr>
              <w:pStyle w:val="ListParagraph"/>
              <w:numPr>
                <w:ilvl w:val="0"/>
                <w:numId w:val="48"/>
              </w:numPr>
              <w:spacing w:before="120" w:after="120"/>
              <w:ind w:left="317" w:hanging="283"/>
              <w:jc w:val="left"/>
              <w:rPr>
                <w:rFonts w:ascii="Calibri" w:hAnsi="Calibri"/>
                <w:szCs w:val="20"/>
              </w:rPr>
            </w:pPr>
            <w:r>
              <w:rPr>
                <w:rFonts w:ascii="Calibri" w:hAnsi="Calibri"/>
                <w:i/>
                <w:szCs w:val="20"/>
              </w:rPr>
              <w:t>Monitoring and measuring</w:t>
            </w:r>
          </w:p>
          <w:p w:rsidR="003E24B5" w:rsidRPr="00EF36F6" w:rsidRDefault="003E24B5" w:rsidP="00162446">
            <w:pPr>
              <w:pStyle w:val="ListParagraph"/>
              <w:numPr>
                <w:ilvl w:val="0"/>
                <w:numId w:val="48"/>
              </w:numPr>
              <w:spacing w:before="120" w:after="120"/>
              <w:ind w:left="317" w:hanging="283"/>
              <w:jc w:val="left"/>
              <w:rPr>
                <w:rFonts w:ascii="Calibri" w:hAnsi="Calibri"/>
                <w:szCs w:val="20"/>
              </w:rPr>
            </w:pPr>
            <w:r>
              <w:rPr>
                <w:rFonts w:ascii="Calibri" w:hAnsi="Calibri"/>
                <w:i/>
                <w:szCs w:val="20"/>
              </w:rPr>
              <w:t>Keep records</w:t>
            </w:r>
          </w:p>
          <w:p w:rsidR="003E24B5" w:rsidRPr="00EF36F6" w:rsidRDefault="003E24B5" w:rsidP="00162446">
            <w:pPr>
              <w:pStyle w:val="ListParagraph"/>
              <w:numPr>
                <w:ilvl w:val="0"/>
                <w:numId w:val="48"/>
              </w:numPr>
              <w:spacing w:before="120" w:after="120"/>
              <w:ind w:left="317" w:hanging="283"/>
              <w:jc w:val="left"/>
              <w:rPr>
                <w:rFonts w:ascii="Calibri" w:hAnsi="Calibri"/>
                <w:szCs w:val="20"/>
              </w:rPr>
            </w:pPr>
            <w:r>
              <w:rPr>
                <w:rFonts w:ascii="Calibri" w:hAnsi="Calibri"/>
                <w:i/>
                <w:szCs w:val="20"/>
              </w:rPr>
              <w:t>Establish health and safety committee</w:t>
            </w:r>
          </w:p>
          <w:p w:rsidR="003E24B5" w:rsidRPr="00EF36F6" w:rsidRDefault="003E24B5" w:rsidP="00162446">
            <w:pPr>
              <w:pStyle w:val="ListParagraph"/>
              <w:numPr>
                <w:ilvl w:val="0"/>
                <w:numId w:val="48"/>
              </w:numPr>
              <w:spacing w:before="120" w:after="120"/>
              <w:ind w:left="317" w:hanging="283"/>
              <w:jc w:val="left"/>
              <w:rPr>
                <w:rFonts w:ascii="Calibri" w:hAnsi="Calibri"/>
                <w:szCs w:val="20"/>
              </w:rPr>
            </w:pPr>
            <w:r>
              <w:rPr>
                <w:rFonts w:ascii="Calibri" w:hAnsi="Calibri"/>
                <w:i/>
                <w:szCs w:val="20"/>
              </w:rPr>
              <w:t>Worker training program</w:t>
            </w:r>
          </w:p>
          <w:p w:rsidR="003E24B5" w:rsidRDefault="003E24B5" w:rsidP="00162446">
            <w:pPr>
              <w:pStyle w:val="ListParagraph"/>
              <w:numPr>
                <w:ilvl w:val="0"/>
                <w:numId w:val="48"/>
              </w:numPr>
              <w:spacing w:before="120" w:after="120"/>
              <w:ind w:left="317" w:hanging="283"/>
              <w:jc w:val="left"/>
              <w:rPr>
                <w:rFonts w:ascii="Calibri" w:hAnsi="Calibri"/>
                <w:szCs w:val="20"/>
              </w:rPr>
            </w:pPr>
            <w:r>
              <w:rPr>
                <w:rFonts w:ascii="Calibri" w:hAnsi="Calibri"/>
                <w:szCs w:val="20"/>
              </w:rPr>
              <w:t>Evaluate compliance</w:t>
            </w:r>
          </w:p>
        </w:tc>
        <w:tc>
          <w:tcPr>
            <w:tcW w:w="2664" w:type="dxa"/>
            <w:shd w:val="clear" w:color="auto" w:fill="B8CCE4"/>
          </w:tcPr>
          <w:p w:rsidR="003E24B5" w:rsidRPr="007A2239" w:rsidRDefault="003E24B5" w:rsidP="00162446">
            <w:pPr>
              <w:pStyle w:val="ListParagraph"/>
              <w:numPr>
                <w:ilvl w:val="0"/>
                <w:numId w:val="48"/>
              </w:numPr>
              <w:spacing w:before="120" w:after="120"/>
              <w:ind w:left="317" w:hanging="283"/>
              <w:jc w:val="left"/>
              <w:rPr>
                <w:rFonts w:ascii="Calibri" w:hAnsi="Calibri"/>
                <w:i/>
                <w:szCs w:val="20"/>
              </w:rPr>
            </w:pPr>
            <w:r w:rsidRPr="007A2239">
              <w:rPr>
                <w:rFonts w:ascii="Calibri" w:hAnsi="Calibri"/>
                <w:i/>
                <w:szCs w:val="20"/>
              </w:rPr>
              <w:t>Does not require written policies for hygiene, eating and drinking to reduce worker exposure to contaminants</w:t>
            </w:r>
          </w:p>
          <w:p w:rsidR="003E24B5" w:rsidRDefault="003E24B5" w:rsidP="00162446">
            <w:pPr>
              <w:pStyle w:val="ListParagraph"/>
              <w:numPr>
                <w:ilvl w:val="0"/>
                <w:numId w:val="48"/>
              </w:numPr>
              <w:spacing w:before="120" w:after="120"/>
              <w:ind w:left="317" w:hanging="283"/>
              <w:jc w:val="left"/>
              <w:rPr>
                <w:rFonts w:ascii="Calibri" w:hAnsi="Calibri"/>
                <w:i/>
                <w:szCs w:val="20"/>
              </w:rPr>
            </w:pPr>
            <w:r w:rsidRPr="007A2239">
              <w:rPr>
                <w:rFonts w:ascii="Calibri" w:hAnsi="Calibri"/>
                <w:i/>
                <w:szCs w:val="20"/>
              </w:rPr>
              <w:t>Does not require establishment</w:t>
            </w:r>
            <w:r>
              <w:rPr>
                <w:rFonts w:ascii="Calibri" w:hAnsi="Calibri"/>
                <w:i/>
                <w:szCs w:val="20"/>
              </w:rPr>
              <w:t xml:space="preserve"> of health and safety committee</w:t>
            </w:r>
          </w:p>
          <w:p w:rsidR="003E24B5" w:rsidRDefault="003E24B5" w:rsidP="00833B5A">
            <w:pPr>
              <w:pStyle w:val="ListParagraph"/>
              <w:spacing w:before="120" w:after="120"/>
              <w:ind w:left="317"/>
              <w:jc w:val="left"/>
              <w:rPr>
                <w:rFonts w:ascii="Calibri" w:hAnsi="Calibri"/>
                <w:i/>
                <w:szCs w:val="20"/>
              </w:rPr>
            </w:pPr>
          </w:p>
        </w:tc>
      </w:tr>
      <w:tr w:rsidR="003E24B5" w:rsidTr="006033C4">
        <w:trPr>
          <w:jc w:val="center"/>
        </w:trPr>
        <w:tc>
          <w:tcPr>
            <w:tcW w:w="1890" w:type="dxa"/>
            <w:shd w:val="clear" w:color="auto" w:fill="B8CCE4"/>
          </w:tcPr>
          <w:p w:rsidR="003E24B5" w:rsidRDefault="003E24B5" w:rsidP="00833B5A">
            <w:pPr>
              <w:jc w:val="center"/>
              <w:rPr>
                <w:rFonts w:ascii="Calibri" w:hAnsi="Calibri" w:cs="Calibri"/>
                <w:b/>
                <w:bCs/>
                <w:i/>
                <w:iCs/>
                <w:color w:val="000000"/>
                <w:sz w:val="22"/>
              </w:rPr>
            </w:pPr>
            <w:r>
              <w:rPr>
                <w:rFonts w:ascii="Calibri" w:hAnsi="Calibri" w:cs="Calibri"/>
                <w:b/>
                <w:bCs/>
                <w:i/>
                <w:iCs/>
                <w:color w:val="000000"/>
                <w:sz w:val="22"/>
              </w:rPr>
              <w:t xml:space="preserve">Legal Compliance </w:t>
            </w:r>
          </w:p>
        </w:tc>
        <w:tc>
          <w:tcPr>
            <w:tcW w:w="2635"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 xml:space="preserve">Document compliance against the standard and all relevant legislation </w:t>
            </w:r>
          </w:p>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lastRenderedPageBreak/>
              <w:t>Document process for reporting breaches to PSO</w:t>
            </w:r>
          </w:p>
        </w:tc>
        <w:tc>
          <w:tcPr>
            <w:tcW w:w="2200"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lastRenderedPageBreak/>
              <w:t>Document process for reporting breaches to Program manager</w:t>
            </w:r>
          </w:p>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lastRenderedPageBreak/>
              <w:t xml:space="preserve">Document compliance against the standard and all relevant legislation </w:t>
            </w:r>
          </w:p>
          <w:p w:rsidR="003E24B5" w:rsidRDefault="003E24B5" w:rsidP="00833B5A">
            <w:pPr>
              <w:pStyle w:val="ListParagraph"/>
              <w:spacing w:before="120" w:after="120"/>
              <w:ind w:left="317"/>
              <w:jc w:val="left"/>
              <w:rPr>
                <w:rFonts w:ascii="Calibri" w:hAnsi="Calibri"/>
                <w:i/>
                <w:szCs w:val="20"/>
              </w:rPr>
            </w:pPr>
          </w:p>
        </w:tc>
        <w:tc>
          <w:tcPr>
            <w:tcW w:w="2400" w:type="dxa"/>
            <w:shd w:val="clear" w:color="auto" w:fill="B8CCE4"/>
          </w:tcPr>
          <w:p w:rsidR="003E24B5" w:rsidRPr="00251318"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lastRenderedPageBreak/>
              <w:t xml:space="preserve">Document compliance against all relevant legislation </w:t>
            </w:r>
          </w:p>
        </w:tc>
        <w:tc>
          <w:tcPr>
            <w:tcW w:w="3000" w:type="dxa"/>
            <w:shd w:val="clear" w:color="auto" w:fill="B8CCE4"/>
          </w:tcPr>
          <w:p w:rsidR="003E24B5" w:rsidRPr="008865AB" w:rsidRDefault="003E24B5" w:rsidP="00162446">
            <w:pPr>
              <w:pStyle w:val="ListParagraph"/>
              <w:numPr>
                <w:ilvl w:val="0"/>
                <w:numId w:val="48"/>
              </w:numPr>
              <w:spacing w:before="120" w:after="120"/>
              <w:ind w:left="317" w:hanging="283"/>
              <w:jc w:val="left"/>
              <w:rPr>
                <w:rFonts w:ascii="Calibri" w:hAnsi="Calibri"/>
                <w:szCs w:val="20"/>
              </w:rPr>
            </w:pPr>
            <w:r>
              <w:rPr>
                <w:rFonts w:ascii="Calibri" w:hAnsi="Calibri"/>
                <w:i/>
                <w:szCs w:val="20"/>
              </w:rPr>
              <w:t>Legal compliance register and procedure</w:t>
            </w:r>
          </w:p>
        </w:tc>
        <w:tc>
          <w:tcPr>
            <w:tcW w:w="2664" w:type="dxa"/>
            <w:shd w:val="clear" w:color="auto" w:fill="B8CCE4"/>
          </w:tcPr>
          <w:p w:rsidR="003E24B5" w:rsidRDefault="003E24B5" w:rsidP="00833B5A">
            <w:pPr>
              <w:pStyle w:val="ListParagraph"/>
              <w:spacing w:before="120" w:after="120"/>
              <w:ind w:left="360"/>
              <w:rPr>
                <w:rFonts w:ascii="Calibri" w:hAnsi="Calibri"/>
                <w:szCs w:val="20"/>
              </w:rPr>
            </w:pPr>
          </w:p>
        </w:tc>
      </w:tr>
      <w:tr w:rsidR="003E24B5" w:rsidTr="006033C4">
        <w:trPr>
          <w:jc w:val="center"/>
        </w:trPr>
        <w:tc>
          <w:tcPr>
            <w:tcW w:w="1890" w:type="dxa"/>
            <w:shd w:val="clear" w:color="auto" w:fill="B8CCE4"/>
          </w:tcPr>
          <w:p w:rsidR="003E24B5" w:rsidRDefault="003E24B5" w:rsidP="00833B5A">
            <w:pPr>
              <w:jc w:val="center"/>
              <w:rPr>
                <w:rFonts w:ascii="Calibri" w:hAnsi="Calibri" w:cs="Calibri"/>
                <w:b/>
                <w:bCs/>
                <w:i/>
                <w:iCs/>
                <w:color w:val="000000"/>
                <w:sz w:val="22"/>
              </w:rPr>
            </w:pPr>
            <w:r>
              <w:rPr>
                <w:rFonts w:ascii="Calibri" w:hAnsi="Calibri" w:cs="Calibri"/>
                <w:b/>
                <w:bCs/>
                <w:i/>
                <w:iCs/>
                <w:color w:val="000000"/>
                <w:sz w:val="22"/>
              </w:rPr>
              <w:lastRenderedPageBreak/>
              <w:t>Emergency Response</w:t>
            </w:r>
          </w:p>
        </w:tc>
        <w:tc>
          <w:tcPr>
            <w:tcW w:w="2635"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Implement / maintain an ERP</w:t>
            </w:r>
          </w:p>
        </w:tc>
        <w:tc>
          <w:tcPr>
            <w:tcW w:w="2200"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Implement / maintain an ERP</w:t>
            </w:r>
          </w:p>
        </w:tc>
        <w:tc>
          <w:tcPr>
            <w:tcW w:w="2400" w:type="dxa"/>
            <w:shd w:val="clear" w:color="auto" w:fill="B8CCE4"/>
            <w:vAlign w:val="center"/>
          </w:tcPr>
          <w:p w:rsidR="003E24B5" w:rsidRDefault="003E24B5" w:rsidP="00833B5A">
            <w:pPr>
              <w:spacing w:before="120" w:after="120"/>
              <w:jc w:val="center"/>
              <w:rPr>
                <w:rFonts w:ascii="Calibri" w:hAnsi="Calibri"/>
                <w:i/>
                <w:szCs w:val="20"/>
              </w:rPr>
            </w:pPr>
            <w:r>
              <w:rPr>
                <w:rFonts w:ascii="Calibri" w:hAnsi="Calibri"/>
                <w:i/>
                <w:szCs w:val="20"/>
              </w:rPr>
              <w:t>Not specifically addressed</w:t>
            </w:r>
          </w:p>
        </w:tc>
        <w:tc>
          <w:tcPr>
            <w:tcW w:w="3000" w:type="dxa"/>
            <w:shd w:val="clear" w:color="auto" w:fill="B8CCE4"/>
          </w:tcPr>
          <w:p w:rsidR="003E24B5" w:rsidRPr="008865AB" w:rsidRDefault="003E24B5" w:rsidP="00162446">
            <w:pPr>
              <w:pStyle w:val="ListParagraph"/>
              <w:numPr>
                <w:ilvl w:val="0"/>
                <w:numId w:val="48"/>
              </w:numPr>
              <w:spacing w:before="120" w:after="120"/>
              <w:ind w:left="317" w:hanging="283"/>
              <w:jc w:val="left"/>
              <w:rPr>
                <w:rFonts w:ascii="Calibri" w:hAnsi="Calibri"/>
                <w:szCs w:val="20"/>
              </w:rPr>
            </w:pPr>
            <w:r>
              <w:rPr>
                <w:rFonts w:ascii="Calibri" w:hAnsi="Calibri"/>
                <w:i/>
                <w:szCs w:val="20"/>
              </w:rPr>
              <w:t>Emergency response procedure</w:t>
            </w:r>
          </w:p>
        </w:tc>
        <w:tc>
          <w:tcPr>
            <w:tcW w:w="2664" w:type="dxa"/>
            <w:shd w:val="clear" w:color="auto" w:fill="B8CCE4"/>
          </w:tcPr>
          <w:p w:rsidR="003E24B5" w:rsidRDefault="003E24B5" w:rsidP="00833B5A">
            <w:pPr>
              <w:pStyle w:val="ListParagraph"/>
              <w:spacing w:before="120" w:after="120"/>
              <w:ind w:left="360"/>
              <w:rPr>
                <w:rFonts w:ascii="Calibri" w:hAnsi="Calibri"/>
                <w:szCs w:val="20"/>
              </w:rPr>
            </w:pPr>
          </w:p>
        </w:tc>
      </w:tr>
      <w:tr w:rsidR="003E24B5" w:rsidTr="006033C4">
        <w:trPr>
          <w:jc w:val="center"/>
        </w:trPr>
        <w:tc>
          <w:tcPr>
            <w:tcW w:w="1890" w:type="dxa"/>
            <w:shd w:val="clear" w:color="auto" w:fill="B8CCE4"/>
          </w:tcPr>
          <w:p w:rsidR="003E24B5" w:rsidRDefault="003E24B5" w:rsidP="00833B5A">
            <w:pPr>
              <w:jc w:val="center"/>
              <w:rPr>
                <w:rFonts w:ascii="Calibri" w:hAnsi="Calibri" w:cs="Calibri"/>
                <w:b/>
                <w:bCs/>
                <w:i/>
                <w:iCs/>
                <w:color w:val="000000"/>
                <w:sz w:val="22"/>
              </w:rPr>
            </w:pPr>
            <w:r>
              <w:rPr>
                <w:rFonts w:ascii="Calibri" w:hAnsi="Calibri" w:cs="Calibri"/>
                <w:b/>
                <w:bCs/>
                <w:i/>
                <w:iCs/>
                <w:color w:val="000000"/>
                <w:sz w:val="22"/>
              </w:rPr>
              <w:t>Receiving handling and storage</w:t>
            </w:r>
          </w:p>
        </w:tc>
        <w:tc>
          <w:tcPr>
            <w:tcW w:w="2635"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 xml:space="preserve">Handle and store in a manner to protect from </w:t>
            </w:r>
          </w:p>
          <w:p w:rsidR="003E24B5" w:rsidRDefault="003E24B5" w:rsidP="00162446">
            <w:pPr>
              <w:pStyle w:val="ListParagraph"/>
              <w:numPr>
                <w:ilvl w:val="1"/>
                <w:numId w:val="48"/>
              </w:numPr>
              <w:spacing w:before="120" w:after="120"/>
              <w:ind w:left="743" w:hanging="284"/>
              <w:jc w:val="left"/>
              <w:rPr>
                <w:rFonts w:ascii="Calibri" w:hAnsi="Calibri"/>
                <w:i/>
                <w:szCs w:val="20"/>
              </w:rPr>
            </w:pPr>
            <w:r>
              <w:rPr>
                <w:rFonts w:ascii="Calibri" w:hAnsi="Calibri"/>
                <w:i/>
                <w:szCs w:val="20"/>
              </w:rPr>
              <w:t>Theft</w:t>
            </w:r>
          </w:p>
          <w:p w:rsidR="003E24B5" w:rsidRDefault="003E24B5" w:rsidP="00162446">
            <w:pPr>
              <w:pStyle w:val="ListParagraph"/>
              <w:numPr>
                <w:ilvl w:val="1"/>
                <w:numId w:val="48"/>
              </w:numPr>
              <w:spacing w:before="120" w:after="120"/>
              <w:ind w:left="743" w:hanging="284"/>
              <w:jc w:val="left"/>
              <w:rPr>
                <w:rFonts w:ascii="Calibri" w:hAnsi="Calibri"/>
                <w:i/>
                <w:szCs w:val="20"/>
              </w:rPr>
            </w:pPr>
            <w:r>
              <w:rPr>
                <w:rFonts w:ascii="Calibri" w:hAnsi="Calibri"/>
                <w:i/>
                <w:szCs w:val="20"/>
              </w:rPr>
              <w:t>Exposure to elements</w:t>
            </w:r>
          </w:p>
          <w:p w:rsidR="003E24B5" w:rsidRDefault="003E24B5" w:rsidP="00162446">
            <w:pPr>
              <w:pStyle w:val="ListParagraph"/>
              <w:numPr>
                <w:ilvl w:val="1"/>
                <w:numId w:val="48"/>
              </w:numPr>
              <w:spacing w:before="120" w:after="120"/>
              <w:ind w:left="743" w:hanging="284"/>
              <w:jc w:val="left"/>
              <w:rPr>
                <w:rFonts w:ascii="Calibri" w:hAnsi="Calibri"/>
                <w:i/>
                <w:szCs w:val="20"/>
              </w:rPr>
            </w:pPr>
            <w:r>
              <w:rPr>
                <w:rFonts w:ascii="Calibri" w:hAnsi="Calibri"/>
                <w:i/>
                <w:szCs w:val="20"/>
              </w:rPr>
              <w:t>Exposure of people</w:t>
            </w:r>
          </w:p>
          <w:p w:rsidR="003E24B5" w:rsidRDefault="003E24B5" w:rsidP="00162446">
            <w:pPr>
              <w:pStyle w:val="ListParagraph"/>
              <w:numPr>
                <w:ilvl w:val="1"/>
                <w:numId w:val="48"/>
              </w:numPr>
              <w:spacing w:before="120" w:after="120"/>
              <w:ind w:left="743" w:hanging="284"/>
              <w:jc w:val="left"/>
              <w:rPr>
                <w:rFonts w:ascii="Calibri" w:hAnsi="Calibri"/>
                <w:i/>
                <w:szCs w:val="20"/>
              </w:rPr>
            </w:pPr>
            <w:r>
              <w:rPr>
                <w:rFonts w:ascii="Calibri" w:hAnsi="Calibri"/>
                <w:i/>
                <w:szCs w:val="20"/>
              </w:rPr>
              <w:t>CRT or flat panel breakage</w:t>
            </w:r>
          </w:p>
        </w:tc>
        <w:tc>
          <w:tcPr>
            <w:tcW w:w="2200" w:type="dxa"/>
            <w:shd w:val="clear" w:color="auto" w:fill="B8CCE4"/>
            <w:vAlign w:val="center"/>
          </w:tcPr>
          <w:p w:rsidR="003E24B5" w:rsidRDefault="003E24B5" w:rsidP="00833B5A">
            <w:pPr>
              <w:spacing w:before="120" w:after="120"/>
              <w:jc w:val="center"/>
              <w:rPr>
                <w:rFonts w:ascii="Calibri" w:hAnsi="Calibri"/>
                <w:i/>
                <w:szCs w:val="20"/>
              </w:rPr>
            </w:pPr>
          </w:p>
        </w:tc>
        <w:tc>
          <w:tcPr>
            <w:tcW w:w="2400"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 xml:space="preserve">Handle and store in a manner to protect from </w:t>
            </w:r>
          </w:p>
          <w:p w:rsidR="003E24B5" w:rsidRDefault="003E24B5" w:rsidP="00162446">
            <w:pPr>
              <w:pStyle w:val="ListParagraph"/>
              <w:numPr>
                <w:ilvl w:val="1"/>
                <w:numId w:val="48"/>
              </w:numPr>
              <w:spacing w:before="120" w:after="120"/>
              <w:ind w:left="743" w:hanging="284"/>
              <w:jc w:val="left"/>
              <w:rPr>
                <w:rFonts w:ascii="Calibri" w:hAnsi="Calibri"/>
                <w:i/>
                <w:szCs w:val="20"/>
              </w:rPr>
            </w:pPr>
            <w:r>
              <w:rPr>
                <w:rFonts w:ascii="Calibri" w:hAnsi="Calibri"/>
                <w:i/>
                <w:szCs w:val="20"/>
              </w:rPr>
              <w:t>Theft</w:t>
            </w:r>
          </w:p>
          <w:p w:rsidR="003E24B5" w:rsidRPr="00A149ED"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Store only as much as can be treated in 6 months</w:t>
            </w:r>
          </w:p>
        </w:tc>
        <w:tc>
          <w:tcPr>
            <w:tcW w:w="3000"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Full OHS assessment reviewed every 3 years</w:t>
            </w:r>
          </w:p>
          <w:p w:rsidR="003E24B5" w:rsidRPr="00DD7F5B" w:rsidRDefault="003E24B5" w:rsidP="00833B5A">
            <w:pPr>
              <w:spacing w:before="120" w:after="120"/>
              <w:ind w:left="34"/>
              <w:jc w:val="left"/>
              <w:rPr>
                <w:rFonts w:ascii="Calibri" w:hAnsi="Calibri"/>
                <w:i/>
                <w:szCs w:val="20"/>
              </w:rPr>
            </w:pPr>
          </w:p>
        </w:tc>
        <w:tc>
          <w:tcPr>
            <w:tcW w:w="2664" w:type="dxa"/>
            <w:shd w:val="clear" w:color="auto" w:fill="B8CCE4"/>
          </w:tcPr>
          <w:p w:rsidR="003E24B5" w:rsidRPr="00A149ED" w:rsidRDefault="003E24B5" w:rsidP="00162446">
            <w:pPr>
              <w:pStyle w:val="ListParagraph"/>
              <w:numPr>
                <w:ilvl w:val="0"/>
                <w:numId w:val="48"/>
              </w:numPr>
              <w:spacing w:before="120" w:after="120"/>
              <w:ind w:left="317" w:hanging="283"/>
              <w:jc w:val="left"/>
              <w:rPr>
                <w:rFonts w:ascii="Calibri" w:hAnsi="Calibri"/>
                <w:i/>
                <w:szCs w:val="20"/>
              </w:rPr>
            </w:pPr>
            <w:r w:rsidRPr="00A149ED">
              <w:rPr>
                <w:rFonts w:ascii="Calibri" w:hAnsi="Calibri"/>
                <w:i/>
                <w:szCs w:val="20"/>
              </w:rPr>
              <w:t>No spec</w:t>
            </w:r>
            <w:r>
              <w:rPr>
                <w:rFonts w:ascii="Calibri" w:hAnsi="Calibri"/>
                <w:i/>
                <w:szCs w:val="20"/>
              </w:rPr>
              <w:t>ifi</w:t>
            </w:r>
            <w:r w:rsidRPr="00A149ED">
              <w:rPr>
                <w:rFonts w:ascii="Calibri" w:hAnsi="Calibri"/>
                <w:i/>
                <w:szCs w:val="20"/>
              </w:rPr>
              <w:t>cation on amount that can be stored at any given time</w:t>
            </w:r>
          </w:p>
        </w:tc>
      </w:tr>
      <w:tr w:rsidR="003E24B5" w:rsidTr="006033C4">
        <w:trPr>
          <w:jc w:val="center"/>
        </w:trPr>
        <w:tc>
          <w:tcPr>
            <w:tcW w:w="1890" w:type="dxa"/>
            <w:shd w:val="clear" w:color="auto" w:fill="B8CCE4"/>
          </w:tcPr>
          <w:p w:rsidR="003E24B5" w:rsidRDefault="003E24B5" w:rsidP="00833B5A">
            <w:pPr>
              <w:jc w:val="center"/>
              <w:rPr>
                <w:rFonts w:ascii="Calibri" w:hAnsi="Calibri" w:cs="Calibri"/>
                <w:b/>
                <w:bCs/>
                <w:i/>
                <w:iCs/>
                <w:color w:val="000000"/>
                <w:sz w:val="22"/>
              </w:rPr>
            </w:pPr>
            <w:r>
              <w:rPr>
                <w:rFonts w:ascii="Calibri" w:hAnsi="Calibri" w:cs="Calibri"/>
                <w:b/>
                <w:bCs/>
                <w:i/>
                <w:iCs/>
                <w:color w:val="000000"/>
                <w:sz w:val="22"/>
              </w:rPr>
              <w:t>Data security</w:t>
            </w:r>
          </w:p>
        </w:tc>
        <w:tc>
          <w:tcPr>
            <w:tcW w:w="2635"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Display sign notifying that responsibility for data security rests with owner</w:t>
            </w:r>
          </w:p>
        </w:tc>
        <w:tc>
          <w:tcPr>
            <w:tcW w:w="2200"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Facility to have data storage destruction process</w:t>
            </w:r>
          </w:p>
        </w:tc>
        <w:tc>
          <w:tcPr>
            <w:tcW w:w="2400" w:type="dxa"/>
            <w:shd w:val="clear" w:color="auto" w:fill="B8CCE4"/>
            <w:vAlign w:val="center"/>
          </w:tcPr>
          <w:p w:rsidR="003E24B5" w:rsidRDefault="003E24B5" w:rsidP="00833B5A">
            <w:pPr>
              <w:spacing w:before="120" w:after="120"/>
              <w:jc w:val="center"/>
              <w:rPr>
                <w:rFonts w:ascii="Calibri" w:hAnsi="Calibri"/>
                <w:i/>
                <w:szCs w:val="20"/>
              </w:rPr>
            </w:pPr>
            <w:r>
              <w:rPr>
                <w:rFonts w:ascii="Calibri" w:hAnsi="Calibri"/>
                <w:i/>
                <w:szCs w:val="20"/>
              </w:rPr>
              <w:t>Not specifically addressed</w:t>
            </w:r>
          </w:p>
        </w:tc>
        <w:tc>
          <w:tcPr>
            <w:tcW w:w="3000"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Customer to sign a waiver if data security not offered</w:t>
            </w:r>
          </w:p>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If data security offered, terms to be fully described</w:t>
            </w:r>
          </w:p>
        </w:tc>
        <w:tc>
          <w:tcPr>
            <w:tcW w:w="2664"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No data security required</w:t>
            </w:r>
          </w:p>
        </w:tc>
      </w:tr>
      <w:tr w:rsidR="003E24B5" w:rsidTr="006033C4">
        <w:trPr>
          <w:jc w:val="center"/>
        </w:trPr>
        <w:tc>
          <w:tcPr>
            <w:tcW w:w="1890" w:type="dxa"/>
            <w:shd w:val="clear" w:color="auto" w:fill="B8CCE4"/>
          </w:tcPr>
          <w:p w:rsidR="003E24B5" w:rsidRDefault="003E24B5" w:rsidP="00833B5A">
            <w:pPr>
              <w:jc w:val="center"/>
              <w:rPr>
                <w:rFonts w:ascii="Calibri" w:hAnsi="Calibri" w:cs="Calibri"/>
                <w:b/>
                <w:bCs/>
                <w:i/>
                <w:iCs/>
                <w:color w:val="000000"/>
                <w:sz w:val="22"/>
              </w:rPr>
            </w:pPr>
            <w:r>
              <w:rPr>
                <w:rFonts w:ascii="Calibri" w:hAnsi="Calibri" w:cs="Calibri"/>
                <w:b/>
                <w:bCs/>
                <w:i/>
                <w:iCs/>
                <w:color w:val="000000"/>
                <w:sz w:val="22"/>
              </w:rPr>
              <w:t>Reporting</w:t>
            </w:r>
          </w:p>
        </w:tc>
        <w:tc>
          <w:tcPr>
            <w:tcW w:w="2635"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Report to PSO:</w:t>
            </w:r>
          </w:p>
          <w:p w:rsidR="003E24B5" w:rsidRDefault="003E24B5" w:rsidP="00162446">
            <w:pPr>
              <w:pStyle w:val="ListParagraph"/>
              <w:numPr>
                <w:ilvl w:val="1"/>
                <w:numId w:val="48"/>
              </w:numPr>
              <w:spacing w:before="120" w:after="120"/>
              <w:ind w:left="743" w:hanging="284"/>
              <w:jc w:val="left"/>
              <w:rPr>
                <w:rFonts w:ascii="Calibri" w:hAnsi="Calibri"/>
                <w:i/>
                <w:szCs w:val="20"/>
              </w:rPr>
            </w:pPr>
            <w:r>
              <w:rPr>
                <w:rFonts w:ascii="Calibri" w:hAnsi="Calibri"/>
                <w:i/>
                <w:szCs w:val="20"/>
              </w:rPr>
              <w:t>Within 5 days of incident</w:t>
            </w:r>
          </w:p>
          <w:p w:rsidR="003E24B5" w:rsidRDefault="003E24B5" w:rsidP="00162446">
            <w:pPr>
              <w:pStyle w:val="ListParagraph"/>
              <w:numPr>
                <w:ilvl w:val="1"/>
                <w:numId w:val="48"/>
              </w:numPr>
              <w:spacing w:before="120" w:after="120"/>
              <w:ind w:left="743" w:hanging="284"/>
              <w:jc w:val="left"/>
              <w:rPr>
                <w:rFonts w:ascii="Calibri" w:hAnsi="Calibri"/>
                <w:i/>
                <w:szCs w:val="20"/>
              </w:rPr>
            </w:pPr>
            <w:r w:rsidRPr="005F42D4">
              <w:rPr>
                <w:rFonts w:ascii="Calibri" w:hAnsi="Calibri"/>
                <w:i/>
                <w:szCs w:val="20"/>
              </w:rPr>
              <w:t>On quantity and origin of items processed</w:t>
            </w:r>
          </w:p>
          <w:p w:rsidR="003E24B5" w:rsidRDefault="003E24B5" w:rsidP="00162446">
            <w:pPr>
              <w:pStyle w:val="ListParagraph"/>
              <w:numPr>
                <w:ilvl w:val="1"/>
                <w:numId w:val="48"/>
              </w:numPr>
              <w:spacing w:before="120" w:after="120"/>
              <w:ind w:left="743" w:hanging="284"/>
              <w:jc w:val="left"/>
              <w:rPr>
                <w:rFonts w:ascii="Calibri" w:hAnsi="Calibri"/>
                <w:i/>
                <w:szCs w:val="20"/>
              </w:rPr>
            </w:pPr>
            <w:r>
              <w:rPr>
                <w:rFonts w:ascii="Calibri" w:hAnsi="Calibri"/>
                <w:i/>
                <w:szCs w:val="20"/>
              </w:rPr>
              <w:t>Amount recycled and disposed</w:t>
            </w:r>
          </w:p>
          <w:p w:rsidR="003E24B5" w:rsidRDefault="003E24B5" w:rsidP="00162446">
            <w:pPr>
              <w:pStyle w:val="ListParagraph"/>
              <w:numPr>
                <w:ilvl w:val="1"/>
                <w:numId w:val="48"/>
              </w:numPr>
              <w:spacing w:before="120" w:after="120"/>
              <w:ind w:left="743" w:hanging="284"/>
              <w:jc w:val="left"/>
              <w:rPr>
                <w:rFonts w:ascii="Calibri" w:hAnsi="Calibri"/>
                <w:i/>
                <w:szCs w:val="20"/>
              </w:rPr>
            </w:pPr>
            <w:r>
              <w:rPr>
                <w:rFonts w:ascii="Calibri" w:hAnsi="Calibri"/>
                <w:i/>
                <w:szCs w:val="20"/>
              </w:rPr>
              <w:t xml:space="preserve">Quantity dispatched </w:t>
            </w:r>
            <w:r>
              <w:rPr>
                <w:rFonts w:ascii="Calibri" w:hAnsi="Calibri"/>
                <w:i/>
                <w:szCs w:val="20"/>
              </w:rPr>
              <w:lastRenderedPageBreak/>
              <w:t>to downstream processors and name of processor</w:t>
            </w:r>
          </w:p>
        </w:tc>
        <w:tc>
          <w:tcPr>
            <w:tcW w:w="2200"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lastRenderedPageBreak/>
              <w:t>Document downstream flow including how goods processed and percentage of materials sent to each processor</w:t>
            </w:r>
          </w:p>
        </w:tc>
        <w:tc>
          <w:tcPr>
            <w:tcW w:w="2400"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Document quantities of WEEE collected and forwarded and maintain records for 3 years.</w:t>
            </w:r>
          </w:p>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 xml:space="preserve">Treatment operator to provide evidence of meeting targets in EC Directive </w:t>
            </w:r>
          </w:p>
          <w:p w:rsidR="003E24B5" w:rsidRDefault="003E24B5" w:rsidP="00162446">
            <w:pPr>
              <w:pStyle w:val="ListParagraph"/>
              <w:numPr>
                <w:ilvl w:val="0"/>
                <w:numId w:val="48"/>
              </w:numPr>
              <w:spacing w:before="120" w:after="120"/>
              <w:ind w:left="317" w:hanging="283"/>
              <w:jc w:val="left"/>
              <w:rPr>
                <w:rFonts w:ascii="Calibri" w:hAnsi="Calibri"/>
                <w:i/>
                <w:szCs w:val="20"/>
              </w:rPr>
            </w:pPr>
          </w:p>
        </w:tc>
        <w:tc>
          <w:tcPr>
            <w:tcW w:w="3000"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Report to a central database on specified information (e.g. materials processed)</w:t>
            </w:r>
          </w:p>
          <w:p w:rsidR="003E24B5" w:rsidRDefault="003E24B5" w:rsidP="00833B5A">
            <w:pPr>
              <w:pStyle w:val="ListParagraph"/>
              <w:spacing w:before="120" w:after="120"/>
              <w:ind w:left="317"/>
              <w:jc w:val="left"/>
              <w:rPr>
                <w:rFonts w:ascii="Calibri" w:hAnsi="Calibri"/>
                <w:i/>
                <w:szCs w:val="20"/>
              </w:rPr>
            </w:pPr>
          </w:p>
        </w:tc>
        <w:tc>
          <w:tcPr>
            <w:tcW w:w="2664" w:type="dxa"/>
            <w:shd w:val="clear" w:color="auto" w:fill="B8CCE4"/>
          </w:tcPr>
          <w:p w:rsidR="003E24B5" w:rsidRDefault="003E24B5" w:rsidP="00833B5A">
            <w:pPr>
              <w:pStyle w:val="ListParagraph"/>
              <w:spacing w:before="120" w:after="120"/>
              <w:ind w:left="360"/>
              <w:rPr>
                <w:rFonts w:ascii="Calibri" w:hAnsi="Calibri"/>
                <w:szCs w:val="20"/>
              </w:rPr>
            </w:pPr>
          </w:p>
        </w:tc>
      </w:tr>
      <w:tr w:rsidR="003E24B5" w:rsidTr="006033C4">
        <w:trPr>
          <w:jc w:val="center"/>
        </w:trPr>
        <w:tc>
          <w:tcPr>
            <w:tcW w:w="1890" w:type="dxa"/>
            <w:shd w:val="clear" w:color="auto" w:fill="B8CCE4"/>
          </w:tcPr>
          <w:p w:rsidR="003E24B5" w:rsidRDefault="003E24B5" w:rsidP="00833B5A">
            <w:pPr>
              <w:jc w:val="center"/>
              <w:rPr>
                <w:rFonts w:ascii="Calibri" w:hAnsi="Calibri" w:cs="Calibri"/>
                <w:b/>
                <w:bCs/>
                <w:i/>
                <w:iCs/>
                <w:color w:val="000000"/>
                <w:sz w:val="22"/>
              </w:rPr>
            </w:pPr>
            <w:r>
              <w:rPr>
                <w:rFonts w:ascii="Calibri" w:hAnsi="Calibri" w:cs="Calibri"/>
                <w:b/>
                <w:bCs/>
                <w:i/>
                <w:iCs/>
                <w:color w:val="000000"/>
                <w:sz w:val="22"/>
              </w:rPr>
              <w:lastRenderedPageBreak/>
              <w:t>Records Management</w:t>
            </w:r>
          </w:p>
        </w:tc>
        <w:tc>
          <w:tcPr>
            <w:tcW w:w="2635"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Maintain records for 3 years</w:t>
            </w:r>
          </w:p>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Maintain CoC; waste records etc</w:t>
            </w:r>
          </w:p>
        </w:tc>
        <w:tc>
          <w:tcPr>
            <w:tcW w:w="2200"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Maintain records for three years</w:t>
            </w:r>
          </w:p>
          <w:p w:rsidR="003E24B5" w:rsidRPr="001A185E"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Maintain evidence of transport permits etc where required</w:t>
            </w:r>
          </w:p>
        </w:tc>
        <w:tc>
          <w:tcPr>
            <w:tcW w:w="2400"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Maintain records for 3 years</w:t>
            </w:r>
          </w:p>
          <w:p w:rsidR="003E24B5" w:rsidRDefault="003E24B5" w:rsidP="00833B5A">
            <w:pPr>
              <w:pStyle w:val="ListParagraph"/>
              <w:spacing w:before="120" w:after="120"/>
              <w:ind w:left="317" w:hanging="283"/>
              <w:rPr>
                <w:rFonts w:ascii="Calibri" w:hAnsi="Calibri"/>
                <w:szCs w:val="20"/>
              </w:rPr>
            </w:pPr>
          </w:p>
        </w:tc>
        <w:tc>
          <w:tcPr>
            <w:tcW w:w="3000"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Establish procedure to control records</w:t>
            </w:r>
          </w:p>
        </w:tc>
        <w:tc>
          <w:tcPr>
            <w:tcW w:w="2664" w:type="dxa"/>
            <w:shd w:val="clear" w:color="auto" w:fill="B8CCE4"/>
          </w:tcPr>
          <w:p w:rsidR="003E24B5" w:rsidRDefault="003E24B5" w:rsidP="00833B5A">
            <w:pPr>
              <w:pStyle w:val="ListParagraph"/>
              <w:spacing w:before="120" w:after="120"/>
              <w:ind w:left="360"/>
              <w:rPr>
                <w:rFonts w:ascii="Calibri" w:hAnsi="Calibri"/>
                <w:szCs w:val="20"/>
              </w:rPr>
            </w:pPr>
          </w:p>
        </w:tc>
      </w:tr>
      <w:tr w:rsidR="003E24B5" w:rsidTr="006033C4">
        <w:trPr>
          <w:jc w:val="center"/>
        </w:trPr>
        <w:tc>
          <w:tcPr>
            <w:tcW w:w="1890" w:type="dxa"/>
            <w:shd w:val="clear" w:color="auto" w:fill="B8CCE4"/>
          </w:tcPr>
          <w:p w:rsidR="003E24B5" w:rsidRDefault="003E24B5" w:rsidP="00833B5A">
            <w:pPr>
              <w:jc w:val="center"/>
              <w:rPr>
                <w:rFonts w:ascii="Calibri" w:hAnsi="Calibri" w:cs="Calibri"/>
                <w:b/>
                <w:bCs/>
                <w:i/>
                <w:iCs/>
                <w:color w:val="000000"/>
                <w:sz w:val="22"/>
              </w:rPr>
            </w:pPr>
            <w:r>
              <w:rPr>
                <w:rFonts w:ascii="Calibri" w:hAnsi="Calibri" w:cs="Calibri"/>
                <w:b/>
                <w:bCs/>
                <w:i/>
                <w:iCs/>
                <w:color w:val="000000"/>
                <w:sz w:val="22"/>
              </w:rPr>
              <w:t>Disposal to landfill</w:t>
            </w:r>
          </w:p>
        </w:tc>
        <w:tc>
          <w:tcPr>
            <w:tcW w:w="2635"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Only dispose waste at licensed facility</w:t>
            </w:r>
          </w:p>
        </w:tc>
        <w:tc>
          <w:tcPr>
            <w:tcW w:w="2200" w:type="dxa"/>
            <w:shd w:val="clear" w:color="auto" w:fill="B8CCE4"/>
            <w:vAlign w:val="center"/>
          </w:tcPr>
          <w:p w:rsidR="003E24B5" w:rsidRDefault="003E24B5" w:rsidP="00833B5A">
            <w:pPr>
              <w:spacing w:before="120" w:after="120"/>
              <w:jc w:val="center"/>
              <w:rPr>
                <w:rFonts w:ascii="Calibri" w:hAnsi="Calibri"/>
                <w:i/>
                <w:szCs w:val="20"/>
              </w:rPr>
            </w:pPr>
            <w:r>
              <w:rPr>
                <w:rFonts w:ascii="Calibri" w:hAnsi="Calibri"/>
                <w:i/>
                <w:szCs w:val="20"/>
              </w:rPr>
              <w:t>Not specifically addressed</w:t>
            </w:r>
          </w:p>
        </w:tc>
        <w:tc>
          <w:tcPr>
            <w:tcW w:w="2400" w:type="dxa"/>
            <w:shd w:val="clear" w:color="auto" w:fill="B8CCE4"/>
            <w:vAlign w:val="center"/>
          </w:tcPr>
          <w:p w:rsidR="003E24B5" w:rsidRDefault="003E24B5" w:rsidP="00833B5A">
            <w:pPr>
              <w:spacing w:before="120" w:after="120"/>
              <w:jc w:val="center"/>
              <w:rPr>
                <w:rFonts w:ascii="Calibri" w:hAnsi="Calibri"/>
                <w:i/>
                <w:szCs w:val="20"/>
              </w:rPr>
            </w:pPr>
            <w:r>
              <w:rPr>
                <w:rFonts w:ascii="Calibri" w:hAnsi="Calibri"/>
                <w:i/>
                <w:szCs w:val="20"/>
              </w:rPr>
              <w:t>Not specifically addressed</w:t>
            </w:r>
          </w:p>
        </w:tc>
        <w:tc>
          <w:tcPr>
            <w:tcW w:w="3000" w:type="dxa"/>
            <w:shd w:val="clear" w:color="auto" w:fill="B8CCE4"/>
            <w:vAlign w:val="center"/>
          </w:tcPr>
          <w:p w:rsidR="003E24B5" w:rsidRDefault="003E24B5" w:rsidP="00833B5A">
            <w:pPr>
              <w:spacing w:before="120" w:after="120"/>
              <w:jc w:val="center"/>
              <w:rPr>
                <w:rFonts w:ascii="Calibri" w:hAnsi="Calibri"/>
                <w:i/>
                <w:szCs w:val="20"/>
              </w:rPr>
            </w:pPr>
            <w:r>
              <w:rPr>
                <w:rFonts w:ascii="Calibri" w:hAnsi="Calibri"/>
                <w:i/>
                <w:szCs w:val="20"/>
              </w:rPr>
              <w:t>Not specifically addressed</w:t>
            </w:r>
          </w:p>
        </w:tc>
        <w:tc>
          <w:tcPr>
            <w:tcW w:w="2664" w:type="dxa"/>
            <w:shd w:val="clear" w:color="auto" w:fill="B8CCE4"/>
          </w:tcPr>
          <w:p w:rsidR="003E24B5" w:rsidRDefault="003E24B5" w:rsidP="00833B5A">
            <w:pPr>
              <w:pStyle w:val="ListParagraph"/>
              <w:spacing w:before="120" w:after="120"/>
              <w:ind w:left="360"/>
              <w:rPr>
                <w:rFonts w:ascii="Calibri" w:hAnsi="Calibri"/>
                <w:szCs w:val="20"/>
              </w:rPr>
            </w:pPr>
          </w:p>
        </w:tc>
      </w:tr>
      <w:tr w:rsidR="003E24B5" w:rsidTr="006033C4">
        <w:trPr>
          <w:jc w:val="center"/>
        </w:trPr>
        <w:tc>
          <w:tcPr>
            <w:tcW w:w="12125" w:type="dxa"/>
            <w:gridSpan w:val="5"/>
            <w:shd w:val="clear" w:color="auto" w:fill="B8CCE4"/>
          </w:tcPr>
          <w:p w:rsidR="003E24B5" w:rsidRPr="00207777" w:rsidRDefault="003E24B5" w:rsidP="00833B5A">
            <w:pPr>
              <w:spacing w:before="120" w:after="120"/>
              <w:rPr>
                <w:rFonts w:ascii="Calibri" w:hAnsi="Calibri"/>
                <w:szCs w:val="20"/>
              </w:rPr>
            </w:pPr>
            <w:r w:rsidRPr="00207777">
              <w:rPr>
                <w:rFonts w:ascii="Calibri" w:hAnsi="Calibri" w:cs="Calibri"/>
                <w:b/>
                <w:bCs/>
                <w:i/>
                <w:iCs/>
                <w:color w:val="000000"/>
                <w:sz w:val="22"/>
              </w:rPr>
              <w:t>Requirements for collection locations</w:t>
            </w:r>
          </w:p>
        </w:tc>
        <w:tc>
          <w:tcPr>
            <w:tcW w:w="2664" w:type="dxa"/>
            <w:shd w:val="clear" w:color="auto" w:fill="B8CCE4"/>
          </w:tcPr>
          <w:p w:rsidR="003E24B5" w:rsidRPr="00207777" w:rsidRDefault="003E24B5" w:rsidP="00833B5A">
            <w:pPr>
              <w:spacing w:before="120" w:after="120"/>
              <w:rPr>
                <w:rFonts w:ascii="Calibri" w:hAnsi="Calibri" w:cs="Calibri"/>
                <w:b/>
                <w:bCs/>
                <w:i/>
                <w:iCs/>
                <w:color w:val="000000"/>
                <w:sz w:val="22"/>
              </w:rPr>
            </w:pPr>
          </w:p>
        </w:tc>
      </w:tr>
      <w:tr w:rsidR="003E24B5" w:rsidTr="006033C4">
        <w:trPr>
          <w:jc w:val="center"/>
        </w:trPr>
        <w:tc>
          <w:tcPr>
            <w:tcW w:w="1890" w:type="dxa"/>
            <w:shd w:val="clear" w:color="auto" w:fill="B8CCE4"/>
          </w:tcPr>
          <w:p w:rsidR="003E24B5" w:rsidRDefault="003E24B5" w:rsidP="00833B5A">
            <w:pPr>
              <w:jc w:val="center"/>
              <w:rPr>
                <w:rFonts w:ascii="Calibri" w:hAnsi="Calibri" w:cs="Calibri"/>
                <w:b/>
                <w:bCs/>
                <w:i/>
                <w:iCs/>
                <w:color w:val="000000"/>
                <w:sz w:val="22"/>
              </w:rPr>
            </w:pPr>
            <w:r>
              <w:rPr>
                <w:rFonts w:ascii="Calibri" w:hAnsi="Calibri" w:cs="Calibri"/>
                <w:b/>
                <w:bCs/>
                <w:i/>
                <w:iCs/>
                <w:color w:val="000000"/>
                <w:sz w:val="22"/>
              </w:rPr>
              <w:t>Access</w:t>
            </w:r>
          </w:p>
        </w:tc>
        <w:tc>
          <w:tcPr>
            <w:tcW w:w="2635"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Easily accessible to public</w:t>
            </w:r>
          </w:p>
        </w:tc>
        <w:tc>
          <w:tcPr>
            <w:tcW w:w="2200" w:type="dxa"/>
            <w:shd w:val="clear" w:color="auto" w:fill="B8CCE4"/>
            <w:vAlign w:val="center"/>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Prevent unauthorised access</w:t>
            </w:r>
          </w:p>
        </w:tc>
        <w:tc>
          <w:tcPr>
            <w:tcW w:w="2400" w:type="dxa"/>
            <w:shd w:val="clear" w:color="auto" w:fill="B8CCE4"/>
          </w:tcPr>
          <w:p w:rsidR="003E24B5" w:rsidRPr="00207777" w:rsidRDefault="003E24B5" w:rsidP="00833B5A">
            <w:pPr>
              <w:spacing w:before="120" w:after="120"/>
              <w:rPr>
                <w:rFonts w:ascii="Calibri" w:hAnsi="Calibri"/>
                <w:szCs w:val="20"/>
              </w:rPr>
            </w:pPr>
          </w:p>
        </w:tc>
        <w:tc>
          <w:tcPr>
            <w:tcW w:w="3000" w:type="dxa"/>
            <w:shd w:val="clear" w:color="auto" w:fill="B8CCE4"/>
            <w:vAlign w:val="center"/>
          </w:tcPr>
          <w:p w:rsidR="003E24B5" w:rsidRDefault="003E24B5" w:rsidP="00833B5A">
            <w:pPr>
              <w:spacing w:before="120" w:after="120"/>
              <w:jc w:val="center"/>
              <w:rPr>
                <w:rFonts w:ascii="Calibri" w:hAnsi="Calibri"/>
                <w:i/>
                <w:szCs w:val="20"/>
              </w:rPr>
            </w:pPr>
            <w:r>
              <w:rPr>
                <w:rFonts w:ascii="Calibri" w:hAnsi="Calibri"/>
                <w:i/>
                <w:szCs w:val="20"/>
              </w:rPr>
              <w:t>Not specifically addressed</w:t>
            </w:r>
          </w:p>
        </w:tc>
        <w:tc>
          <w:tcPr>
            <w:tcW w:w="2664" w:type="dxa"/>
            <w:shd w:val="clear" w:color="auto" w:fill="B8CCE4"/>
          </w:tcPr>
          <w:p w:rsidR="003E24B5" w:rsidRPr="00796ABF" w:rsidRDefault="003E24B5" w:rsidP="00833B5A">
            <w:pPr>
              <w:pStyle w:val="ListParagraph"/>
              <w:spacing w:before="120" w:after="120"/>
              <w:ind w:left="360"/>
              <w:rPr>
                <w:rFonts w:ascii="Calibri" w:hAnsi="Calibri"/>
                <w:szCs w:val="20"/>
              </w:rPr>
            </w:pPr>
          </w:p>
        </w:tc>
      </w:tr>
      <w:tr w:rsidR="003E24B5" w:rsidTr="006033C4">
        <w:trPr>
          <w:jc w:val="center"/>
        </w:trPr>
        <w:tc>
          <w:tcPr>
            <w:tcW w:w="1890" w:type="dxa"/>
            <w:shd w:val="clear" w:color="auto" w:fill="B8CCE4"/>
          </w:tcPr>
          <w:p w:rsidR="003E24B5" w:rsidRDefault="003E24B5" w:rsidP="00833B5A">
            <w:pPr>
              <w:jc w:val="center"/>
              <w:rPr>
                <w:rFonts w:ascii="Calibri" w:hAnsi="Calibri" w:cs="Calibri"/>
                <w:b/>
                <w:bCs/>
                <w:i/>
                <w:iCs/>
                <w:color w:val="000000"/>
                <w:sz w:val="22"/>
              </w:rPr>
            </w:pPr>
            <w:r>
              <w:rPr>
                <w:rFonts w:ascii="Calibri" w:hAnsi="Calibri" w:cs="Calibri"/>
                <w:b/>
                <w:bCs/>
                <w:i/>
                <w:iCs/>
                <w:color w:val="000000"/>
                <w:sz w:val="22"/>
              </w:rPr>
              <w:t>Signage</w:t>
            </w:r>
          </w:p>
        </w:tc>
        <w:tc>
          <w:tcPr>
            <w:tcW w:w="2635"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Clear signage for public</w:t>
            </w:r>
          </w:p>
        </w:tc>
        <w:tc>
          <w:tcPr>
            <w:tcW w:w="2200" w:type="dxa"/>
            <w:shd w:val="clear" w:color="auto" w:fill="B8CCE4"/>
            <w:vAlign w:val="center"/>
          </w:tcPr>
          <w:p w:rsidR="003E24B5" w:rsidRDefault="003E24B5" w:rsidP="00833B5A">
            <w:pPr>
              <w:spacing w:before="120" w:after="120"/>
              <w:jc w:val="center"/>
              <w:rPr>
                <w:rFonts w:ascii="Calibri" w:hAnsi="Calibri"/>
                <w:i/>
                <w:szCs w:val="20"/>
              </w:rPr>
            </w:pPr>
            <w:r>
              <w:rPr>
                <w:rFonts w:ascii="Calibri" w:hAnsi="Calibri"/>
                <w:i/>
                <w:szCs w:val="20"/>
              </w:rPr>
              <w:t>Not specifically addressed</w:t>
            </w:r>
          </w:p>
        </w:tc>
        <w:tc>
          <w:tcPr>
            <w:tcW w:w="2400" w:type="dxa"/>
            <w:shd w:val="clear" w:color="auto" w:fill="B8CCE4"/>
            <w:vAlign w:val="center"/>
          </w:tcPr>
          <w:p w:rsidR="003E24B5" w:rsidRDefault="003E24B5" w:rsidP="00833B5A">
            <w:pPr>
              <w:spacing w:before="120" w:after="120"/>
              <w:jc w:val="center"/>
              <w:rPr>
                <w:rFonts w:ascii="Calibri" w:hAnsi="Calibri"/>
                <w:i/>
                <w:szCs w:val="20"/>
              </w:rPr>
            </w:pPr>
            <w:r>
              <w:rPr>
                <w:rFonts w:ascii="Calibri" w:hAnsi="Calibri"/>
                <w:i/>
                <w:szCs w:val="20"/>
              </w:rPr>
              <w:t>Not specifically addressed</w:t>
            </w:r>
          </w:p>
        </w:tc>
        <w:tc>
          <w:tcPr>
            <w:tcW w:w="3000" w:type="dxa"/>
            <w:shd w:val="clear" w:color="auto" w:fill="B8CCE4"/>
            <w:vAlign w:val="center"/>
          </w:tcPr>
          <w:p w:rsidR="003E24B5" w:rsidRDefault="003E24B5" w:rsidP="00833B5A">
            <w:pPr>
              <w:spacing w:before="120" w:after="120"/>
              <w:jc w:val="center"/>
              <w:rPr>
                <w:rFonts w:ascii="Calibri" w:hAnsi="Calibri"/>
                <w:i/>
                <w:szCs w:val="20"/>
              </w:rPr>
            </w:pPr>
            <w:r>
              <w:rPr>
                <w:rFonts w:ascii="Calibri" w:hAnsi="Calibri"/>
                <w:i/>
                <w:szCs w:val="20"/>
              </w:rPr>
              <w:t>Not specifically addressed</w:t>
            </w:r>
          </w:p>
        </w:tc>
        <w:tc>
          <w:tcPr>
            <w:tcW w:w="2664" w:type="dxa"/>
            <w:shd w:val="clear" w:color="auto" w:fill="B8CCE4"/>
          </w:tcPr>
          <w:p w:rsidR="003E24B5" w:rsidRPr="00796ABF" w:rsidRDefault="003E24B5" w:rsidP="00833B5A">
            <w:pPr>
              <w:pStyle w:val="ListParagraph"/>
              <w:spacing w:before="120" w:after="120"/>
              <w:ind w:left="360"/>
              <w:rPr>
                <w:rFonts w:ascii="Calibri" w:hAnsi="Calibri"/>
                <w:szCs w:val="20"/>
              </w:rPr>
            </w:pPr>
          </w:p>
        </w:tc>
      </w:tr>
      <w:tr w:rsidR="003E24B5" w:rsidTr="006033C4">
        <w:trPr>
          <w:jc w:val="center"/>
        </w:trPr>
        <w:tc>
          <w:tcPr>
            <w:tcW w:w="1890" w:type="dxa"/>
            <w:shd w:val="clear" w:color="auto" w:fill="B8CCE4"/>
          </w:tcPr>
          <w:p w:rsidR="003E24B5" w:rsidRDefault="003E24B5" w:rsidP="00833B5A">
            <w:pPr>
              <w:jc w:val="center"/>
              <w:rPr>
                <w:rFonts w:ascii="Calibri" w:hAnsi="Calibri" w:cs="Calibri"/>
                <w:b/>
                <w:bCs/>
                <w:i/>
                <w:iCs/>
                <w:color w:val="000000"/>
                <w:sz w:val="22"/>
              </w:rPr>
            </w:pPr>
            <w:r>
              <w:rPr>
                <w:rFonts w:ascii="Calibri" w:hAnsi="Calibri" w:cs="Calibri"/>
                <w:b/>
                <w:bCs/>
                <w:i/>
                <w:iCs/>
                <w:color w:val="000000"/>
                <w:sz w:val="22"/>
              </w:rPr>
              <w:t>Storage</w:t>
            </w:r>
          </w:p>
        </w:tc>
        <w:tc>
          <w:tcPr>
            <w:tcW w:w="2635"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Clearly marked and segregated</w:t>
            </w:r>
          </w:p>
        </w:tc>
        <w:tc>
          <w:tcPr>
            <w:tcW w:w="2200" w:type="dxa"/>
            <w:shd w:val="clear" w:color="auto" w:fill="B8CCE4"/>
            <w:vAlign w:val="center"/>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Specifies controls for storage</w:t>
            </w:r>
          </w:p>
        </w:tc>
        <w:tc>
          <w:tcPr>
            <w:tcW w:w="2400"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Specifies controls for storage to ensure minimisation of environmental harm</w:t>
            </w:r>
          </w:p>
          <w:p w:rsidR="003E24B5" w:rsidRPr="006633CA" w:rsidRDefault="003E24B5" w:rsidP="00162446">
            <w:pPr>
              <w:pStyle w:val="ListParagraph"/>
              <w:numPr>
                <w:ilvl w:val="0"/>
                <w:numId w:val="48"/>
              </w:numPr>
              <w:spacing w:before="120" w:after="120"/>
              <w:ind w:left="317" w:hanging="283"/>
              <w:jc w:val="left"/>
              <w:rPr>
                <w:rFonts w:ascii="Calibri" w:hAnsi="Calibri"/>
                <w:szCs w:val="20"/>
              </w:rPr>
            </w:pPr>
            <w:r>
              <w:rPr>
                <w:rFonts w:ascii="Calibri" w:hAnsi="Calibri"/>
                <w:i/>
                <w:szCs w:val="20"/>
              </w:rPr>
              <w:t>Specifies controls for storage for goods intended for reuse</w:t>
            </w:r>
          </w:p>
          <w:p w:rsidR="003E24B5" w:rsidRPr="00207777" w:rsidRDefault="003E24B5" w:rsidP="00162446">
            <w:pPr>
              <w:pStyle w:val="ListParagraph"/>
              <w:numPr>
                <w:ilvl w:val="0"/>
                <w:numId w:val="48"/>
              </w:numPr>
              <w:spacing w:before="120" w:after="120"/>
              <w:ind w:left="317" w:hanging="283"/>
              <w:jc w:val="left"/>
              <w:rPr>
                <w:rFonts w:ascii="Calibri" w:hAnsi="Calibri"/>
                <w:szCs w:val="20"/>
              </w:rPr>
            </w:pPr>
            <w:r>
              <w:rPr>
                <w:rFonts w:ascii="Calibri" w:hAnsi="Calibri"/>
                <w:i/>
                <w:szCs w:val="20"/>
              </w:rPr>
              <w:t>Specifies controls for separation of WEEE from other wastes</w:t>
            </w:r>
          </w:p>
        </w:tc>
        <w:tc>
          <w:tcPr>
            <w:tcW w:w="3000" w:type="dxa"/>
            <w:shd w:val="clear" w:color="auto" w:fill="B8CCE4"/>
          </w:tcPr>
          <w:p w:rsidR="003E24B5" w:rsidRPr="00227784"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Specifies controls for storage to ensure minimisation of environmental harm</w:t>
            </w:r>
          </w:p>
        </w:tc>
        <w:tc>
          <w:tcPr>
            <w:tcW w:w="2664" w:type="dxa"/>
            <w:shd w:val="clear" w:color="auto" w:fill="B8CCE4"/>
          </w:tcPr>
          <w:p w:rsidR="003E24B5" w:rsidRPr="00796ABF" w:rsidRDefault="003E24B5" w:rsidP="00833B5A">
            <w:pPr>
              <w:pStyle w:val="ListParagraph"/>
              <w:spacing w:before="120" w:after="120"/>
              <w:ind w:left="360"/>
              <w:rPr>
                <w:rFonts w:ascii="Calibri" w:hAnsi="Calibri"/>
                <w:szCs w:val="20"/>
              </w:rPr>
            </w:pPr>
          </w:p>
        </w:tc>
      </w:tr>
      <w:tr w:rsidR="003E24B5" w:rsidTr="006033C4">
        <w:trPr>
          <w:jc w:val="center"/>
        </w:trPr>
        <w:tc>
          <w:tcPr>
            <w:tcW w:w="1890" w:type="dxa"/>
            <w:shd w:val="clear" w:color="auto" w:fill="B8CCE4"/>
          </w:tcPr>
          <w:p w:rsidR="003E24B5" w:rsidRDefault="003E24B5" w:rsidP="00833B5A">
            <w:pPr>
              <w:jc w:val="center"/>
              <w:rPr>
                <w:rFonts w:ascii="Calibri" w:hAnsi="Calibri" w:cs="Calibri"/>
                <w:b/>
                <w:bCs/>
                <w:i/>
                <w:iCs/>
                <w:color w:val="000000"/>
                <w:sz w:val="22"/>
              </w:rPr>
            </w:pPr>
            <w:r>
              <w:rPr>
                <w:rFonts w:ascii="Calibri" w:hAnsi="Calibri" w:cs="Calibri"/>
                <w:b/>
                <w:bCs/>
                <w:i/>
                <w:iCs/>
                <w:color w:val="000000"/>
                <w:sz w:val="22"/>
              </w:rPr>
              <w:t>Fees</w:t>
            </w:r>
          </w:p>
        </w:tc>
        <w:tc>
          <w:tcPr>
            <w:tcW w:w="2635" w:type="dxa"/>
            <w:shd w:val="clear" w:color="auto" w:fill="B8CCE4"/>
          </w:tcPr>
          <w:p w:rsidR="003E24B5" w:rsidRPr="001A185E"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No cost to public</w:t>
            </w:r>
          </w:p>
        </w:tc>
        <w:tc>
          <w:tcPr>
            <w:tcW w:w="2200" w:type="dxa"/>
            <w:shd w:val="clear" w:color="auto" w:fill="B8CCE4"/>
            <w:vAlign w:val="center"/>
          </w:tcPr>
          <w:p w:rsidR="003E24B5" w:rsidRDefault="003E24B5" w:rsidP="00833B5A">
            <w:pPr>
              <w:spacing w:before="120" w:after="120"/>
              <w:jc w:val="center"/>
              <w:rPr>
                <w:rFonts w:ascii="Calibri" w:hAnsi="Calibri"/>
                <w:i/>
                <w:szCs w:val="20"/>
              </w:rPr>
            </w:pPr>
            <w:r>
              <w:rPr>
                <w:rFonts w:ascii="Calibri" w:hAnsi="Calibri"/>
                <w:i/>
                <w:szCs w:val="20"/>
              </w:rPr>
              <w:t>Not specifically addressed</w:t>
            </w:r>
          </w:p>
        </w:tc>
        <w:tc>
          <w:tcPr>
            <w:tcW w:w="2400" w:type="dxa"/>
            <w:shd w:val="clear" w:color="auto" w:fill="B8CCE4"/>
            <w:vAlign w:val="center"/>
          </w:tcPr>
          <w:p w:rsidR="003E24B5" w:rsidRDefault="003E24B5" w:rsidP="00833B5A">
            <w:pPr>
              <w:spacing w:before="120" w:after="120"/>
              <w:jc w:val="center"/>
              <w:rPr>
                <w:rFonts w:ascii="Calibri" w:hAnsi="Calibri"/>
                <w:i/>
                <w:szCs w:val="20"/>
              </w:rPr>
            </w:pPr>
            <w:r>
              <w:rPr>
                <w:rFonts w:ascii="Calibri" w:hAnsi="Calibri"/>
                <w:i/>
                <w:szCs w:val="20"/>
              </w:rPr>
              <w:t>Not specifically addressed</w:t>
            </w:r>
          </w:p>
        </w:tc>
        <w:tc>
          <w:tcPr>
            <w:tcW w:w="3000" w:type="dxa"/>
            <w:shd w:val="clear" w:color="auto" w:fill="B8CCE4"/>
            <w:vAlign w:val="center"/>
          </w:tcPr>
          <w:p w:rsidR="003E24B5" w:rsidRDefault="003E24B5" w:rsidP="00833B5A">
            <w:pPr>
              <w:spacing w:before="120" w:after="120"/>
              <w:jc w:val="center"/>
              <w:rPr>
                <w:rFonts w:ascii="Calibri" w:hAnsi="Calibri"/>
                <w:i/>
                <w:szCs w:val="20"/>
              </w:rPr>
            </w:pPr>
            <w:r>
              <w:rPr>
                <w:rFonts w:ascii="Calibri" w:hAnsi="Calibri"/>
                <w:i/>
                <w:szCs w:val="20"/>
              </w:rPr>
              <w:t>Not specifically addressed</w:t>
            </w:r>
          </w:p>
        </w:tc>
        <w:tc>
          <w:tcPr>
            <w:tcW w:w="2664" w:type="dxa"/>
            <w:shd w:val="clear" w:color="auto" w:fill="B8CCE4"/>
          </w:tcPr>
          <w:p w:rsidR="003E24B5" w:rsidRPr="00796ABF" w:rsidRDefault="003E24B5" w:rsidP="00833B5A">
            <w:pPr>
              <w:pStyle w:val="ListParagraph"/>
              <w:spacing w:before="120" w:after="120"/>
              <w:ind w:left="360"/>
              <w:rPr>
                <w:rFonts w:ascii="Calibri" w:hAnsi="Calibri"/>
                <w:szCs w:val="20"/>
              </w:rPr>
            </w:pPr>
          </w:p>
        </w:tc>
      </w:tr>
      <w:tr w:rsidR="003E24B5" w:rsidTr="006033C4">
        <w:trPr>
          <w:jc w:val="center"/>
        </w:trPr>
        <w:tc>
          <w:tcPr>
            <w:tcW w:w="1890" w:type="dxa"/>
            <w:shd w:val="clear" w:color="auto" w:fill="B8CCE4"/>
          </w:tcPr>
          <w:p w:rsidR="003E24B5" w:rsidRDefault="003E24B5" w:rsidP="00833B5A">
            <w:pPr>
              <w:jc w:val="center"/>
              <w:rPr>
                <w:rFonts w:ascii="Calibri" w:hAnsi="Calibri" w:cs="Calibri"/>
                <w:b/>
                <w:bCs/>
                <w:i/>
                <w:iCs/>
                <w:color w:val="000000"/>
                <w:sz w:val="22"/>
              </w:rPr>
            </w:pPr>
            <w:r>
              <w:rPr>
                <w:rFonts w:ascii="Calibri" w:hAnsi="Calibri" w:cs="Calibri"/>
                <w:b/>
                <w:bCs/>
                <w:i/>
                <w:iCs/>
                <w:color w:val="000000"/>
                <w:sz w:val="22"/>
              </w:rPr>
              <w:lastRenderedPageBreak/>
              <w:t>Downstream processing / recycling</w:t>
            </w:r>
          </w:p>
        </w:tc>
        <w:tc>
          <w:tcPr>
            <w:tcW w:w="2635"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Only send to certified recyclers</w:t>
            </w:r>
          </w:p>
          <w:p w:rsidR="003E24B5" w:rsidRPr="001A185E"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Prepare for transport in accordance with recycler instructions</w:t>
            </w:r>
          </w:p>
        </w:tc>
        <w:tc>
          <w:tcPr>
            <w:tcW w:w="2200" w:type="dxa"/>
            <w:shd w:val="clear" w:color="auto" w:fill="B8CCE4"/>
          </w:tcPr>
          <w:p w:rsidR="003E24B5" w:rsidRPr="00227784"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Trace and document downstream logistic chain.</w:t>
            </w:r>
          </w:p>
        </w:tc>
        <w:tc>
          <w:tcPr>
            <w:tcW w:w="2400" w:type="dxa"/>
            <w:shd w:val="clear" w:color="auto" w:fill="B8CCE4"/>
          </w:tcPr>
          <w:p w:rsidR="003E24B5" w:rsidRPr="00227784"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Trace and document downstream logistic chain.</w:t>
            </w:r>
          </w:p>
        </w:tc>
        <w:tc>
          <w:tcPr>
            <w:tcW w:w="3000"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E-steward remains accountable for material until final disposition.</w:t>
            </w:r>
          </w:p>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Use certified recyclers or</w:t>
            </w:r>
          </w:p>
          <w:p w:rsidR="003E24B5" w:rsidRPr="001A185E"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Conduct rigorous audit/analysis of facility prior to engaging services</w:t>
            </w:r>
          </w:p>
        </w:tc>
        <w:tc>
          <w:tcPr>
            <w:tcW w:w="2664" w:type="dxa"/>
            <w:shd w:val="clear" w:color="auto" w:fill="B8CCE4"/>
          </w:tcPr>
          <w:p w:rsidR="003E24B5" w:rsidRPr="00796ABF" w:rsidRDefault="003E24B5" w:rsidP="00833B5A">
            <w:pPr>
              <w:pStyle w:val="ListParagraph"/>
              <w:spacing w:before="120" w:after="120"/>
              <w:ind w:left="360"/>
              <w:rPr>
                <w:rFonts w:ascii="Calibri" w:hAnsi="Calibri"/>
                <w:szCs w:val="20"/>
              </w:rPr>
            </w:pPr>
          </w:p>
        </w:tc>
      </w:tr>
      <w:tr w:rsidR="003E24B5" w:rsidTr="006033C4">
        <w:trPr>
          <w:jc w:val="center"/>
        </w:trPr>
        <w:tc>
          <w:tcPr>
            <w:tcW w:w="12125" w:type="dxa"/>
            <w:gridSpan w:val="5"/>
            <w:shd w:val="clear" w:color="auto" w:fill="B8CCE4"/>
          </w:tcPr>
          <w:p w:rsidR="003E24B5" w:rsidRPr="00207777" w:rsidRDefault="003E24B5" w:rsidP="00833B5A">
            <w:pPr>
              <w:spacing w:before="120" w:after="120"/>
              <w:rPr>
                <w:rFonts w:ascii="Calibri" w:hAnsi="Calibri"/>
                <w:szCs w:val="20"/>
              </w:rPr>
            </w:pPr>
            <w:r w:rsidRPr="00207777">
              <w:rPr>
                <w:rFonts w:ascii="Calibri" w:hAnsi="Calibri" w:cs="Calibri"/>
                <w:b/>
                <w:bCs/>
                <w:i/>
                <w:iCs/>
                <w:color w:val="000000"/>
                <w:sz w:val="22"/>
              </w:rPr>
              <w:t>Transport requirements</w:t>
            </w:r>
          </w:p>
        </w:tc>
        <w:tc>
          <w:tcPr>
            <w:tcW w:w="2664" w:type="dxa"/>
            <w:shd w:val="clear" w:color="auto" w:fill="B8CCE4"/>
          </w:tcPr>
          <w:p w:rsidR="003E24B5" w:rsidRPr="00207777" w:rsidRDefault="003E24B5" w:rsidP="00833B5A">
            <w:pPr>
              <w:spacing w:before="120" w:after="120"/>
              <w:rPr>
                <w:rFonts w:ascii="Calibri" w:hAnsi="Calibri" w:cs="Calibri"/>
                <w:b/>
                <w:bCs/>
                <w:i/>
                <w:iCs/>
                <w:color w:val="000000"/>
                <w:sz w:val="22"/>
              </w:rPr>
            </w:pPr>
          </w:p>
        </w:tc>
      </w:tr>
      <w:tr w:rsidR="003E24B5" w:rsidTr="006033C4">
        <w:trPr>
          <w:jc w:val="center"/>
        </w:trPr>
        <w:tc>
          <w:tcPr>
            <w:tcW w:w="1890" w:type="dxa"/>
            <w:shd w:val="clear" w:color="auto" w:fill="B8CCE4"/>
          </w:tcPr>
          <w:p w:rsidR="003E24B5" w:rsidRDefault="003E24B5" w:rsidP="00833B5A">
            <w:pPr>
              <w:rPr>
                <w:rFonts w:ascii="Calibri" w:hAnsi="Calibri" w:cs="Calibri"/>
                <w:b/>
                <w:bCs/>
                <w:i/>
                <w:iCs/>
                <w:color w:val="000000"/>
                <w:sz w:val="22"/>
              </w:rPr>
            </w:pPr>
            <w:r>
              <w:rPr>
                <w:rFonts w:ascii="Calibri" w:hAnsi="Calibri" w:cs="Calibri"/>
                <w:b/>
                <w:bCs/>
                <w:i/>
                <w:iCs/>
                <w:color w:val="000000"/>
                <w:sz w:val="22"/>
              </w:rPr>
              <w:t>Domestic</w:t>
            </w:r>
          </w:p>
        </w:tc>
        <w:tc>
          <w:tcPr>
            <w:tcW w:w="2635" w:type="dxa"/>
            <w:shd w:val="clear" w:color="auto" w:fill="B8CCE4"/>
          </w:tcPr>
          <w:p w:rsidR="003E24B5" w:rsidRPr="001A185E"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Comply with transport and DG legislation</w:t>
            </w:r>
          </w:p>
        </w:tc>
        <w:tc>
          <w:tcPr>
            <w:tcW w:w="2200" w:type="dxa"/>
            <w:shd w:val="clear" w:color="auto" w:fill="B8CCE4"/>
          </w:tcPr>
          <w:p w:rsidR="003E24B5" w:rsidRPr="001A185E"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Maintain evidence of transport permits where required</w:t>
            </w:r>
          </w:p>
        </w:tc>
        <w:tc>
          <w:tcPr>
            <w:tcW w:w="2400" w:type="dxa"/>
            <w:vMerge w:val="restart"/>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Includes requirements for cross-border shipments</w:t>
            </w:r>
          </w:p>
          <w:p w:rsidR="003E24B5" w:rsidRPr="001A185E"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Includes specific requirements for CRTs and flat panel displays</w:t>
            </w:r>
          </w:p>
        </w:tc>
        <w:tc>
          <w:tcPr>
            <w:tcW w:w="3000" w:type="dxa"/>
            <w:shd w:val="clear" w:color="auto" w:fill="B8CCE4"/>
          </w:tcPr>
          <w:p w:rsidR="003E24B5" w:rsidRPr="00796ABF" w:rsidRDefault="003E24B5" w:rsidP="00833B5A">
            <w:pPr>
              <w:pStyle w:val="ListParagraph"/>
              <w:spacing w:before="120" w:after="120"/>
              <w:ind w:left="360"/>
              <w:rPr>
                <w:rFonts w:ascii="Calibri" w:hAnsi="Calibri"/>
                <w:szCs w:val="20"/>
              </w:rPr>
            </w:pPr>
          </w:p>
        </w:tc>
        <w:tc>
          <w:tcPr>
            <w:tcW w:w="2664" w:type="dxa"/>
            <w:vMerge w:val="restart"/>
            <w:shd w:val="clear" w:color="auto" w:fill="B8CCE4"/>
          </w:tcPr>
          <w:p w:rsidR="003E24B5" w:rsidRPr="006633CA"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No specific requirements for CRTs and flat panel displays</w:t>
            </w:r>
          </w:p>
        </w:tc>
      </w:tr>
      <w:tr w:rsidR="003E24B5" w:rsidTr="006033C4">
        <w:trPr>
          <w:jc w:val="center"/>
        </w:trPr>
        <w:tc>
          <w:tcPr>
            <w:tcW w:w="1890" w:type="dxa"/>
            <w:shd w:val="clear" w:color="auto" w:fill="B8CCE4"/>
          </w:tcPr>
          <w:p w:rsidR="003E24B5" w:rsidRDefault="003E24B5" w:rsidP="00833B5A">
            <w:pPr>
              <w:rPr>
                <w:rFonts w:ascii="Calibri" w:hAnsi="Calibri" w:cs="Calibri"/>
                <w:b/>
                <w:bCs/>
                <w:i/>
                <w:iCs/>
                <w:color w:val="000000"/>
                <w:sz w:val="22"/>
              </w:rPr>
            </w:pPr>
            <w:r>
              <w:rPr>
                <w:rFonts w:ascii="Calibri" w:hAnsi="Calibri" w:cs="Calibri"/>
                <w:b/>
                <w:bCs/>
                <w:i/>
                <w:iCs/>
                <w:color w:val="000000"/>
                <w:sz w:val="22"/>
              </w:rPr>
              <w:t>Export</w:t>
            </w:r>
          </w:p>
        </w:tc>
        <w:tc>
          <w:tcPr>
            <w:tcW w:w="2635" w:type="dxa"/>
            <w:shd w:val="clear" w:color="auto" w:fill="B8CCE4"/>
          </w:tcPr>
          <w:p w:rsidR="003E24B5" w:rsidRPr="001A185E"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 xml:space="preserve">Comply with </w:t>
            </w:r>
            <w:r>
              <w:rPr>
                <w:rFonts w:ascii="Calibri" w:hAnsi="Calibri"/>
                <w:i/>
                <w:szCs w:val="20"/>
                <w:lang w:val="en-US"/>
              </w:rPr>
              <w:t xml:space="preserve">packing requirements in </w:t>
            </w:r>
            <w:r w:rsidRPr="001A185E">
              <w:rPr>
                <w:rFonts w:ascii="Calibri" w:hAnsi="Calibri"/>
                <w:i/>
                <w:szCs w:val="20"/>
                <w:lang w:val="en-US"/>
              </w:rPr>
              <w:t>the United Nations Committee of Experts on the Transport of Dangerous Goods</w:t>
            </w:r>
            <w:r>
              <w:rPr>
                <w:rFonts w:ascii="Calibri" w:hAnsi="Calibri"/>
                <w:i/>
                <w:szCs w:val="20"/>
                <w:lang w:val="en-US"/>
              </w:rPr>
              <w:t xml:space="preserve"> - </w:t>
            </w:r>
            <w:r w:rsidRPr="001A185E">
              <w:rPr>
                <w:rFonts w:ascii="Calibri" w:hAnsi="Calibri" w:cs="Calibri"/>
                <w:i/>
                <w:szCs w:val="20"/>
                <w:lang w:val="en-US"/>
              </w:rPr>
              <w:t>Recommendations on the Transport of Dangerous Goods‘</w:t>
            </w:r>
          </w:p>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Comply with Hazardous Waste Act 1989</w:t>
            </w:r>
          </w:p>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Use licensed transporter</w:t>
            </w:r>
          </w:p>
          <w:p w:rsidR="003E24B5" w:rsidRPr="001A185E"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Use trained staff</w:t>
            </w:r>
          </w:p>
        </w:tc>
        <w:tc>
          <w:tcPr>
            <w:tcW w:w="2200" w:type="dxa"/>
            <w:shd w:val="clear" w:color="auto" w:fill="B8CCE4"/>
            <w:vAlign w:val="center"/>
          </w:tcPr>
          <w:p w:rsidR="003E24B5" w:rsidRDefault="003E24B5" w:rsidP="00833B5A">
            <w:pPr>
              <w:spacing w:before="120" w:after="120"/>
              <w:jc w:val="center"/>
              <w:rPr>
                <w:rFonts w:ascii="Calibri" w:hAnsi="Calibri"/>
                <w:i/>
                <w:szCs w:val="20"/>
              </w:rPr>
            </w:pPr>
            <w:r>
              <w:rPr>
                <w:rFonts w:ascii="Calibri" w:hAnsi="Calibri"/>
                <w:i/>
                <w:szCs w:val="20"/>
              </w:rPr>
              <w:t>Not specifically addressed</w:t>
            </w:r>
          </w:p>
        </w:tc>
        <w:tc>
          <w:tcPr>
            <w:tcW w:w="2400" w:type="dxa"/>
            <w:vMerge/>
            <w:shd w:val="clear" w:color="auto" w:fill="B8CCE4"/>
          </w:tcPr>
          <w:p w:rsidR="003E24B5" w:rsidRDefault="003E24B5" w:rsidP="00833B5A">
            <w:pPr>
              <w:pStyle w:val="ListParagraph"/>
              <w:spacing w:before="120" w:after="120"/>
              <w:ind w:left="360"/>
              <w:rPr>
                <w:rFonts w:ascii="Calibri" w:hAnsi="Calibri"/>
                <w:szCs w:val="20"/>
              </w:rPr>
            </w:pPr>
          </w:p>
        </w:tc>
        <w:tc>
          <w:tcPr>
            <w:tcW w:w="3000" w:type="dxa"/>
            <w:shd w:val="clear" w:color="auto" w:fill="B8CCE4"/>
          </w:tcPr>
          <w:p w:rsidR="003E24B5" w:rsidRPr="00DD7F5B"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Comply with relevant international conventions (e.g. Basel)</w:t>
            </w:r>
          </w:p>
        </w:tc>
        <w:tc>
          <w:tcPr>
            <w:tcW w:w="2664" w:type="dxa"/>
            <w:vMerge/>
            <w:shd w:val="clear" w:color="auto" w:fill="B8CCE4"/>
          </w:tcPr>
          <w:p w:rsidR="003E24B5" w:rsidRPr="00796ABF" w:rsidRDefault="003E24B5" w:rsidP="00833B5A">
            <w:pPr>
              <w:pStyle w:val="ListParagraph"/>
              <w:spacing w:before="120" w:after="120"/>
              <w:ind w:left="360"/>
              <w:rPr>
                <w:rFonts w:ascii="Calibri" w:hAnsi="Calibri"/>
                <w:szCs w:val="20"/>
              </w:rPr>
            </w:pPr>
          </w:p>
        </w:tc>
      </w:tr>
      <w:tr w:rsidR="003E24B5" w:rsidTr="006033C4">
        <w:trPr>
          <w:jc w:val="center"/>
        </w:trPr>
        <w:tc>
          <w:tcPr>
            <w:tcW w:w="12125" w:type="dxa"/>
            <w:gridSpan w:val="5"/>
            <w:shd w:val="clear" w:color="auto" w:fill="B8CCE4"/>
          </w:tcPr>
          <w:p w:rsidR="003E24B5" w:rsidRPr="00796ABF" w:rsidRDefault="003E24B5" w:rsidP="00833B5A">
            <w:pPr>
              <w:rPr>
                <w:rFonts w:ascii="Calibri" w:hAnsi="Calibri"/>
                <w:szCs w:val="20"/>
              </w:rPr>
            </w:pPr>
            <w:r>
              <w:rPr>
                <w:rFonts w:ascii="Calibri" w:hAnsi="Calibri" w:cs="Calibri"/>
                <w:b/>
                <w:bCs/>
                <w:i/>
                <w:iCs/>
                <w:color w:val="000000"/>
                <w:sz w:val="22"/>
              </w:rPr>
              <w:t>Requirements for recyclers</w:t>
            </w:r>
          </w:p>
        </w:tc>
        <w:tc>
          <w:tcPr>
            <w:tcW w:w="2664" w:type="dxa"/>
            <w:shd w:val="clear" w:color="auto" w:fill="B8CCE4"/>
          </w:tcPr>
          <w:p w:rsidR="003E24B5" w:rsidRDefault="003E24B5" w:rsidP="00833B5A">
            <w:pPr>
              <w:rPr>
                <w:rFonts w:ascii="Calibri" w:hAnsi="Calibri" w:cs="Calibri"/>
                <w:b/>
                <w:bCs/>
                <w:i/>
                <w:iCs/>
                <w:color w:val="000000"/>
                <w:sz w:val="22"/>
              </w:rPr>
            </w:pPr>
          </w:p>
        </w:tc>
      </w:tr>
      <w:tr w:rsidR="003E24B5" w:rsidTr="006033C4">
        <w:trPr>
          <w:jc w:val="center"/>
        </w:trPr>
        <w:tc>
          <w:tcPr>
            <w:tcW w:w="1890" w:type="dxa"/>
            <w:shd w:val="clear" w:color="auto" w:fill="B8CCE4"/>
          </w:tcPr>
          <w:p w:rsidR="003E24B5" w:rsidRDefault="003E24B5" w:rsidP="00833B5A">
            <w:pPr>
              <w:jc w:val="center"/>
              <w:rPr>
                <w:rFonts w:ascii="Calibri" w:hAnsi="Calibri" w:cs="Calibri"/>
                <w:b/>
                <w:bCs/>
                <w:i/>
                <w:iCs/>
                <w:color w:val="000000"/>
                <w:sz w:val="22"/>
              </w:rPr>
            </w:pPr>
            <w:r>
              <w:rPr>
                <w:rFonts w:ascii="Calibri" w:hAnsi="Calibri" w:cs="Calibri"/>
                <w:b/>
                <w:bCs/>
                <w:i/>
                <w:iCs/>
                <w:color w:val="000000"/>
                <w:sz w:val="22"/>
              </w:rPr>
              <w:t>Certification</w:t>
            </w:r>
          </w:p>
        </w:tc>
        <w:tc>
          <w:tcPr>
            <w:tcW w:w="2635" w:type="dxa"/>
            <w:shd w:val="clear" w:color="auto" w:fill="B8CCE4"/>
          </w:tcPr>
          <w:p w:rsidR="003E24B5" w:rsidRPr="001A185E"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Hold 14001 certification</w:t>
            </w:r>
          </w:p>
        </w:tc>
        <w:tc>
          <w:tcPr>
            <w:tcW w:w="2200" w:type="dxa"/>
            <w:shd w:val="clear" w:color="auto" w:fill="B8CCE4"/>
          </w:tcPr>
          <w:p w:rsidR="003E24B5" w:rsidRPr="001A185E"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Maintain 14001-consistent system, but not certified</w:t>
            </w:r>
          </w:p>
        </w:tc>
        <w:tc>
          <w:tcPr>
            <w:tcW w:w="2400" w:type="dxa"/>
            <w:shd w:val="clear" w:color="auto" w:fill="B8CCE4"/>
            <w:vAlign w:val="center"/>
          </w:tcPr>
          <w:p w:rsidR="003E24B5" w:rsidRDefault="003E24B5" w:rsidP="00833B5A">
            <w:pPr>
              <w:spacing w:before="120" w:after="120"/>
              <w:jc w:val="center"/>
              <w:rPr>
                <w:rFonts w:ascii="Calibri" w:hAnsi="Calibri"/>
                <w:i/>
                <w:szCs w:val="20"/>
              </w:rPr>
            </w:pPr>
            <w:r>
              <w:rPr>
                <w:rFonts w:ascii="Calibri" w:hAnsi="Calibri"/>
                <w:i/>
                <w:szCs w:val="20"/>
              </w:rPr>
              <w:t>Not specifically addressed</w:t>
            </w:r>
          </w:p>
        </w:tc>
        <w:tc>
          <w:tcPr>
            <w:tcW w:w="3000" w:type="dxa"/>
            <w:shd w:val="clear" w:color="auto" w:fill="B8CCE4"/>
          </w:tcPr>
          <w:p w:rsidR="003E24B5" w:rsidRPr="001A185E"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Based on 14001</w:t>
            </w:r>
          </w:p>
        </w:tc>
        <w:tc>
          <w:tcPr>
            <w:tcW w:w="2664" w:type="dxa"/>
            <w:shd w:val="clear" w:color="auto" w:fill="B8CCE4"/>
          </w:tcPr>
          <w:p w:rsidR="003E24B5" w:rsidRPr="00796ABF" w:rsidRDefault="003E24B5" w:rsidP="00833B5A">
            <w:pPr>
              <w:pStyle w:val="ListParagraph"/>
              <w:spacing w:before="120" w:after="120"/>
              <w:ind w:left="360"/>
              <w:rPr>
                <w:rFonts w:ascii="Calibri" w:hAnsi="Calibri"/>
                <w:szCs w:val="20"/>
              </w:rPr>
            </w:pPr>
          </w:p>
        </w:tc>
      </w:tr>
      <w:tr w:rsidR="003E24B5" w:rsidTr="006033C4">
        <w:trPr>
          <w:jc w:val="center"/>
        </w:trPr>
        <w:tc>
          <w:tcPr>
            <w:tcW w:w="1890" w:type="dxa"/>
            <w:shd w:val="clear" w:color="auto" w:fill="B8CCE4"/>
          </w:tcPr>
          <w:p w:rsidR="003E24B5" w:rsidRDefault="003E24B5" w:rsidP="00833B5A">
            <w:pPr>
              <w:jc w:val="center"/>
              <w:rPr>
                <w:rFonts w:ascii="Calibri" w:hAnsi="Calibri" w:cs="Calibri"/>
                <w:b/>
                <w:bCs/>
                <w:i/>
                <w:iCs/>
                <w:color w:val="000000"/>
                <w:sz w:val="22"/>
              </w:rPr>
            </w:pPr>
            <w:r>
              <w:rPr>
                <w:rFonts w:ascii="Calibri" w:hAnsi="Calibri" w:cs="Calibri"/>
                <w:b/>
                <w:bCs/>
                <w:i/>
                <w:iCs/>
                <w:color w:val="000000"/>
                <w:sz w:val="22"/>
              </w:rPr>
              <w:lastRenderedPageBreak/>
              <w:t>Insurance</w:t>
            </w:r>
          </w:p>
        </w:tc>
        <w:tc>
          <w:tcPr>
            <w:tcW w:w="2635"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Hold appropriate insurances</w:t>
            </w:r>
          </w:p>
          <w:p w:rsidR="003E24B5" w:rsidRPr="001A185E"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Documented closure plan</w:t>
            </w:r>
          </w:p>
        </w:tc>
        <w:tc>
          <w:tcPr>
            <w:tcW w:w="2200"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Prescriptive requirements for insurance</w:t>
            </w:r>
            <w:r w:rsidRPr="008865AB">
              <w:rPr>
                <w:rFonts w:ascii="Calibri" w:hAnsi="Calibri"/>
                <w:i/>
                <w:szCs w:val="20"/>
              </w:rPr>
              <w:t xml:space="preserve"> </w:t>
            </w:r>
          </w:p>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Documented closure plan</w:t>
            </w:r>
          </w:p>
        </w:tc>
        <w:tc>
          <w:tcPr>
            <w:tcW w:w="2400"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Hold appropriate insurances</w:t>
            </w:r>
          </w:p>
          <w:p w:rsidR="003E24B5" w:rsidRPr="001A185E"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Insurance to cover plant closure</w:t>
            </w:r>
          </w:p>
        </w:tc>
        <w:tc>
          <w:tcPr>
            <w:tcW w:w="3000"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Hold appropriate insurances</w:t>
            </w:r>
          </w:p>
          <w:p w:rsidR="003E24B5" w:rsidRPr="001A185E"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Documented closure plan</w:t>
            </w:r>
          </w:p>
        </w:tc>
        <w:tc>
          <w:tcPr>
            <w:tcW w:w="2664" w:type="dxa"/>
            <w:shd w:val="clear" w:color="auto" w:fill="B8CCE4"/>
          </w:tcPr>
          <w:p w:rsidR="003E24B5" w:rsidRPr="00796ABF" w:rsidRDefault="003E24B5" w:rsidP="00833B5A">
            <w:pPr>
              <w:pStyle w:val="ListParagraph"/>
              <w:spacing w:before="120" w:after="120"/>
              <w:ind w:left="360"/>
              <w:rPr>
                <w:rFonts w:ascii="Calibri" w:hAnsi="Calibri"/>
                <w:szCs w:val="20"/>
              </w:rPr>
            </w:pPr>
          </w:p>
        </w:tc>
      </w:tr>
      <w:tr w:rsidR="003E24B5" w:rsidTr="006033C4">
        <w:trPr>
          <w:jc w:val="center"/>
        </w:trPr>
        <w:tc>
          <w:tcPr>
            <w:tcW w:w="1890" w:type="dxa"/>
            <w:shd w:val="clear" w:color="auto" w:fill="B8CCE4"/>
          </w:tcPr>
          <w:p w:rsidR="003E24B5" w:rsidRDefault="003E24B5" w:rsidP="00833B5A">
            <w:pPr>
              <w:jc w:val="center"/>
              <w:rPr>
                <w:rFonts w:ascii="Calibri" w:hAnsi="Calibri" w:cs="Calibri"/>
                <w:b/>
                <w:bCs/>
                <w:i/>
                <w:iCs/>
                <w:color w:val="000000"/>
                <w:sz w:val="22"/>
              </w:rPr>
            </w:pPr>
            <w:r>
              <w:rPr>
                <w:rFonts w:ascii="Calibri" w:hAnsi="Calibri" w:cs="Calibri"/>
                <w:b/>
                <w:bCs/>
                <w:i/>
                <w:iCs/>
                <w:color w:val="000000"/>
                <w:sz w:val="22"/>
              </w:rPr>
              <w:t>Goods receiving and storage</w:t>
            </w:r>
          </w:p>
        </w:tc>
        <w:tc>
          <w:tcPr>
            <w:tcW w:w="2635" w:type="dxa"/>
            <w:shd w:val="clear" w:color="auto" w:fill="B8CCE4"/>
          </w:tcPr>
          <w:p w:rsidR="003E24B5" w:rsidRPr="001A185E"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Instruct collection sites and transporters on appropriate storage/packing receptacles (or provide)</w:t>
            </w:r>
          </w:p>
        </w:tc>
        <w:tc>
          <w:tcPr>
            <w:tcW w:w="2200" w:type="dxa"/>
            <w:shd w:val="clear" w:color="auto" w:fill="B8CCE4"/>
          </w:tcPr>
          <w:p w:rsidR="003E24B5" w:rsidRDefault="003E24B5" w:rsidP="00833B5A">
            <w:pPr>
              <w:spacing w:before="120" w:after="120"/>
              <w:jc w:val="left"/>
              <w:rPr>
                <w:rFonts w:ascii="Calibri" w:hAnsi="Calibri"/>
                <w:i/>
                <w:szCs w:val="20"/>
              </w:rPr>
            </w:pPr>
          </w:p>
        </w:tc>
        <w:tc>
          <w:tcPr>
            <w:tcW w:w="2400"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Test for reuse / refurbishment functionality</w:t>
            </w:r>
          </w:p>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Specifies controls for storage to ensure minimisation of environmental harm</w:t>
            </w:r>
          </w:p>
          <w:p w:rsidR="003E24B5" w:rsidRPr="006633CA" w:rsidRDefault="003E24B5" w:rsidP="00162446">
            <w:pPr>
              <w:pStyle w:val="ListParagraph"/>
              <w:numPr>
                <w:ilvl w:val="0"/>
                <w:numId w:val="48"/>
              </w:numPr>
              <w:spacing w:before="120" w:after="120"/>
              <w:ind w:left="317" w:hanging="283"/>
              <w:jc w:val="left"/>
              <w:rPr>
                <w:rFonts w:ascii="Calibri" w:hAnsi="Calibri"/>
                <w:szCs w:val="20"/>
              </w:rPr>
            </w:pPr>
            <w:r>
              <w:rPr>
                <w:rFonts w:ascii="Calibri" w:hAnsi="Calibri"/>
                <w:i/>
                <w:szCs w:val="20"/>
              </w:rPr>
              <w:t>Specifies controls for storage for goods intended for reuse</w:t>
            </w:r>
          </w:p>
          <w:p w:rsidR="003E24B5" w:rsidRDefault="003E24B5" w:rsidP="00162446">
            <w:pPr>
              <w:pStyle w:val="ListParagraph"/>
              <w:numPr>
                <w:ilvl w:val="0"/>
                <w:numId w:val="48"/>
              </w:numPr>
              <w:spacing w:before="120" w:after="120"/>
              <w:ind w:left="317" w:hanging="283"/>
              <w:jc w:val="left"/>
              <w:rPr>
                <w:rFonts w:ascii="Calibri" w:hAnsi="Calibri"/>
                <w:szCs w:val="20"/>
              </w:rPr>
            </w:pPr>
            <w:r>
              <w:rPr>
                <w:rFonts w:ascii="Calibri" w:hAnsi="Calibri"/>
                <w:i/>
                <w:szCs w:val="20"/>
              </w:rPr>
              <w:t>Specifies controls for separation of WEEE from other wastes</w:t>
            </w:r>
          </w:p>
        </w:tc>
        <w:tc>
          <w:tcPr>
            <w:tcW w:w="3000"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Test for reuse / refurbishment functionality</w:t>
            </w:r>
          </w:p>
          <w:p w:rsidR="003E24B5" w:rsidRPr="001A185E" w:rsidRDefault="003E24B5" w:rsidP="00162446">
            <w:pPr>
              <w:pStyle w:val="ListParagraph"/>
              <w:numPr>
                <w:ilvl w:val="0"/>
                <w:numId w:val="48"/>
              </w:numPr>
              <w:spacing w:before="120" w:after="120"/>
              <w:ind w:left="317" w:hanging="283"/>
              <w:jc w:val="left"/>
              <w:rPr>
                <w:rFonts w:ascii="Calibri" w:hAnsi="Calibri"/>
                <w:i/>
                <w:szCs w:val="20"/>
              </w:rPr>
            </w:pPr>
          </w:p>
        </w:tc>
        <w:tc>
          <w:tcPr>
            <w:tcW w:w="2664" w:type="dxa"/>
            <w:shd w:val="clear" w:color="auto" w:fill="B8CCE4"/>
          </w:tcPr>
          <w:p w:rsidR="003E24B5" w:rsidRPr="00796ABF" w:rsidRDefault="003E24B5" w:rsidP="00833B5A">
            <w:pPr>
              <w:pStyle w:val="ListParagraph"/>
              <w:spacing w:before="120" w:after="120"/>
              <w:ind w:left="360"/>
              <w:rPr>
                <w:rFonts w:ascii="Calibri" w:hAnsi="Calibri"/>
                <w:szCs w:val="20"/>
              </w:rPr>
            </w:pPr>
          </w:p>
        </w:tc>
      </w:tr>
      <w:tr w:rsidR="003E24B5" w:rsidTr="006033C4">
        <w:trPr>
          <w:jc w:val="center"/>
        </w:trPr>
        <w:tc>
          <w:tcPr>
            <w:tcW w:w="1890" w:type="dxa"/>
            <w:shd w:val="clear" w:color="auto" w:fill="B8CCE4"/>
          </w:tcPr>
          <w:p w:rsidR="003E24B5" w:rsidRDefault="003E24B5" w:rsidP="00833B5A">
            <w:pPr>
              <w:jc w:val="center"/>
              <w:rPr>
                <w:rFonts w:ascii="Calibri" w:hAnsi="Calibri" w:cs="Calibri"/>
                <w:b/>
                <w:bCs/>
                <w:i/>
                <w:iCs/>
                <w:color w:val="000000"/>
                <w:sz w:val="22"/>
              </w:rPr>
            </w:pPr>
            <w:r>
              <w:rPr>
                <w:rFonts w:ascii="Calibri" w:hAnsi="Calibri" w:cs="Calibri"/>
                <w:b/>
                <w:bCs/>
                <w:i/>
                <w:iCs/>
                <w:color w:val="000000"/>
                <w:sz w:val="22"/>
              </w:rPr>
              <w:t>Processing and handling</w:t>
            </w:r>
          </w:p>
        </w:tc>
        <w:tc>
          <w:tcPr>
            <w:tcW w:w="2635"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Specifies controls for mechanical processing</w:t>
            </w:r>
          </w:p>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Specifies monitoring requirements</w:t>
            </w:r>
          </w:p>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Specifies separation and storage requirements for Materials Of Concern</w:t>
            </w:r>
          </w:p>
          <w:p w:rsidR="003E24B5" w:rsidRPr="007212F6"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Promotes waste hierarchy</w:t>
            </w:r>
          </w:p>
        </w:tc>
        <w:tc>
          <w:tcPr>
            <w:tcW w:w="2200"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Specifies controls for mechanical processing</w:t>
            </w:r>
          </w:p>
          <w:p w:rsidR="003E24B5" w:rsidRPr="00877D27" w:rsidRDefault="003E24B5" w:rsidP="00833B5A">
            <w:pPr>
              <w:pStyle w:val="ListParagraph"/>
              <w:spacing w:before="120" w:after="120"/>
              <w:ind w:left="317"/>
              <w:jc w:val="left"/>
              <w:rPr>
                <w:rFonts w:ascii="Calibri" w:hAnsi="Calibri"/>
                <w:i/>
                <w:szCs w:val="20"/>
              </w:rPr>
            </w:pPr>
          </w:p>
        </w:tc>
        <w:tc>
          <w:tcPr>
            <w:tcW w:w="2400"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Specifies controls for handling to ensure safety and minimisation of environmental harm</w:t>
            </w:r>
          </w:p>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Requirement to monitor “de-pollution” outcomes</w:t>
            </w:r>
          </w:p>
          <w:p w:rsidR="003E24B5" w:rsidRPr="00877D27" w:rsidRDefault="003E24B5" w:rsidP="00833B5A">
            <w:pPr>
              <w:pStyle w:val="ListParagraph"/>
              <w:spacing w:before="120" w:after="120"/>
              <w:ind w:left="317"/>
              <w:jc w:val="left"/>
              <w:rPr>
                <w:rFonts w:ascii="Calibri" w:hAnsi="Calibri"/>
                <w:i/>
                <w:szCs w:val="20"/>
              </w:rPr>
            </w:pPr>
          </w:p>
        </w:tc>
        <w:tc>
          <w:tcPr>
            <w:tcW w:w="3000" w:type="dxa"/>
            <w:shd w:val="clear" w:color="auto" w:fill="B8CCE4"/>
          </w:tcPr>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Remove wastes of concern prior to processing</w:t>
            </w:r>
          </w:p>
          <w:p w:rsidR="003E24B5" w:rsidRDefault="003E24B5" w:rsidP="00162446">
            <w:pPr>
              <w:pStyle w:val="ListParagraph"/>
              <w:numPr>
                <w:ilvl w:val="0"/>
                <w:numId w:val="48"/>
              </w:numPr>
              <w:spacing w:before="120" w:after="120"/>
              <w:ind w:left="317" w:hanging="283"/>
              <w:jc w:val="left"/>
              <w:rPr>
                <w:rFonts w:ascii="Calibri" w:hAnsi="Calibri"/>
                <w:i/>
                <w:szCs w:val="20"/>
              </w:rPr>
            </w:pPr>
            <w:r>
              <w:rPr>
                <w:rFonts w:ascii="Calibri" w:hAnsi="Calibri"/>
                <w:i/>
                <w:szCs w:val="20"/>
              </w:rPr>
              <w:t>Store/manage removed wastes of concern appropriately</w:t>
            </w:r>
          </w:p>
          <w:p w:rsidR="003E24B5" w:rsidRDefault="003E24B5" w:rsidP="00162446">
            <w:pPr>
              <w:pStyle w:val="ListParagraph"/>
              <w:numPr>
                <w:ilvl w:val="0"/>
                <w:numId w:val="48"/>
              </w:numPr>
              <w:spacing w:before="120" w:after="120"/>
              <w:ind w:left="317" w:hanging="283"/>
              <w:jc w:val="left"/>
              <w:rPr>
                <w:rFonts w:ascii="Calibri" w:hAnsi="Calibri"/>
                <w:i/>
                <w:szCs w:val="20"/>
              </w:rPr>
            </w:pPr>
          </w:p>
          <w:p w:rsidR="003E24B5" w:rsidRPr="00796ABF" w:rsidRDefault="003E24B5" w:rsidP="00833B5A">
            <w:pPr>
              <w:pStyle w:val="ListParagraph"/>
              <w:spacing w:before="120" w:after="120"/>
              <w:ind w:left="360"/>
              <w:rPr>
                <w:rFonts w:ascii="Calibri" w:hAnsi="Calibri"/>
                <w:szCs w:val="20"/>
              </w:rPr>
            </w:pPr>
          </w:p>
        </w:tc>
        <w:tc>
          <w:tcPr>
            <w:tcW w:w="2664" w:type="dxa"/>
            <w:shd w:val="clear" w:color="auto" w:fill="B8CCE4"/>
          </w:tcPr>
          <w:p w:rsidR="003E24B5" w:rsidRPr="00796ABF" w:rsidRDefault="003E24B5" w:rsidP="00833B5A">
            <w:pPr>
              <w:pStyle w:val="ListParagraph"/>
              <w:spacing w:before="120" w:after="120"/>
              <w:ind w:left="360"/>
              <w:rPr>
                <w:rFonts w:ascii="Calibri" w:hAnsi="Calibri"/>
                <w:szCs w:val="20"/>
              </w:rPr>
            </w:pPr>
          </w:p>
        </w:tc>
      </w:tr>
    </w:tbl>
    <w:p w:rsidR="003E24B5" w:rsidRDefault="003E24B5" w:rsidP="003B541B">
      <w:pPr>
        <w:jc w:val="left"/>
      </w:pPr>
    </w:p>
    <w:sectPr w:rsidR="003E24B5" w:rsidSect="0060640C">
      <w:footerReference w:type="default" r:id="rId45"/>
      <w:pgSz w:w="16839" w:h="11907" w:orient="landscape" w:code="9"/>
      <w:pgMar w:top="1699" w:right="850" w:bottom="1138" w:left="850" w:header="432" w:footer="4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3FF2" w:rsidRDefault="00A33FF2" w:rsidP="00285EA9">
      <w:r>
        <w:separator/>
      </w:r>
    </w:p>
  </w:endnote>
  <w:endnote w:type="continuationSeparator" w:id="0">
    <w:p w:rsidR="00A33FF2" w:rsidRDefault="00A33FF2" w:rsidP="00285E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F2" w:rsidRDefault="00A33FF2">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F2" w:rsidRPr="00380A0E" w:rsidRDefault="00A33FF2" w:rsidP="00F852EF">
    <w:pPr>
      <w:pStyle w:val="Footer"/>
      <w:framePr w:wrap="around" w:vAnchor="text" w:hAnchor="page" w:x="9898" w:y="-62"/>
      <w:rPr>
        <w:rStyle w:val="PageNumber"/>
        <w:rFonts w:cs="Arial"/>
        <w:sz w:val="18"/>
        <w:szCs w:val="18"/>
      </w:rPr>
    </w:pPr>
  </w:p>
  <w:p w:rsidR="00A33FF2" w:rsidRPr="008B4AEB" w:rsidRDefault="00A33FF2" w:rsidP="00F852EF">
    <w:pPr>
      <w:pStyle w:val="Footer"/>
      <w:pBdr>
        <w:top w:val="single" w:sz="4" w:space="1" w:color="auto"/>
      </w:pBdr>
      <w:tabs>
        <w:tab w:val="left" w:pos="7080"/>
        <w:tab w:val="right" w:pos="14040"/>
      </w:tabs>
      <w:rPr>
        <w:i/>
        <w:szCs w:val="20"/>
      </w:rPr>
    </w:pPr>
    <w:r w:rsidRPr="00A33FF2">
      <w:rPr>
        <w:i/>
      </w:rPr>
      <w:t>Assumptions Used in Allocation of Costs</w:t>
    </w:r>
    <w:r w:rsidRPr="008B4AEB">
      <w:rPr>
        <w:i/>
        <w:szCs w:val="20"/>
      </w:rPr>
      <w:tab/>
    </w:r>
    <w:r>
      <w:rPr>
        <w:i/>
        <w:szCs w:val="20"/>
      </w:rPr>
      <w:tab/>
    </w:r>
    <w:r>
      <w:rPr>
        <w:i/>
        <w:szCs w:val="20"/>
      </w:rPr>
      <w:tab/>
    </w:r>
    <w:r w:rsidRPr="008B4AEB">
      <w:rPr>
        <w:rStyle w:val="PageNumber"/>
        <w:i/>
        <w:szCs w:val="20"/>
      </w:rPr>
      <w:fldChar w:fldCharType="begin"/>
    </w:r>
    <w:r w:rsidRPr="008B4AEB">
      <w:rPr>
        <w:rStyle w:val="PageNumber"/>
        <w:i/>
        <w:szCs w:val="20"/>
      </w:rPr>
      <w:instrText xml:space="preserve"> PAGE </w:instrText>
    </w:r>
    <w:r w:rsidRPr="008B4AEB">
      <w:rPr>
        <w:rStyle w:val="PageNumber"/>
        <w:i/>
        <w:szCs w:val="20"/>
      </w:rPr>
      <w:fldChar w:fldCharType="separate"/>
    </w:r>
    <w:r>
      <w:rPr>
        <w:rStyle w:val="PageNumber"/>
        <w:i/>
        <w:noProof/>
        <w:szCs w:val="20"/>
      </w:rPr>
      <w:t>73</w:t>
    </w:r>
    <w:r w:rsidRPr="008B4AEB">
      <w:rPr>
        <w:rStyle w:val="PageNumber"/>
        <w:i/>
        <w:szCs w:val="20"/>
      </w:rPr>
      <w:fldChar w:fldCharType="end"/>
    </w:r>
  </w:p>
  <w:p w:rsidR="00A33FF2" w:rsidRPr="00EC0FFF" w:rsidRDefault="00A33FF2" w:rsidP="00F852EF">
    <w:pPr>
      <w:pStyle w:val="Footer"/>
      <w:ind w:right="360"/>
      <w:jc w:val="right"/>
      <w:rPr>
        <w:lang w:val="en-US"/>
      </w:rPr>
    </w:pPr>
    <w:r>
      <w:rPr>
        <w:lang w:val="en-US"/>
      </w:rPr>
      <w:tab/>
    </w:r>
    <w:r>
      <w:rPr>
        <w:lang w:val="en-US"/>
      </w:rPr>
      <w:tab/>
    </w:r>
    <w:r>
      <w:rPr>
        <w:lang w:val="en-US"/>
      </w:rPr>
      <w:tab/>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F2" w:rsidRPr="00380A0E" w:rsidRDefault="00A33FF2" w:rsidP="00F852EF">
    <w:pPr>
      <w:pStyle w:val="Footer"/>
      <w:framePr w:wrap="around" w:vAnchor="text" w:hAnchor="page" w:x="9898" w:y="-62"/>
      <w:rPr>
        <w:rStyle w:val="PageNumber"/>
        <w:rFonts w:cs="Arial"/>
        <w:sz w:val="18"/>
        <w:szCs w:val="18"/>
      </w:rPr>
    </w:pPr>
  </w:p>
  <w:p w:rsidR="00A33FF2" w:rsidRPr="008B4AEB" w:rsidRDefault="00A33FF2" w:rsidP="00F852EF">
    <w:pPr>
      <w:pStyle w:val="Footer"/>
      <w:pBdr>
        <w:top w:val="single" w:sz="4" w:space="1" w:color="auto"/>
      </w:pBdr>
      <w:tabs>
        <w:tab w:val="left" w:pos="7080"/>
        <w:tab w:val="right" w:pos="14040"/>
      </w:tabs>
      <w:rPr>
        <w:i/>
        <w:szCs w:val="20"/>
      </w:rPr>
    </w:pPr>
    <w:r>
      <w:rPr>
        <w:i/>
      </w:rPr>
      <w:t>Risk Identification and Assessment</w:t>
    </w:r>
    <w:r w:rsidRPr="008B4AEB">
      <w:rPr>
        <w:i/>
        <w:szCs w:val="20"/>
      </w:rPr>
      <w:tab/>
    </w:r>
    <w:r>
      <w:rPr>
        <w:i/>
        <w:szCs w:val="20"/>
      </w:rPr>
      <w:tab/>
    </w:r>
    <w:r>
      <w:rPr>
        <w:i/>
        <w:szCs w:val="20"/>
      </w:rPr>
      <w:tab/>
    </w:r>
    <w:r w:rsidRPr="008B4AEB">
      <w:rPr>
        <w:rStyle w:val="PageNumber"/>
        <w:i/>
        <w:szCs w:val="20"/>
      </w:rPr>
      <w:fldChar w:fldCharType="begin"/>
    </w:r>
    <w:r w:rsidRPr="008B4AEB">
      <w:rPr>
        <w:rStyle w:val="PageNumber"/>
        <w:i/>
        <w:szCs w:val="20"/>
      </w:rPr>
      <w:instrText xml:space="preserve"> PAGE </w:instrText>
    </w:r>
    <w:r w:rsidRPr="008B4AEB">
      <w:rPr>
        <w:rStyle w:val="PageNumber"/>
        <w:i/>
        <w:szCs w:val="20"/>
      </w:rPr>
      <w:fldChar w:fldCharType="separate"/>
    </w:r>
    <w:r>
      <w:rPr>
        <w:rStyle w:val="PageNumber"/>
        <w:i/>
        <w:noProof/>
        <w:szCs w:val="20"/>
      </w:rPr>
      <w:t>90</w:t>
    </w:r>
    <w:r w:rsidRPr="008B4AEB">
      <w:rPr>
        <w:rStyle w:val="PageNumber"/>
        <w:i/>
        <w:szCs w:val="20"/>
      </w:rPr>
      <w:fldChar w:fldCharType="end"/>
    </w:r>
  </w:p>
  <w:p w:rsidR="00A33FF2" w:rsidRPr="00EC0FFF" w:rsidRDefault="00A33FF2" w:rsidP="00F852EF">
    <w:pPr>
      <w:pStyle w:val="Footer"/>
      <w:ind w:right="360"/>
      <w:jc w:val="right"/>
      <w:rPr>
        <w:lang w:val="en-US"/>
      </w:rPr>
    </w:pPr>
    <w:r>
      <w:rPr>
        <w:lang w:val="en-US"/>
      </w:rPr>
      <w:tab/>
    </w:r>
    <w:r>
      <w:rPr>
        <w:lang w:val="en-US"/>
      </w:rPr>
      <w:tab/>
    </w:r>
    <w:r>
      <w:rPr>
        <w:lang w:val="en-US"/>
      </w:rPr>
      <w:tab/>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F2" w:rsidRPr="00380A0E" w:rsidRDefault="00A33FF2" w:rsidP="00F852EF">
    <w:pPr>
      <w:pStyle w:val="Footer"/>
      <w:framePr w:wrap="around" w:vAnchor="text" w:hAnchor="page" w:x="9898" w:y="-62"/>
      <w:rPr>
        <w:rStyle w:val="PageNumber"/>
        <w:rFonts w:cs="Arial"/>
        <w:sz w:val="18"/>
        <w:szCs w:val="18"/>
      </w:rPr>
    </w:pPr>
  </w:p>
  <w:p w:rsidR="00A33FF2" w:rsidRPr="008B4AEB" w:rsidRDefault="00A33FF2" w:rsidP="00F852EF">
    <w:pPr>
      <w:pStyle w:val="Footer"/>
      <w:pBdr>
        <w:top w:val="single" w:sz="4" w:space="1" w:color="auto"/>
      </w:pBdr>
      <w:tabs>
        <w:tab w:val="left" w:pos="7080"/>
        <w:tab w:val="right" w:pos="14040"/>
      </w:tabs>
      <w:rPr>
        <w:i/>
        <w:szCs w:val="20"/>
      </w:rPr>
    </w:pPr>
    <w:r>
      <w:rPr>
        <w:i/>
      </w:rPr>
      <w:t>Regulatory Risk Review</w:t>
    </w:r>
    <w:r w:rsidRPr="008B4AEB">
      <w:rPr>
        <w:i/>
        <w:szCs w:val="20"/>
      </w:rPr>
      <w:tab/>
    </w:r>
    <w:r>
      <w:rPr>
        <w:i/>
        <w:szCs w:val="20"/>
      </w:rPr>
      <w:tab/>
    </w:r>
    <w:r>
      <w:rPr>
        <w:i/>
        <w:szCs w:val="20"/>
      </w:rPr>
      <w:tab/>
    </w:r>
    <w:r w:rsidRPr="008B4AEB">
      <w:rPr>
        <w:rStyle w:val="PageNumber"/>
        <w:i/>
        <w:szCs w:val="20"/>
      </w:rPr>
      <w:fldChar w:fldCharType="begin"/>
    </w:r>
    <w:r w:rsidRPr="008B4AEB">
      <w:rPr>
        <w:rStyle w:val="PageNumber"/>
        <w:i/>
        <w:szCs w:val="20"/>
      </w:rPr>
      <w:instrText xml:space="preserve"> PAGE </w:instrText>
    </w:r>
    <w:r w:rsidRPr="008B4AEB">
      <w:rPr>
        <w:rStyle w:val="PageNumber"/>
        <w:i/>
        <w:szCs w:val="20"/>
      </w:rPr>
      <w:fldChar w:fldCharType="separate"/>
    </w:r>
    <w:r>
      <w:rPr>
        <w:rStyle w:val="PageNumber"/>
        <w:i/>
        <w:noProof/>
        <w:szCs w:val="20"/>
      </w:rPr>
      <w:t>91</w:t>
    </w:r>
    <w:r w:rsidRPr="008B4AEB">
      <w:rPr>
        <w:rStyle w:val="PageNumber"/>
        <w:i/>
        <w:szCs w:val="20"/>
      </w:rPr>
      <w:fldChar w:fldCharType="end"/>
    </w:r>
  </w:p>
  <w:p w:rsidR="00A33FF2" w:rsidRPr="00EC0FFF" w:rsidRDefault="00A33FF2" w:rsidP="00F852EF">
    <w:pPr>
      <w:pStyle w:val="Footer"/>
      <w:ind w:right="360"/>
      <w:jc w:val="right"/>
      <w:rPr>
        <w:lang w:val="en-US"/>
      </w:rPr>
    </w:pPr>
    <w:r>
      <w:rPr>
        <w:lang w:val="en-US"/>
      </w:rPr>
      <w:tab/>
    </w:r>
    <w:r>
      <w:rPr>
        <w:lang w:val="en-US"/>
      </w:rPr>
      <w:tab/>
    </w:r>
    <w:r>
      <w:rPr>
        <w:lang w:val="en-US"/>
      </w:rPr>
      <w:tab/>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F2" w:rsidRPr="00380A0E" w:rsidRDefault="00A33FF2" w:rsidP="00F852EF">
    <w:pPr>
      <w:pStyle w:val="Footer"/>
      <w:framePr w:wrap="around" w:vAnchor="text" w:hAnchor="page" w:x="9898" w:y="-62"/>
      <w:rPr>
        <w:rStyle w:val="PageNumber"/>
        <w:rFonts w:cs="Arial"/>
        <w:sz w:val="18"/>
        <w:szCs w:val="18"/>
      </w:rPr>
    </w:pPr>
  </w:p>
  <w:p w:rsidR="00A33FF2" w:rsidRPr="008B4AEB" w:rsidRDefault="00A33FF2" w:rsidP="00F852EF">
    <w:pPr>
      <w:pStyle w:val="Footer"/>
      <w:pBdr>
        <w:top w:val="single" w:sz="4" w:space="1" w:color="auto"/>
      </w:pBdr>
      <w:tabs>
        <w:tab w:val="left" w:pos="7080"/>
        <w:tab w:val="right" w:pos="14040"/>
      </w:tabs>
      <w:rPr>
        <w:i/>
        <w:szCs w:val="20"/>
      </w:rPr>
    </w:pPr>
    <w:r>
      <w:rPr>
        <w:i/>
      </w:rPr>
      <w:t>Regulatory Risk Review</w:t>
    </w:r>
    <w:r w:rsidRPr="008B4AEB">
      <w:rPr>
        <w:i/>
        <w:szCs w:val="20"/>
      </w:rPr>
      <w:tab/>
    </w:r>
    <w:r>
      <w:rPr>
        <w:i/>
        <w:szCs w:val="20"/>
      </w:rPr>
      <w:tab/>
    </w:r>
    <w:r>
      <w:rPr>
        <w:i/>
        <w:szCs w:val="20"/>
      </w:rPr>
      <w:tab/>
    </w:r>
    <w:r>
      <w:rPr>
        <w:i/>
        <w:szCs w:val="20"/>
      </w:rPr>
      <w:tab/>
    </w:r>
    <w:r w:rsidRPr="008B4AEB">
      <w:rPr>
        <w:rStyle w:val="PageNumber"/>
        <w:i/>
        <w:szCs w:val="20"/>
      </w:rPr>
      <w:fldChar w:fldCharType="begin"/>
    </w:r>
    <w:r w:rsidRPr="008B4AEB">
      <w:rPr>
        <w:rStyle w:val="PageNumber"/>
        <w:i/>
        <w:szCs w:val="20"/>
      </w:rPr>
      <w:instrText xml:space="preserve"> PAGE </w:instrText>
    </w:r>
    <w:r w:rsidRPr="008B4AEB">
      <w:rPr>
        <w:rStyle w:val="PageNumber"/>
        <w:i/>
        <w:szCs w:val="20"/>
      </w:rPr>
      <w:fldChar w:fldCharType="separate"/>
    </w:r>
    <w:r>
      <w:rPr>
        <w:rStyle w:val="PageNumber"/>
        <w:i/>
        <w:noProof/>
        <w:szCs w:val="20"/>
      </w:rPr>
      <w:t>101</w:t>
    </w:r>
    <w:r w:rsidRPr="008B4AEB">
      <w:rPr>
        <w:rStyle w:val="PageNumber"/>
        <w:i/>
        <w:szCs w:val="20"/>
      </w:rPr>
      <w:fldChar w:fldCharType="end"/>
    </w:r>
  </w:p>
  <w:p w:rsidR="00A33FF2" w:rsidRPr="00EC0FFF" w:rsidRDefault="00A33FF2" w:rsidP="00F852EF">
    <w:pPr>
      <w:pStyle w:val="Footer"/>
      <w:ind w:right="360"/>
      <w:jc w:val="right"/>
      <w:rPr>
        <w:lang w:val="en-US"/>
      </w:rPr>
    </w:pPr>
    <w:r>
      <w:rPr>
        <w:lang w:val="en-US"/>
      </w:rPr>
      <w:tab/>
    </w:r>
    <w:r>
      <w:rPr>
        <w:lang w:val="en-US"/>
      </w:rPr>
      <w:tab/>
    </w:r>
    <w:r>
      <w:rPr>
        <w:lang w:val="en-US"/>
      </w:rPr>
      <w:tab/>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F2" w:rsidRPr="00380A0E" w:rsidRDefault="00A33FF2" w:rsidP="00F852EF">
    <w:pPr>
      <w:pStyle w:val="Footer"/>
      <w:framePr w:wrap="around" w:vAnchor="text" w:hAnchor="page" w:x="9898" w:y="-62"/>
      <w:rPr>
        <w:rStyle w:val="PageNumber"/>
        <w:rFonts w:cs="Arial"/>
        <w:sz w:val="18"/>
        <w:szCs w:val="18"/>
      </w:rPr>
    </w:pPr>
  </w:p>
  <w:p w:rsidR="00A33FF2" w:rsidRPr="008B4AEB" w:rsidRDefault="00A33FF2" w:rsidP="00F852EF">
    <w:pPr>
      <w:pStyle w:val="Footer"/>
      <w:pBdr>
        <w:top w:val="single" w:sz="4" w:space="1" w:color="auto"/>
      </w:pBdr>
      <w:tabs>
        <w:tab w:val="left" w:pos="7080"/>
        <w:tab w:val="right" w:pos="14040"/>
      </w:tabs>
      <w:rPr>
        <w:i/>
        <w:szCs w:val="20"/>
      </w:rPr>
    </w:pPr>
    <w:r>
      <w:rPr>
        <w:i/>
      </w:rPr>
      <w:t>Risk Treatment Plan</w:t>
    </w:r>
    <w:r w:rsidRPr="008B4AEB">
      <w:rPr>
        <w:i/>
        <w:szCs w:val="20"/>
      </w:rPr>
      <w:tab/>
    </w:r>
    <w:r>
      <w:rPr>
        <w:i/>
        <w:szCs w:val="20"/>
      </w:rPr>
      <w:tab/>
    </w:r>
    <w:r>
      <w:rPr>
        <w:i/>
        <w:szCs w:val="20"/>
      </w:rPr>
      <w:tab/>
    </w:r>
    <w:r w:rsidRPr="008B4AEB">
      <w:rPr>
        <w:rStyle w:val="PageNumber"/>
        <w:i/>
        <w:szCs w:val="20"/>
      </w:rPr>
      <w:fldChar w:fldCharType="begin"/>
    </w:r>
    <w:r w:rsidRPr="008B4AEB">
      <w:rPr>
        <w:rStyle w:val="PageNumber"/>
        <w:i/>
        <w:szCs w:val="20"/>
      </w:rPr>
      <w:instrText xml:space="preserve"> PAGE </w:instrText>
    </w:r>
    <w:r w:rsidRPr="008B4AEB">
      <w:rPr>
        <w:rStyle w:val="PageNumber"/>
        <w:i/>
        <w:szCs w:val="20"/>
      </w:rPr>
      <w:fldChar w:fldCharType="separate"/>
    </w:r>
    <w:r w:rsidR="00E66F13">
      <w:rPr>
        <w:rStyle w:val="PageNumber"/>
        <w:i/>
        <w:noProof/>
        <w:szCs w:val="20"/>
      </w:rPr>
      <w:t>102</w:t>
    </w:r>
    <w:r w:rsidRPr="008B4AEB">
      <w:rPr>
        <w:rStyle w:val="PageNumber"/>
        <w:i/>
        <w:szCs w:val="20"/>
      </w:rPr>
      <w:fldChar w:fldCharType="end"/>
    </w:r>
  </w:p>
  <w:p w:rsidR="00A33FF2" w:rsidRPr="00EC0FFF" w:rsidRDefault="00A33FF2" w:rsidP="00F852EF">
    <w:pPr>
      <w:pStyle w:val="Footer"/>
      <w:ind w:right="360"/>
      <w:jc w:val="right"/>
      <w:rPr>
        <w:lang w:val="en-US"/>
      </w:rPr>
    </w:pPr>
    <w:r>
      <w:rPr>
        <w:lang w:val="en-US"/>
      </w:rPr>
      <w:tab/>
    </w:r>
    <w:r>
      <w:rPr>
        <w:lang w:val="en-US"/>
      </w:rPr>
      <w:tab/>
    </w:r>
    <w:r>
      <w:rPr>
        <w:lang w:val="en-US"/>
      </w:rPr>
      <w:tab/>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13" w:rsidRPr="00380A0E" w:rsidRDefault="00E66F13" w:rsidP="00F852EF">
    <w:pPr>
      <w:pStyle w:val="Footer"/>
      <w:framePr w:wrap="around" w:vAnchor="text" w:hAnchor="page" w:x="9898" w:y="-62"/>
      <w:rPr>
        <w:rStyle w:val="PageNumber"/>
        <w:rFonts w:cs="Arial"/>
        <w:sz w:val="18"/>
        <w:szCs w:val="18"/>
      </w:rPr>
    </w:pPr>
  </w:p>
  <w:p w:rsidR="00E66F13" w:rsidRPr="008B4AEB" w:rsidRDefault="00E66F13" w:rsidP="00F852EF">
    <w:pPr>
      <w:pStyle w:val="Footer"/>
      <w:pBdr>
        <w:top w:val="single" w:sz="4" w:space="1" w:color="auto"/>
      </w:pBdr>
      <w:tabs>
        <w:tab w:val="left" w:pos="7080"/>
        <w:tab w:val="right" w:pos="14040"/>
      </w:tabs>
      <w:rPr>
        <w:i/>
        <w:szCs w:val="20"/>
      </w:rPr>
    </w:pPr>
    <w:r>
      <w:rPr>
        <w:i/>
      </w:rPr>
      <w:t>Risk Treatment Plan</w:t>
    </w:r>
    <w:r w:rsidRPr="008B4AEB">
      <w:rPr>
        <w:i/>
        <w:szCs w:val="20"/>
      </w:rPr>
      <w:tab/>
    </w:r>
    <w:r>
      <w:rPr>
        <w:i/>
        <w:szCs w:val="20"/>
      </w:rPr>
      <w:tab/>
    </w:r>
    <w:r>
      <w:rPr>
        <w:i/>
        <w:szCs w:val="20"/>
      </w:rPr>
      <w:tab/>
    </w:r>
    <w:r>
      <w:rPr>
        <w:i/>
        <w:szCs w:val="20"/>
      </w:rPr>
      <w:tab/>
    </w:r>
    <w:r>
      <w:rPr>
        <w:i/>
        <w:szCs w:val="20"/>
      </w:rPr>
      <w:tab/>
    </w:r>
    <w:r w:rsidRPr="008B4AEB">
      <w:rPr>
        <w:rStyle w:val="PageNumber"/>
        <w:i/>
        <w:szCs w:val="20"/>
      </w:rPr>
      <w:fldChar w:fldCharType="begin"/>
    </w:r>
    <w:r w:rsidRPr="008B4AEB">
      <w:rPr>
        <w:rStyle w:val="PageNumber"/>
        <w:i/>
        <w:szCs w:val="20"/>
      </w:rPr>
      <w:instrText xml:space="preserve"> PAGE </w:instrText>
    </w:r>
    <w:r w:rsidRPr="008B4AEB">
      <w:rPr>
        <w:rStyle w:val="PageNumber"/>
        <w:i/>
        <w:szCs w:val="20"/>
      </w:rPr>
      <w:fldChar w:fldCharType="separate"/>
    </w:r>
    <w:r>
      <w:rPr>
        <w:rStyle w:val="PageNumber"/>
        <w:i/>
        <w:noProof/>
        <w:szCs w:val="20"/>
      </w:rPr>
      <w:t>114</w:t>
    </w:r>
    <w:r w:rsidRPr="008B4AEB">
      <w:rPr>
        <w:rStyle w:val="PageNumber"/>
        <w:i/>
        <w:szCs w:val="20"/>
      </w:rPr>
      <w:fldChar w:fldCharType="end"/>
    </w:r>
  </w:p>
  <w:p w:rsidR="00E66F13" w:rsidRPr="00EC0FFF" w:rsidRDefault="00E66F13" w:rsidP="00F852EF">
    <w:pPr>
      <w:pStyle w:val="Footer"/>
      <w:ind w:right="360"/>
      <w:jc w:val="right"/>
      <w:rPr>
        <w:lang w:val="en-US"/>
      </w:rPr>
    </w:pPr>
    <w:r>
      <w:rPr>
        <w:lang w:val="en-US"/>
      </w:rPr>
      <w:tab/>
    </w:r>
    <w:r>
      <w:rPr>
        <w:lang w:val="en-US"/>
      </w:rPr>
      <w:tab/>
    </w:r>
    <w:r>
      <w:rPr>
        <w:lang w:val="en-US"/>
      </w:rPr>
      <w:tab/>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13" w:rsidRPr="00380A0E" w:rsidRDefault="00E66F13" w:rsidP="00F852EF">
    <w:pPr>
      <w:pStyle w:val="Footer"/>
      <w:framePr w:wrap="around" w:vAnchor="text" w:hAnchor="page" w:x="9898" w:y="-62"/>
      <w:rPr>
        <w:rStyle w:val="PageNumber"/>
        <w:rFonts w:cs="Arial"/>
        <w:sz w:val="18"/>
        <w:szCs w:val="18"/>
      </w:rPr>
    </w:pPr>
  </w:p>
  <w:p w:rsidR="00E66F13" w:rsidRPr="008B4AEB" w:rsidRDefault="00E66F13" w:rsidP="00F852EF">
    <w:pPr>
      <w:pStyle w:val="Footer"/>
      <w:pBdr>
        <w:top w:val="single" w:sz="4" w:space="1" w:color="auto"/>
      </w:pBdr>
      <w:tabs>
        <w:tab w:val="left" w:pos="7080"/>
        <w:tab w:val="right" w:pos="14040"/>
      </w:tabs>
      <w:rPr>
        <w:i/>
        <w:szCs w:val="20"/>
      </w:rPr>
    </w:pPr>
    <w:r>
      <w:rPr>
        <w:i/>
      </w:rPr>
      <w:t>International Best Practice Review</w:t>
    </w:r>
    <w:r>
      <w:rPr>
        <w:i/>
        <w:szCs w:val="20"/>
      </w:rPr>
      <w:tab/>
    </w:r>
    <w:r>
      <w:rPr>
        <w:i/>
        <w:szCs w:val="20"/>
      </w:rPr>
      <w:tab/>
    </w:r>
    <w:r>
      <w:rPr>
        <w:i/>
        <w:szCs w:val="20"/>
      </w:rPr>
      <w:tab/>
    </w:r>
    <w:r w:rsidRPr="008B4AEB">
      <w:rPr>
        <w:rStyle w:val="PageNumber"/>
        <w:i/>
        <w:szCs w:val="20"/>
      </w:rPr>
      <w:fldChar w:fldCharType="begin"/>
    </w:r>
    <w:r w:rsidRPr="008B4AEB">
      <w:rPr>
        <w:rStyle w:val="PageNumber"/>
        <w:i/>
        <w:szCs w:val="20"/>
      </w:rPr>
      <w:instrText xml:space="preserve"> PAGE </w:instrText>
    </w:r>
    <w:r w:rsidRPr="008B4AEB">
      <w:rPr>
        <w:rStyle w:val="PageNumber"/>
        <w:i/>
        <w:szCs w:val="20"/>
      </w:rPr>
      <w:fldChar w:fldCharType="separate"/>
    </w:r>
    <w:r>
      <w:rPr>
        <w:rStyle w:val="PageNumber"/>
        <w:i/>
        <w:noProof/>
        <w:szCs w:val="20"/>
      </w:rPr>
      <w:t>115</w:t>
    </w:r>
    <w:r w:rsidRPr="008B4AEB">
      <w:rPr>
        <w:rStyle w:val="PageNumber"/>
        <w:i/>
        <w:szCs w:val="20"/>
      </w:rPr>
      <w:fldChar w:fldCharType="end"/>
    </w:r>
  </w:p>
  <w:p w:rsidR="00E66F13" w:rsidRPr="00EC0FFF" w:rsidRDefault="00E66F13" w:rsidP="00F852EF">
    <w:pPr>
      <w:pStyle w:val="Footer"/>
      <w:ind w:right="360"/>
      <w:jc w:val="right"/>
      <w:rPr>
        <w:lang w:val="en-US"/>
      </w:rPr>
    </w:pPr>
    <w:r>
      <w:rPr>
        <w:lang w:val="en-US"/>
      </w:rPr>
      <w:tab/>
    </w:r>
    <w:r>
      <w:rPr>
        <w:lang w:val="en-US"/>
      </w:rPr>
      <w:tab/>
    </w:r>
    <w:r>
      <w:rPr>
        <w:lang w:val="en-US"/>
      </w:rPr>
      <w:tab/>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13" w:rsidRPr="00380A0E" w:rsidRDefault="00E66F13" w:rsidP="00E66F13">
    <w:pPr>
      <w:pStyle w:val="Footer"/>
      <w:framePr w:wrap="around" w:vAnchor="text" w:hAnchor="page" w:x="9912" w:y="-61"/>
      <w:rPr>
        <w:rStyle w:val="PageNumber"/>
        <w:rFonts w:cs="Arial"/>
        <w:sz w:val="18"/>
        <w:szCs w:val="18"/>
      </w:rPr>
    </w:pPr>
  </w:p>
  <w:p w:rsidR="00E66F13" w:rsidRPr="008B4AEB" w:rsidRDefault="00E66F13" w:rsidP="00F852EF">
    <w:pPr>
      <w:pStyle w:val="Footer"/>
      <w:pBdr>
        <w:top w:val="single" w:sz="4" w:space="1" w:color="auto"/>
      </w:pBdr>
      <w:tabs>
        <w:tab w:val="left" w:pos="7080"/>
        <w:tab w:val="right" w:pos="14040"/>
      </w:tabs>
      <w:rPr>
        <w:i/>
        <w:szCs w:val="20"/>
      </w:rPr>
    </w:pPr>
    <w:r>
      <w:rPr>
        <w:i/>
      </w:rPr>
      <w:t>International Best Practice Review</w:t>
    </w:r>
    <w:r>
      <w:rPr>
        <w:i/>
        <w:szCs w:val="20"/>
      </w:rPr>
      <w:tab/>
    </w:r>
    <w:r>
      <w:rPr>
        <w:i/>
        <w:szCs w:val="20"/>
      </w:rPr>
      <w:tab/>
    </w:r>
    <w:r>
      <w:rPr>
        <w:i/>
        <w:szCs w:val="20"/>
      </w:rPr>
      <w:tab/>
    </w:r>
    <w:r>
      <w:rPr>
        <w:i/>
        <w:szCs w:val="20"/>
      </w:rPr>
      <w:tab/>
    </w:r>
    <w:r>
      <w:rPr>
        <w:i/>
        <w:szCs w:val="20"/>
      </w:rPr>
      <w:tab/>
    </w:r>
    <w:r w:rsidRPr="008B4AEB">
      <w:rPr>
        <w:rStyle w:val="PageNumber"/>
        <w:i/>
        <w:szCs w:val="20"/>
      </w:rPr>
      <w:fldChar w:fldCharType="begin"/>
    </w:r>
    <w:r w:rsidRPr="008B4AEB">
      <w:rPr>
        <w:rStyle w:val="PageNumber"/>
        <w:i/>
        <w:szCs w:val="20"/>
      </w:rPr>
      <w:instrText xml:space="preserve"> PAGE </w:instrText>
    </w:r>
    <w:r w:rsidRPr="008B4AEB">
      <w:rPr>
        <w:rStyle w:val="PageNumber"/>
        <w:i/>
        <w:szCs w:val="20"/>
      </w:rPr>
      <w:fldChar w:fldCharType="separate"/>
    </w:r>
    <w:r>
      <w:rPr>
        <w:rStyle w:val="PageNumber"/>
        <w:i/>
        <w:noProof/>
        <w:szCs w:val="20"/>
      </w:rPr>
      <w:t>116</w:t>
    </w:r>
    <w:r w:rsidRPr="008B4AEB">
      <w:rPr>
        <w:rStyle w:val="PageNumber"/>
        <w:i/>
        <w:szCs w:val="20"/>
      </w:rPr>
      <w:fldChar w:fldCharType="end"/>
    </w:r>
  </w:p>
  <w:p w:rsidR="00E66F13" w:rsidRPr="00EC0FFF" w:rsidRDefault="00E66F13" w:rsidP="00F852EF">
    <w:pPr>
      <w:pStyle w:val="Footer"/>
      <w:ind w:right="360"/>
      <w:jc w:val="right"/>
      <w:rPr>
        <w:lang w:val="en-US"/>
      </w:rPr>
    </w:pPr>
    <w:r>
      <w:rPr>
        <w:lang w:val="en-US"/>
      </w:rPr>
      <w:tab/>
    </w:r>
    <w:r>
      <w:rPr>
        <w:lang w:val="en-US"/>
      </w:rPr>
      <w:tab/>
    </w:r>
    <w:r>
      <w:rPr>
        <w:lang w:val="en-US"/>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F2" w:rsidRDefault="00A33FF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F2" w:rsidRDefault="00A33FF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F2" w:rsidRPr="00BC618C" w:rsidRDefault="00A33FF2" w:rsidP="00651BB0">
    <w:pPr>
      <w:pStyle w:val="Footer"/>
      <w:pBdr>
        <w:top w:val="single" w:sz="4" w:space="1" w:color="auto"/>
      </w:pBdr>
      <w:tabs>
        <w:tab w:val="clear" w:pos="4680"/>
        <w:tab w:val="clear" w:pos="9360"/>
        <w:tab w:val="right" w:pos="9072"/>
      </w:tabs>
      <w:jc w:val="left"/>
      <w:rPr>
        <w:sz w:val="16"/>
        <w:szCs w:val="16"/>
      </w:rPr>
    </w:pPr>
    <w:r>
      <w:rPr>
        <w:sz w:val="16"/>
        <w:szCs w:val="16"/>
      </w:rPr>
      <w:t>KMH Environmental</w:t>
    </w:r>
    <w:r>
      <w:rPr>
        <w:sz w:val="16"/>
        <w:szCs w:val="16"/>
      </w:rPr>
      <w:tab/>
    </w:r>
    <w:r w:rsidRPr="00206479">
      <w:rPr>
        <w:sz w:val="16"/>
        <w:szCs w:val="16"/>
      </w:rPr>
      <w:t xml:space="preserve">Page </w:t>
    </w:r>
    <w:r w:rsidRPr="00206479">
      <w:rPr>
        <w:sz w:val="16"/>
        <w:szCs w:val="16"/>
      </w:rPr>
      <w:fldChar w:fldCharType="begin"/>
    </w:r>
    <w:r w:rsidRPr="00206479">
      <w:rPr>
        <w:sz w:val="16"/>
        <w:szCs w:val="16"/>
      </w:rPr>
      <w:instrText xml:space="preserve"> PAGE   \* MERGEFORMAT </w:instrText>
    </w:r>
    <w:r w:rsidRPr="00206479">
      <w:rPr>
        <w:sz w:val="16"/>
        <w:szCs w:val="16"/>
      </w:rPr>
      <w:fldChar w:fldCharType="separate"/>
    </w:r>
    <w:r>
      <w:rPr>
        <w:noProof/>
        <w:sz w:val="16"/>
        <w:szCs w:val="16"/>
      </w:rPr>
      <w:t>i</w:t>
    </w:r>
    <w:r w:rsidRPr="00206479">
      <w:rPr>
        <w:sz w:val="16"/>
        <w:szCs w:val="16"/>
      </w:rPr>
      <w:fldChar w:fldCharType="end"/>
    </w:r>
  </w:p>
  <w:p w:rsidR="00A33FF2" w:rsidRPr="00651BB0" w:rsidRDefault="00A33FF2" w:rsidP="00651BB0">
    <w:pPr>
      <w:pStyle w:val="Footer"/>
      <w:rPr>
        <w:szCs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F2" w:rsidRPr="00BC618C" w:rsidRDefault="00A33FF2" w:rsidP="00651BB0">
    <w:pPr>
      <w:pStyle w:val="Footer"/>
      <w:pBdr>
        <w:top w:val="single" w:sz="4" w:space="1" w:color="auto"/>
      </w:pBdr>
      <w:tabs>
        <w:tab w:val="clear" w:pos="4680"/>
        <w:tab w:val="clear" w:pos="9360"/>
        <w:tab w:val="right" w:pos="9072"/>
      </w:tabs>
      <w:jc w:val="left"/>
      <w:rPr>
        <w:sz w:val="16"/>
        <w:szCs w:val="16"/>
      </w:rPr>
    </w:pPr>
    <w:r>
      <w:rPr>
        <w:sz w:val="16"/>
        <w:szCs w:val="16"/>
      </w:rPr>
      <w:t>KMH Environmental</w:t>
    </w:r>
    <w:r>
      <w:rPr>
        <w:sz w:val="16"/>
        <w:szCs w:val="16"/>
      </w:rPr>
      <w:tab/>
    </w:r>
    <w:r w:rsidRPr="00206479">
      <w:rPr>
        <w:sz w:val="16"/>
        <w:szCs w:val="16"/>
      </w:rPr>
      <w:t xml:space="preserve">Page </w:t>
    </w:r>
    <w:r w:rsidRPr="00206479">
      <w:rPr>
        <w:sz w:val="16"/>
        <w:szCs w:val="16"/>
      </w:rPr>
      <w:fldChar w:fldCharType="begin"/>
    </w:r>
    <w:r w:rsidRPr="00206479">
      <w:rPr>
        <w:sz w:val="16"/>
        <w:szCs w:val="16"/>
      </w:rPr>
      <w:instrText xml:space="preserve"> PAGE   \* MERGEFORMAT </w:instrText>
    </w:r>
    <w:r w:rsidRPr="00206479">
      <w:rPr>
        <w:sz w:val="16"/>
        <w:szCs w:val="16"/>
      </w:rPr>
      <w:fldChar w:fldCharType="separate"/>
    </w:r>
    <w:r>
      <w:rPr>
        <w:noProof/>
        <w:sz w:val="16"/>
        <w:szCs w:val="16"/>
      </w:rPr>
      <w:t>32</w:t>
    </w:r>
    <w:r w:rsidRPr="00206479">
      <w:rPr>
        <w:sz w:val="16"/>
        <w:szCs w:val="16"/>
      </w:rPr>
      <w:fldChar w:fldCharType="end"/>
    </w:r>
  </w:p>
  <w:p w:rsidR="00A33FF2" w:rsidRPr="00651BB0" w:rsidRDefault="00A33FF2" w:rsidP="00651BB0">
    <w:pPr>
      <w:pStyle w:val="Footer"/>
      <w:rPr>
        <w:szCs w:val="16"/>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F2" w:rsidRPr="00014C13" w:rsidRDefault="00A33FF2" w:rsidP="00B630B0">
    <w:pPr>
      <w:pStyle w:val="Footer"/>
      <w:pBdr>
        <w:top w:val="single" w:sz="4" w:space="1" w:color="auto"/>
      </w:pBdr>
      <w:tabs>
        <w:tab w:val="clear" w:pos="4680"/>
        <w:tab w:val="clear" w:pos="9360"/>
        <w:tab w:val="right" w:pos="9072"/>
      </w:tabs>
      <w:jc w:val="left"/>
      <w:rPr>
        <w:sz w:val="16"/>
        <w:szCs w:val="16"/>
      </w:rPr>
    </w:pPr>
    <w:r>
      <w:rPr>
        <w:sz w:val="16"/>
        <w:szCs w:val="16"/>
      </w:rPr>
      <w:t>KMH Environmental</w:t>
    </w:r>
    <w:r>
      <w:rPr>
        <w:sz w:val="16"/>
        <w:szCs w:val="16"/>
      </w:rPr>
      <w:tab/>
    </w:r>
    <w:r w:rsidRPr="00014C13">
      <w:rPr>
        <w:sz w:val="16"/>
        <w:szCs w:val="16"/>
      </w:rPr>
      <w:t xml:space="preserve">Page </w:t>
    </w:r>
    <w:r w:rsidRPr="00014C13">
      <w:rPr>
        <w:sz w:val="16"/>
        <w:szCs w:val="16"/>
      </w:rPr>
      <w:fldChar w:fldCharType="begin"/>
    </w:r>
    <w:r w:rsidRPr="00014C13">
      <w:rPr>
        <w:sz w:val="16"/>
        <w:szCs w:val="16"/>
      </w:rPr>
      <w:instrText xml:space="preserve"> PAGE   \* MERGEFORMAT </w:instrText>
    </w:r>
    <w:r w:rsidRPr="00014C13">
      <w:rPr>
        <w:sz w:val="16"/>
        <w:szCs w:val="16"/>
      </w:rPr>
      <w:fldChar w:fldCharType="separate"/>
    </w:r>
    <w:r>
      <w:rPr>
        <w:noProof/>
        <w:sz w:val="16"/>
        <w:szCs w:val="16"/>
      </w:rPr>
      <w:t>1</w:t>
    </w:r>
    <w:r w:rsidRPr="00014C13">
      <w:rPr>
        <w:sz w:val="16"/>
        <w:szCs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F2" w:rsidRPr="00014C13" w:rsidRDefault="00A33FF2" w:rsidP="003B541B">
    <w:pPr>
      <w:pStyle w:val="Footer"/>
      <w:tabs>
        <w:tab w:val="left" w:pos="7605"/>
        <w:tab w:val="right" w:pos="9072"/>
      </w:tabs>
      <w:jc w:val="left"/>
      <w:rPr>
        <w:sz w:val="16"/>
        <w:szCs w:val="16"/>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F2" w:rsidRPr="00380A0E" w:rsidRDefault="00A33FF2" w:rsidP="00F852EF">
    <w:pPr>
      <w:pStyle w:val="Footer"/>
      <w:framePr w:wrap="around" w:vAnchor="text" w:hAnchor="page" w:x="9898" w:y="-62"/>
      <w:rPr>
        <w:rStyle w:val="PageNumber"/>
        <w:rFonts w:cs="Arial"/>
        <w:sz w:val="18"/>
        <w:szCs w:val="18"/>
      </w:rPr>
    </w:pPr>
  </w:p>
  <w:p w:rsidR="00A33FF2" w:rsidRPr="008B4AEB" w:rsidRDefault="00A33FF2" w:rsidP="00F852EF">
    <w:pPr>
      <w:pStyle w:val="Footer"/>
      <w:pBdr>
        <w:top w:val="single" w:sz="4" w:space="1" w:color="auto"/>
      </w:pBdr>
      <w:tabs>
        <w:tab w:val="left" w:pos="7080"/>
        <w:tab w:val="right" w:pos="14040"/>
      </w:tabs>
      <w:rPr>
        <w:i/>
        <w:szCs w:val="20"/>
      </w:rPr>
    </w:pPr>
    <w:r>
      <w:rPr>
        <w:i/>
        <w:szCs w:val="20"/>
      </w:rPr>
      <w:t>Consolidated comments on the draft Industry Interim Standard – prepared by the Secretariat 7 Dec 2010</w:t>
    </w:r>
    <w:r w:rsidRPr="008B4AEB">
      <w:rPr>
        <w:i/>
        <w:szCs w:val="20"/>
      </w:rPr>
      <w:tab/>
    </w:r>
    <w:r w:rsidRPr="008B4AEB">
      <w:rPr>
        <w:rStyle w:val="PageNumber"/>
        <w:i/>
        <w:szCs w:val="20"/>
      </w:rPr>
      <w:fldChar w:fldCharType="begin"/>
    </w:r>
    <w:r w:rsidRPr="008B4AEB">
      <w:rPr>
        <w:rStyle w:val="PageNumber"/>
        <w:i/>
        <w:szCs w:val="20"/>
      </w:rPr>
      <w:instrText xml:space="preserve"> PAGE </w:instrText>
    </w:r>
    <w:r w:rsidRPr="008B4AEB">
      <w:rPr>
        <w:rStyle w:val="PageNumber"/>
        <w:i/>
        <w:szCs w:val="20"/>
      </w:rPr>
      <w:fldChar w:fldCharType="separate"/>
    </w:r>
    <w:r>
      <w:rPr>
        <w:rStyle w:val="PageNumber"/>
        <w:i/>
        <w:noProof/>
        <w:szCs w:val="20"/>
      </w:rPr>
      <w:t>68</w:t>
    </w:r>
    <w:r w:rsidRPr="008B4AEB">
      <w:rPr>
        <w:rStyle w:val="PageNumber"/>
        <w:i/>
        <w:szCs w:val="20"/>
      </w:rPr>
      <w:fldChar w:fldCharType="end"/>
    </w:r>
  </w:p>
  <w:p w:rsidR="00A33FF2" w:rsidRPr="00EC0FFF" w:rsidRDefault="00A33FF2" w:rsidP="00F852EF">
    <w:pPr>
      <w:pStyle w:val="Footer"/>
      <w:ind w:right="360"/>
      <w:jc w:val="right"/>
      <w:rPr>
        <w:lang w:val="en-US"/>
      </w:rPr>
    </w:pPr>
    <w:r>
      <w:rPr>
        <w:lang w:val="en-US"/>
      </w:rPr>
      <w:tab/>
    </w:r>
    <w:r>
      <w:rPr>
        <w:lang w:val="en-US"/>
      </w:rPr>
      <w:tab/>
    </w:r>
    <w:r>
      <w:rPr>
        <w:lang w:val="en-US"/>
      </w:rPr>
      <w:tab/>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F2" w:rsidRPr="00380A0E" w:rsidRDefault="00A33FF2" w:rsidP="00F852EF">
    <w:pPr>
      <w:pStyle w:val="Footer"/>
      <w:framePr w:wrap="around" w:vAnchor="text" w:hAnchor="page" w:x="9898" w:y="-62"/>
      <w:rPr>
        <w:rStyle w:val="PageNumber"/>
        <w:rFonts w:cs="Arial"/>
        <w:sz w:val="18"/>
        <w:szCs w:val="18"/>
      </w:rPr>
    </w:pPr>
  </w:p>
  <w:p w:rsidR="00A33FF2" w:rsidRPr="008B4AEB" w:rsidRDefault="00A33FF2" w:rsidP="00F852EF">
    <w:pPr>
      <w:pStyle w:val="Footer"/>
      <w:pBdr>
        <w:top w:val="single" w:sz="4" w:space="1" w:color="auto"/>
      </w:pBdr>
      <w:tabs>
        <w:tab w:val="left" w:pos="7080"/>
        <w:tab w:val="right" w:pos="14040"/>
      </w:tabs>
      <w:rPr>
        <w:i/>
        <w:szCs w:val="20"/>
      </w:rPr>
    </w:pPr>
    <w:r>
      <w:rPr>
        <w:i/>
        <w:szCs w:val="20"/>
      </w:rPr>
      <w:t>DSEWPaC Risk Assessment Likelihood and Consequence Rating</w:t>
    </w:r>
    <w:r w:rsidRPr="008B4AEB">
      <w:rPr>
        <w:i/>
        <w:szCs w:val="20"/>
      </w:rPr>
      <w:tab/>
    </w:r>
    <w:r w:rsidRPr="008B4AEB">
      <w:rPr>
        <w:rStyle w:val="PageNumber"/>
        <w:i/>
        <w:szCs w:val="20"/>
      </w:rPr>
      <w:fldChar w:fldCharType="begin"/>
    </w:r>
    <w:r w:rsidRPr="008B4AEB">
      <w:rPr>
        <w:rStyle w:val="PageNumber"/>
        <w:i/>
        <w:szCs w:val="20"/>
      </w:rPr>
      <w:instrText xml:space="preserve"> PAGE </w:instrText>
    </w:r>
    <w:r w:rsidRPr="008B4AEB">
      <w:rPr>
        <w:rStyle w:val="PageNumber"/>
        <w:i/>
        <w:szCs w:val="20"/>
      </w:rPr>
      <w:fldChar w:fldCharType="separate"/>
    </w:r>
    <w:r>
      <w:rPr>
        <w:rStyle w:val="PageNumber"/>
        <w:i/>
        <w:noProof/>
        <w:szCs w:val="20"/>
      </w:rPr>
      <w:t>70</w:t>
    </w:r>
    <w:r w:rsidRPr="008B4AEB">
      <w:rPr>
        <w:rStyle w:val="PageNumber"/>
        <w:i/>
        <w:szCs w:val="20"/>
      </w:rPr>
      <w:fldChar w:fldCharType="end"/>
    </w:r>
  </w:p>
  <w:p w:rsidR="00A33FF2" w:rsidRPr="00EC0FFF" w:rsidRDefault="00A33FF2" w:rsidP="00F852EF">
    <w:pPr>
      <w:pStyle w:val="Footer"/>
      <w:ind w:right="360"/>
      <w:jc w:val="right"/>
      <w:rPr>
        <w:lang w:val="en-US"/>
      </w:rPr>
    </w:pPr>
    <w:r>
      <w:rPr>
        <w:lang w:val="en-US"/>
      </w:rPr>
      <w:tab/>
    </w:r>
    <w:r>
      <w:rPr>
        <w:lang w:val="en-US"/>
      </w:rPr>
      <w:tab/>
    </w:r>
    <w:r>
      <w:rPr>
        <w:lang w:val="en-US"/>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3FF2" w:rsidRDefault="00A33FF2" w:rsidP="00285EA9">
      <w:r>
        <w:separator/>
      </w:r>
    </w:p>
  </w:footnote>
  <w:footnote w:type="continuationSeparator" w:id="0">
    <w:p w:rsidR="00A33FF2" w:rsidRDefault="00A33FF2" w:rsidP="00285EA9">
      <w:r>
        <w:continuationSeparator/>
      </w:r>
    </w:p>
  </w:footnote>
  <w:footnote w:id="1">
    <w:p w:rsidR="00A33FF2" w:rsidRDefault="00A33FF2" w:rsidP="00A22DBF">
      <w:pPr>
        <w:pStyle w:val="FootnoteText"/>
      </w:pPr>
      <w:r w:rsidRPr="002217B9">
        <w:rPr>
          <w:rStyle w:val="FootnoteReference"/>
          <w:sz w:val="16"/>
          <w:szCs w:val="16"/>
        </w:rPr>
        <w:footnoteRef/>
      </w:r>
      <w:r w:rsidRPr="002217B9">
        <w:rPr>
          <w:sz w:val="16"/>
          <w:szCs w:val="16"/>
        </w:rPr>
        <w:t xml:space="preserve"> </w:t>
      </w:r>
      <w:r w:rsidRPr="002217B9">
        <w:rPr>
          <w:rFonts w:ascii="Calibri" w:hAnsi="Calibri" w:cs="Calibri"/>
          <w:color w:val="000000"/>
          <w:sz w:val="16"/>
          <w:szCs w:val="16"/>
          <w:lang w:val="en-US" w:eastAsia="en-AU"/>
        </w:rPr>
        <w:t xml:space="preserve">Draft Interim Industry Standard: Collection, Transport &amp; Recycling of End of Life Televisions and Computers v6   PSA- AIIA  November 2010 </w:t>
      </w:r>
    </w:p>
  </w:footnote>
  <w:footnote w:id="2">
    <w:p w:rsidR="00A33FF2" w:rsidRDefault="00A33FF2" w:rsidP="00A22DBF">
      <w:pPr>
        <w:pStyle w:val="FootnoteText"/>
      </w:pPr>
      <w:r w:rsidRPr="002217B9">
        <w:rPr>
          <w:rStyle w:val="FootnoteReference"/>
          <w:sz w:val="16"/>
          <w:szCs w:val="16"/>
        </w:rPr>
        <w:footnoteRef/>
      </w:r>
      <w:r w:rsidRPr="002217B9">
        <w:rPr>
          <w:sz w:val="16"/>
          <w:szCs w:val="16"/>
        </w:rPr>
        <w:t xml:space="preserve"> </w:t>
      </w:r>
      <w:r w:rsidRPr="002217B9">
        <w:rPr>
          <w:rFonts w:ascii="Calibri" w:hAnsi="Calibri" w:cs="Calibri"/>
          <w:color w:val="000000"/>
          <w:sz w:val="16"/>
          <w:szCs w:val="16"/>
          <w:lang w:val="en-US" w:eastAsia="en-AU"/>
        </w:rPr>
        <w:t xml:space="preserve">Draft Interim Industry Standard: Collection, Transport &amp; Recycling of End of Life Televisions and Computers v6   PSA- AIIA  November 2010 </w:t>
      </w:r>
    </w:p>
  </w:footnote>
  <w:footnote w:id="3">
    <w:p w:rsidR="00A33FF2" w:rsidRDefault="00A33FF2" w:rsidP="00A22DBF">
      <w:pPr>
        <w:pStyle w:val="FootnoteText"/>
      </w:pPr>
      <w:r w:rsidRPr="00CE41CC">
        <w:rPr>
          <w:rStyle w:val="FootnoteReference"/>
          <w:sz w:val="16"/>
          <w:szCs w:val="16"/>
        </w:rPr>
        <w:footnoteRef/>
      </w:r>
      <w:r w:rsidRPr="00CE41CC">
        <w:rPr>
          <w:sz w:val="16"/>
          <w:szCs w:val="16"/>
        </w:rPr>
        <w:t xml:space="preserve"> </w:t>
      </w:r>
      <w:r w:rsidRPr="00CE41CC">
        <w:rPr>
          <w:rFonts w:ascii="Calibri" w:hAnsi="Calibri" w:cs="Calibri"/>
          <w:color w:val="000000"/>
          <w:sz w:val="16"/>
          <w:szCs w:val="16"/>
          <w:lang w:val="en-US" w:eastAsia="en-AU"/>
        </w:rPr>
        <w:t>Draft Interim Industry Standard: Collection, Transport &amp; Recycling of End of Life Televisions and Computers v6   PSA- AIIA  November</w:t>
      </w:r>
      <w:r w:rsidRPr="002217B9">
        <w:rPr>
          <w:rFonts w:ascii="Calibri" w:hAnsi="Calibri" w:cs="Calibri"/>
          <w:color w:val="000000"/>
          <w:sz w:val="16"/>
          <w:szCs w:val="16"/>
          <w:lang w:val="en-US" w:eastAsia="en-AU"/>
        </w:rPr>
        <w:t xml:space="preserve"> 2010</w:t>
      </w:r>
      <w:r>
        <w:rPr>
          <w:rFonts w:ascii="Calibri" w:hAnsi="Calibri" w:cs="Calibri"/>
          <w:color w:val="000000"/>
          <w:sz w:val="16"/>
          <w:szCs w:val="16"/>
          <w:lang w:val="en-US" w:eastAsia="en-AU"/>
        </w:rPr>
        <w:t xml:space="preserve"> </w:t>
      </w:r>
    </w:p>
  </w:footnote>
  <w:footnote w:id="4">
    <w:p w:rsidR="00A33FF2" w:rsidRDefault="00A33FF2">
      <w:pPr>
        <w:pStyle w:val="FootnoteText"/>
      </w:pPr>
      <w:r w:rsidRPr="003F7720">
        <w:rPr>
          <w:rFonts w:ascii="Calibri" w:hAnsi="Calibri" w:cs="Calibri"/>
          <w:color w:val="000000"/>
          <w:sz w:val="16"/>
          <w:szCs w:val="16"/>
          <w:lang w:val="en-US" w:eastAsia="en-AU"/>
        </w:rPr>
        <w:footnoteRef/>
      </w:r>
      <w:r w:rsidRPr="003F7720">
        <w:rPr>
          <w:rFonts w:ascii="Calibri" w:hAnsi="Calibri" w:cs="Calibri"/>
          <w:color w:val="000000"/>
          <w:sz w:val="16"/>
          <w:szCs w:val="16"/>
          <w:lang w:val="en-US" w:eastAsia="en-AU"/>
        </w:rPr>
        <w:t xml:space="preserve"> The National Televisions and Computers Product Stewardship  Program Discussion Paper</w:t>
      </w:r>
    </w:p>
  </w:footnote>
  <w:footnote w:id="5">
    <w:p w:rsidR="00A33FF2" w:rsidRDefault="00A33FF2" w:rsidP="00A22DBF">
      <w:pPr>
        <w:pStyle w:val="FootnoteText"/>
        <w:rPr>
          <w:rFonts w:ascii="Calibri" w:hAnsi="Calibri" w:cs="Calibri"/>
          <w:color w:val="000000"/>
          <w:sz w:val="16"/>
          <w:szCs w:val="16"/>
          <w:lang w:val="en-US" w:eastAsia="en-AU"/>
        </w:rPr>
      </w:pPr>
      <w:r w:rsidRPr="00CE41CC">
        <w:rPr>
          <w:rFonts w:ascii="Calibri" w:hAnsi="Calibri" w:cs="Calibri"/>
          <w:color w:val="000000"/>
          <w:sz w:val="16"/>
          <w:szCs w:val="16"/>
          <w:lang w:val="en-US" w:eastAsia="en-AU"/>
        </w:rPr>
        <w:footnoteRef/>
      </w:r>
      <w:r w:rsidRPr="00CE41CC">
        <w:rPr>
          <w:rFonts w:ascii="Calibri" w:hAnsi="Calibri" w:cs="Calibri"/>
          <w:color w:val="000000"/>
          <w:sz w:val="16"/>
          <w:szCs w:val="16"/>
          <w:lang w:val="en-US" w:eastAsia="en-AU"/>
        </w:rPr>
        <w:t xml:space="preserve"> National Televisions And Computers Product Stewardship  Program (Including P</w:t>
      </w:r>
      <w:r>
        <w:rPr>
          <w:rFonts w:ascii="Calibri" w:hAnsi="Calibri" w:cs="Calibri"/>
          <w:color w:val="000000"/>
          <w:sz w:val="16"/>
          <w:szCs w:val="16"/>
          <w:lang w:val="en-US" w:eastAsia="en-AU"/>
        </w:rPr>
        <w:t>RO</w:t>
      </w:r>
      <w:r w:rsidRPr="00CE41CC">
        <w:rPr>
          <w:rFonts w:ascii="Calibri" w:hAnsi="Calibri" w:cs="Calibri"/>
          <w:color w:val="000000"/>
          <w:sz w:val="16"/>
          <w:szCs w:val="16"/>
          <w:lang w:val="en-US" w:eastAsia="en-AU"/>
        </w:rPr>
        <w:t xml:space="preserve"> Plans) Discussion Paper For Planning Purposes Draft 5</w:t>
      </w:r>
      <w:r w:rsidRPr="000F1B5F">
        <w:rPr>
          <w:rFonts w:ascii="Calibri" w:hAnsi="Calibri" w:cs="Calibri"/>
          <w:color w:val="000000"/>
          <w:sz w:val="16"/>
          <w:szCs w:val="16"/>
          <w:lang w:val="en-US" w:eastAsia="en-AU"/>
        </w:rPr>
        <w:t xml:space="preserve">  December 2010</w:t>
      </w:r>
    </w:p>
    <w:p w:rsidR="00A33FF2" w:rsidRDefault="00A33FF2" w:rsidP="00A22DBF">
      <w:pPr>
        <w:pStyle w:val="FootnoteText"/>
      </w:pPr>
    </w:p>
  </w:footnote>
  <w:footnote w:id="6">
    <w:p w:rsidR="00A33FF2" w:rsidRDefault="00A33FF2">
      <w:pPr>
        <w:pStyle w:val="FootnoteText"/>
      </w:pPr>
      <w:r w:rsidRPr="00E77A00">
        <w:rPr>
          <w:rStyle w:val="FootnoteReference"/>
          <w:rFonts w:ascii="Calibri" w:hAnsi="Calibri"/>
          <w:sz w:val="16"/>
          <w:szCs w:val="16"/>
        </w:rPr>
        <w:footnoteRef/>
      </w:r>
      <w:r w:rsidRPr="00E77A00">
        <w:rPr>
          <w:rFonts w:ascii="Calibri" w:hAnsi="Calibri"/>
          <w:sz w:val="16"/>
          <w:szCs w:val="16"/>
        </w:rPr>
        <w:t xml:space="preserve"> Environment Protection and Heritage Council Decision Regulatory Impact Statement: Televisions and Computers, October 2009 – PWC/ Hyder Consulting</w:t>
      </w:r>
    </w:p>
  </w:footnote>
  <w:footnote w:id="7">
    <w:p w:rsidR="00A33FF2" w:rsidRDefault="00A33FF2">
      <w:pPr>
        <w:pStyle w:val="FootnoteText"/>
      </w:pPr>
      <w:r w:rsidRPr="00173659">
        <w:rPr>
          <w:rStyle w:val="FootnoteReference"/>
          <w:rFonts w:ascii="Calibri" w:hAnsi="Calibri" w:cs="Calibri"/>
          <w:sz w:val="16"/>
          <w:szCs w:val="16"/>
        </w:rPr>
        <w:footnoteRef/>
      </w:r>
      <w:r w:rsidRPr="00173659">
        <w:rPr>
          <w:rFonts w:ascii="Calibri" w:hAnsi="Calibri" w:cs="Calibri"/>
          <w:sz w:val="16"/>
          <w:szCs w:val="16"/>
        </w:rPr>
        <w:t xml:space="preserve"> </w:t>
      </w:r>
      <w:r w:rsidRPr="00173659">
        <w:rPr>
          <w:rFonts w:ascii="Calibri" w:hAnsi="Calibri" w:cs="Calibri"/>
          <w:sz w:val="16"/>
          <w:szCs w:val="16"/>
          <w:lang w:val="en-US" w:eastAsia="en-AU"/>
        </w:rPr>
        <w:t>National Waste Policy Regulatory Impact Statement  October 2009 Report to the Department of the Environment, Water, Heritage and the Arts  - The Allen Consulting Group Pty Ltd</w:t>
      </w:r>
    </w:p>
  </w:footnote>
  <w:footnote w:id="8">
    <w:p w:rsidR="00A33FF2" w:rsidRDefault="00A33FF2" w:rsidP="009A244B">
      <w:pPr>
        <w:pStyle w:val="FootnoteText"/>
      </w:pPr>
      <w:r w:rsidRPr="001909A6">
        <w:rPr>
          <w:rStyle w:val="FootnoteReference"/>
          <w:sz w:val="16"/>
          <w:szCs w:val="16"/>
        </w:rPr>
        <w:footnoteRef/>
      </w:r>
      <w:r w:rsidRPr="001909A6">
        <w:rPr>
          <w:sz w:val="16"/>
          <w:szCs w:val="16"/>
        </w:rPr>
        <w:t xml:space="preserve"> </w:t>
      </w:r>
      <w:r w:rsidRPr="001909A6">
        <w:rPr>
          <w:rFonts w:ascii="Calibri" w:hAnsi="Calibri"/>
          <w:bCs/>
          <w:sz w:val="16"/>
          <w:szCs w:val="16"/>
        </w:rPr>
        <w:t>A Study of Australia’s Current and Future E-Waste Recycling Infrastructure Capacity and Needs</w:t>
      </w:r>
      <w:r>
        <w:rPr>
          <w:rFonts w:ascii="Calibri" w:hAnsi="Calibri"/>
          <w:bCs/>
          <w:sz w:val="16"/>
          <w:szCs w:val="16"/>
        </w:rPr>
        <w:t>, Wright Corporate Strategy/ R</w:t>
      </w:r>
      <w:r w:rsidRPr="001909A6">
        <w:rPr>
          <w:rFonts w:ascii="Calibri" w:hAnsi="Calibri"/>
          <w:bCs/>
          <w:sz w:val="16"/>
          <w:szCs w:val="16"/>
        </w:rPr>
        <w:t xml:space="preserve">awtec </w:t>
      </w:r>
      <w:r>
        <w:rPr>
          <w:rFonts w:ascii="Calibri" w:hAnsi="Calibri"/>
          <w:bCs/>
          <w:sz w:val="16"/>
          <w:szCs w:val="16"/>
        </w:rPr>
        <w:t>October 2010</w:t>
      </w:r>
    </w:p>
  </w:footnote>
  <w:footnote w:id="9">
    <w:p w:rsidR="00A33FF2" w:rsidRDefault="00A33FF2">
      <w:pPr>
        <w:pStyle w:val="FootnoteText"/>
      </w:pPr>
      <w:r>
        <w:rPr>
          <w:rStyle w:val="FootnoteReference"/>
        </w:rPr>
        <w:footnoteRef/>
      </w:r>
      <w:r>
        <w:t xml:space="preserve"> </w:t>
      </w:r>
      <w:r w:rsidRPr="00E77A00">
        <w:rPr>
          <w:rFonts w:ascii="Calibri" w:hAnsi="Calibri"/>
          <w:bCs/>
          <w:sz w:val="16"/>
          <w:szCs w:val="16"/>
        </w:rPr>
        <w:t>Environment Protection and Heritage Council Decision Regulatory Impact Statement: Televisions and Computers, October 2009 – PWC/ Hyder Consulting</w:t>
      </w:r>
    </w:p>
  </w:footnote>
  <w:footnote w:id="10">
    <w:p w:rsidR="00A33FF2" w:rsidRDefault="00A33FF2" w:rsidP="00E77A00">
      <w:pPr>
        <w:pStyle w:val="FootnoteText"/>
      </w:pPr>
      <w:r w:rsidRPr="001909A6">
        <w:rPr>
          <w:rStyle w:val="FootnoteReference"/>
          <w:sz w:val="16"/>
          <w:szCs w:val="16"/>
        </w:rPr>
        <w:footnoteRef/>
      </w:r>
      <w:r w:rsidRPr="001909A6">
        <w:rPr>
          <w:sz w:val="16"/>
          <w:szCs w:val="16"/>
        </w:rPr>
        <w:t xml:space="preserve"> </w:t>
      </w:r>
      <w:r w:rsidRPr="001909A6">
        <w:rPr>
          <w:rFonts w:ascii="Calibri" w:hAnsi="Calibri"/>
          <w:bCs/>
          <w:sz w:val="16"/>
          <w:szCs w:val="16"/>
        </w:rPr>
        <w:t>A Study of Australia’s Current and Future E-Waste Recycling Infrastructure Capacity and Needs</w:t>
      </w:r>
      <w:r>
        <w:rPr>
          <w:rFonts w:ascii="Calibri" w:hAnsi="Calibri"/>
          <w:bCs/>
          <w:sz w:val="16"/>
          <w:szCs w:val="16"/>
        </w:rPr>
        <w:t>, Wright Corporate Strategy/ R</w:t>
      </w:r>
      <w:r w:rsidRPr="001909A6">
        <w:rPr>
          <w:rFonts w:ascii="Calibri" w:hAnsi="Calibri"/>
          <w:bCs/>
          <w:sz w:val="16"/>
          <w:szCs w:val="16"/>
        </w:rPr>
        <w:t xml:space="preserve">awtec </w:t>
      </w:r>
      <w:r>
        <w:rPr>
          <w:rFonts w:ascii="Calibri" w:hAnsi="Calibri"/>
          <w:bCs/>
          <w:sz w:val="16"/>
          <w:szCs w:val="16"/>
        </w:rPr>
        <w:t>October 2010</w:t>
      </w:r>
    </w:p>
  </w:footnote>
  <w:footnote w:id="11">
    <w:p w:rsidR="00A33FF2" w:rsidRPr="00A56E3F" w:rsidRDefault="00A33FF2" w:rsidP="00F852EF">
      <w:pPr>
        <w:pStyle w:val="FootnoteText"/>
      </w:pPr>
    </w:p>
  </w:footnote>
  <w:footnote w:id="12">
    <w:p w:rsidR="00A33FF2" w:rsidRPr="00865359" w:rsidRDefault="00A33FF2" w:rsidP="00F852EF">
      <w:pPr>
        <w:pStyle w:val="FootnoteText"/>
      </w:pPr>
    </w:p>
  </w:footnote>
  <w:footnote w:id="13">
    <w:p w:rsidR="00A33FF2" w:rsidRPr="00865359" w:rsidRDefault="00A33FF2" w:rsidP="00F852EF">
      <w:pPr>
        <w:pStyle w:val="FootnoteText"/>
      </w:pPr>
    </w:p>
  </w:footnote>
  <w:footnote w:id="14">
    <w:p w:rsidR="00A33FF2" w:rsidRPr="00BD0605" w:rsidRDefault="00A33FF2" w:rsidP="00F852EF">
      <w:pPr>
        <w:pStyle w:val="FootnoteText"/>
        <w:rPr>
          <w:lang w:val="en-US"/>
        </w:rPr>
      </w:pPr>
    </w:p>
  </w:footnote>
  <w:footnote w:id="15">
    <w:p w:rsidR="00A33FF2" w:rsidRPr="00D5782F" w:rsidRDefault="00A33FF2" w:rsidP="00F852EF">
      <w:pPr>
        <w:pStyle w:val="FootnoteText"/>
        <w:rPr>
          <w:lang w:val="en-US"/>
        </w:rPr>
      </w:pPr>
    </w:p>
  </w:footnote>
  <w:footnote w:id="16">
    <w:p w:rsidR="00A33FF2" w:rsidRPr="00D5782F" w:rsidRDefault="00A33FF2" w:rsidP="00F852EF">
      <w:pPr>
        <w:pStyle w:val="FootnoteText"/>
        <w:rPr>
          <w:lang w:val="en-US"/>
        </w:rPr>
      </w:pPr>
    </w:p>
  </w:footnote>
  <w:footnote w:id="17">
    <w:p w:rsidR="00A33FF2" w:rsidRPr="00FE65EF" w:rsidRDefault="00A33FF2" w:rsidP="00F852EF">
      <w:pPr>
        <w:pStyle w:val="FootnoteText"/>
        <w:rPr>
          <w:lang w:val="en-U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F2" w:rsidRDefault="00A33FF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F2" w:rsidRDefault="00A33FF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F2" w:rsidRDefault="00A33FF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F2" w:rsidRPr="00DA0C4E" w:rsidRDefault="00A33FF2" w:rsidP="00DA0C4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F2" w:rsidRDefault="00A33FF2" w:rsidP="00285EA9">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F2" w:rsidRPr="00CF2356" w:rsidRDefault="00A33FF2" w:rsidP="004518A2">
    <w:pPr>
      <w:spacing w:after="0"/>
      <w:jc w:val="right"/>
      <w:rPr>
        <w:rFonts w:cs="Arial"/>
        <w:sz w:val="16"/>
        <w:szCs w:val="16"/>
      </w:rPr>
    </w:pPr>
    <w:r w:rsidRPr="00CF2356">
      <w:rPr>
        <w:rFonts w:cs="Arial"/>
        <w:sz w:val="16"/>
        <w:szCs w:val="16"/>
      </w:rPr>
      <w:t>Review of the</w:t>
    </w:r>
    <w:r>
      <w:rPr>
        <w:rFonts w:cs="Arial"/>
        <w:sz w:val="16"/>
        <w:szCs w:val="16"/>
      </w:rPr>
      <w:t xml:space="preserve"> Draft</w:t>
    </w:r>
    <w:r w:rsidRPr="00CF2356">
      <w:rPr>
        <w:rFonts w:cs="Arial"/>
        <w:sz w:val="16"/>
        <w:szCs w:val="16"/>
      </w:rPr>
      <w:t xml:space="preserve"> Industry Interim Standard for Televisions and Computers (DIIS)</w:t>
    </w:r>
  </w:p>
  <w:p w:rsidR="00A33FF2" w:rsidRPr="00CF2356" w:rsidRDefault="00A33FF2" w:rsidP="004518A2">
    <w:pPr>
      <w:pStyle w:val="Header"/>
      <w:pBdr>
        <w:bottom w:val="single" w:sz="4" w:space="1" w:color="auto"/>
      </w:pBdr>
      <w:jc w:val="right"/>
      <w:rPr>
        <w:sz w:val="16"/>
        <w:szCs w:val="16"/>
      </w:rPr>
    </w:pPr>
    <w:r w:rsidRPr="00CF2356">
      <w:rPr>
        <w:sz w:val="16"/>
        <w:szCs w:val="16"/>
      </w:rPr>
      <w:t>Risk and Cost Implications</w:t>
    </w:r>
  </w:p>
  <w:p w:rsidR="00A33FF2" w:rsidRPr="0070044D" w:rsidRDefault="00A33FF2" w:rsidP="009C35CF">
    <w:pPr>
      <w:pStyle w:val="Header"/>
      <w:rPr>
        <w:sz w:val="16"/>
        <w:szCs w:val="16"/>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F2" w:rsidRPr="0070044D" w:rsidRDefault="00A33FF2" w:rsidP="00D17737">
    <w:pPr>
      <w:pStyle w:val="Header"/>
      <w:jc w:val="right"/>
      <w:rPr>
        <w:sz w:val="16"/>
        <w:szCs w:val="16"/>
      </w:rPr>
    </w:pPr>
    <w:r w:rsidRPr="0070044D">
      <w:rPr>
        <w:sz w:val="16"/>
        <w:szCs w:val="16"/>
      </w:rPr>
      <w:t>Template Report</w:t>
    </w:r>
  </w:p>
  <w:p w:rsidR="00A33FF2" w:rsidRPr="0070044D" w:rsidRDefault="00A33FF2" w:rsidP="00B630B0">
    <w:pPr>
      <w:pStyle w:val="Header"/>
      <w:pBdr>
        <w:bottom w:val="single" w:sz="4" w:space="1" w:color="auto"/>
      </w:pBdr>
      <w:jc w:val="right"/>
      <w:rPr>
        <w:sz w:val="16"/>
        <w:szCs w:val="16"/>
      </w:rPr>
    </w:pPr>
    <w:r>
      <w:rPr>
        <w:sz w:val="16"/>
        <w:szCs w:val="16"/>
      </w:rPr>
      <w:t>Additional heading</w:t>
    </w:r>
  </w:p>
  <w:p w:rsidR="00A33FF2" w:rsidRDefault="00A33FF2" w:rsidP="00285EA9">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F2" w:rsidRDefault="00A33FF2" w:rsidP="00285EA9">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0;margin-top:0;width:473.55pt;height:189.4pt;rotation:315;z-index:-251658752;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F2" w:rsidRDefault="00A33FF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F6D63A82"/>
    <w:lvl w:ilvl="0">
      <w:start w:val="1"/>
      <w:numFmt w:val="bullet"/>
      <w:pStyle w:val="ListBullet"/>
      <w:lvlText w:val=""/>
      <w:lvlJc w:val="left"/>
      <w:pPr>
        <w:tabs>
          <w:tab w:val="num" w:pos="926"/>
        </w:tabs>
        <w:ind w:left="926" w:hanging="360"/>
      </w:pPr>
      <w:rPr>
        <w:rFonts w:ascii="Symbol" w:hAnsi="Symbol" w:hint="default"/>
      </w:rPr>
    </w:lvl>
  </w:abstractNum>
  <w:abstractNum w:abstractNumId="1">
    <w:nsid w:val="02BF768B"/>
    <w:multiLevelType w:val="hybridMultilevel"/>
    <w:tmpl w:val="F35CD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F569C"/>
    <w:multiLevelType w:val="hybridMultilevel"/>
    <w:tmpl w:val="E48C8F0E"/>
    <w:lvl w:ilvl="0" w:tplc="F4060F4A">
      <w:start w:val="13"/>
      <w:numFmt w:val="decimal"/>
      <w:lvlText w:val="%1."/>
      <w:lvlJc w:val="left"/>
      <w:pPr>
        <w:ind w:left="78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nsid w:val="04793302"/>
    <w:multiLevelType w:val="hybridMultilevel"/>
    <w:tmpl w:val="E9F4E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1018E1"/>
    <w:multiLevelType w:val="hybridMultilevel"/>
    <w:tmpl w:val="5A7490FA"/>
    <w:lvl w:ilvl="0" w:tplc="9934EFDA">
      <w:start w:val="1"/>
      <w:numFmt w:val="bullet"/>
      <w:lvlText w:val=""/>
      <w:lvlJc w:val="left"/>
      <w:pPr>
        <w:tabs>
          <w:tab w:val="num" w:pos="720"/>
        </w:tabs>
        <w:ind w:left="720" w:hanging="360"/>
      </w:pPr>
      <w:rPr>
        <w:rFonts w:ascii="Symbol" w:hAnsi="Symbol" w:hint="default"/>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7BF617F"/>
    <w:multiLevelType w:val="hybridMultilevel"/>
    <w:tmpl w:val="84286D60"/>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08457158"/>
    <w:multiLevelType w:val="hybridMultilevel"/>
    <w:tmpl w:val="24AC6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AC6168"/>
    <w:multiLevelType w:val="hybridMultilevel"/>
    <w:tmpl w:val="F0208048"/>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08D579CC"/>
    <w:multiLevelType w:val="hybridMultilevel"/>
    <w:tmpl w:val="0108D9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9A52913"/>
    <w:multiLevelType w:val="hybridMultilevel"/>
    <w:tmpl w:val="6D748C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AA81112"/>
    <w:multiLevelType w:val="hybridMultilevel"/>
    <w:tmpl w:val="0FF68E3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nsid w:val="0C3177E5"/>
    <w:multiLevelType w:val="hybridMultilevel"/>
    <w:tmpl w:val="9AD425B4"/>
    <w:lvl w:ilvl="0" w:tplc="17BAA164">
      <w:start w:val="12"/>
      <w:numFmt w:val="decimal"/>
      <w:lvlText w:val="%1."/>
      <w:lvlJc w:val="left"/>
      <w:pPr>
        <w:ind w:left="78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nsid w:val="0DD424E0"/>
    <w:multiLevelType w:val="hybridMultilevel"/>
    <w:tmpl w:val="9E20A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DDD77F8"/>
    <w:multiLevelType w:val="hybridMultilevel"/>
    <w:tmpl w:val="948A097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nsid w:val="0EA04B72"/>
    <w:multiLevelType w:val="hybridMultilevel"/>
    <w:tmpl w:val="34A88E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0AE2981"/>
    <w:multiLevelType w:val="hybridMultilevel"/>
    <w:tmpl w:val="0B5AD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3AF4C6F"/>
    <w:multiLevelType w:val="hybridMultilevel"/>
    <w:tmpl w:val="E48A01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5383F26"/>
    <w:multiLevelType w:val="hybridMultilevel"/>
    <w:tmpl w:val="0F941370"/>
    <w:lvl w:ilvl="0" w:tplc="F9EEA40C">
      <w:start w:val="1"/>
      <w:numFmt w:val="decimal"/>
      <w:lvlText w:val="%1."/>
      <w:lvlJc w:val="left"/>
      <w:pPr>
        <w:ind w:left="78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nsid w:val="1746184C"/>
    <w:multiLevelType w:val="hybridMultilevel"/>
    <w:tmpl w:val="C8284AFE"/>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1880128A"/>
    <w:multiLevelType w:val="hybridMultilevel"/>
    <w:tmpl w:val="BC1C327A"/>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19297D50"/>
    <w:multiLevelType w:val="hybridMultilevel"/>
    <w:tmpl w:val="8A3C9876"/>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1A195438"/>
    <w:multiLevelType w:val="hybridMultilevel"/>
    <w:tmpl w:val="4724B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AE1690B"/>
    <w:multiLevelType w:val="hybridMultilevel"/>
    <w:tmpl w:val="26C49BBC"/>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nsid w:val="1CC44797"/>
    <w:multiLevelType w:val="hybridMultilevel"/>
    <w:tmpl w:val="C7FC9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D4B7670"/>
    <w:multiLevelType w:val="hybridMultilevel"/>
    <w:tmpl w:val="250C92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1FC61F50"/>
    <w:multiLevelType w:val="hybridMultilevel"/>
    <w:tmpl w:val="48AE9B28"/>
    <w:lvl w:ilvl="0" w:tplc="9934EFDA">
      <w:start w:val="1"/>
      <w:numFmt w:val="bullet"/>
      <w:lvlText w:val=""/>
      <w:lvlJc w:val="left"/>
      <w:pPr>
        <w:tabs>
          <w:tab w:val="num" w:pos="720"/>
        </w:tabs>
        <w:ind w:left="720" w:hanging="360"/>
      </w:pPr>
      <w:rPr>
        <w:rFonts w:ascii="Symbol" w:hAnsi="Symbol" w:hint="default"/>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22415D38"/>
    <w:multiLevelType w:val="hybridMultilevel"/>
    <w:tmpl w:val="FC66A0AE"/>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25D337A2"/>
    <w:multiLevelType w:val="hybridMultilevel"/>
    <w:tmpl w:val="E6B2E852"/>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25FD2419"/>
    <w:multiLevelType w:val="hybridMultilevel"/>
    <w:tmpl w:val="02A81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84D5D00"/>
    <w:multiLevelType w:val="hybridMultilevel"/>
    <w:tmpl w:val="27182DB6"/>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2B447A7A"/>
    <w:multiLevelType w:val="hybridMultilevel"/>
    <w:tmpl w:val="BB7E7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BF641AA"/>
    <w:multiLevelType w:val="hybridMultilevel"/>
    <w:tmpl w:val="1FF8DF78"/>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2C420B99"/>
    <w:multiLevelType w:val="hybridMultilevel"/>
    <w:tmpl w:val="08C84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CC247DB"/>
    <w:multiLevelType w:val="hybridMultilevel"/>
    <w:tmpl w:val="AAD65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3877CFC"/>
    <w:multiLevelType w:val="hybridMultilevel"/>
    <w:tmpl w:val="13645FA0"/>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34F67E2F"/>
    <w:multiLevelType w:val="hybridMultilevel"/>
    <w:tmpl w:val="4D74C8B0"/>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377D7FBE"/>
    <w:multiLevelType w:val="hybridMultilevel"/>
    <w:tmpl w:val="D228E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7835A59"/>
    <w:multiLevelType w:val="hybridMultilevel"/>
    <w:tmpl w:val="94DA0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A580887"/>
    <w:multiLevelType w:val="hybridMultilevel"/>
    <w:tmpl w:val="B7A4B180"/>
    <w:lvl w:ilvl="0" w:tplc="31584DF4">
      <w:start w:val="1"/>
      <w:numFmt w:val="lowerLetter"/>
      <w:lvlText w:val="%1."/>
      <w:lvlJc w:val="left"/>
      <w:pPr>
        <w:tabs>
          <w:tab w:val="num" w:pos="720"/>
        </w:tabs>
        <w:ind w:left="720" w:hanging="360"/>
      </w:pPr>
      <w:rPr>
        <w:rFonts w:ascii="Times New Roman" w:hAnsi="Times New Roman" w:cs="Times New Roman" w:hint="default"/>
        <w:b w:val="0"/>
        <w:i/>
        <w:sz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nsid w:val="3BC40332"/>
    <w:multiLevelType w:val="hybridMultilevel"/>
    <w:tmpl w:val="29EE1A6A"/>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3C3D2AED"/>
    <w:multiLevelType w:val="hybridMultilevel"/>
    <w:tmpl w:val="E6E6BCCC"/>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3C5B3FF5"/>
    <w:multiLevelType w:val="hybridMultilevel"/>
    <w:tmpl w:val="6BAAB3DA"/>
    <w:lvl w:ilvl="0" w:tplc="0409000F">
      <w:start w:val="1"/>
      <w:numFmt w:val="decimal"/>
      <w:lvlText w:val="%1."/>
      <w:lvlJc w:val="left"/>
      <w:pPr>
        <w:ind w:left="780" w:hanging="360"/>
      </w:pPr>
      <w:rPr>
        <w:rFonts w:cs="Times New Roman"/>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42">
    <w:nsid w:val="3CEC7675"/>
    <w:multiLevelType w:val="hybridMultilevel"/>
    <w:tmpl w:val="9228B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D790665"/>
    <w:multiLevelType w:val="hybridMultilevel"/>
    <w:tmpl w:val="864CB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0000994"/>
    <w:multiLevelType w:val="hybridMultilevel"/>
    <w:tmpl w:val="D098DF24"/>
    <w:lvl w:ilvl="0" w:tplc="0409000F">
      <w:start w:val="1"/>
      <w:numFmt w:val="decimal"/>
      <w:lvlText w:val="%1."/>
      <w:lvlJc w:val="left"/>
      <w:pPr>
        <w:ind w:left="780" w:hanging="360"/>
      </w:pPr>
      <w:rPr>
        <w:rFonts w:cs="Times New Roman"/>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45">
    <w:nsid w:val="40360AC6"/>
    <w:multiLevelType w:val="hybridMultilevel"/>
    <w:tmpl w:val="4E3CC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44095DB8"/>
    <w:multiLevelType w:val="hybridMultilevel"/>
    <w:tmpl w:val="62A26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44B8082C"/>
    <w:multiLevelType w:val="hybridMultilevel"/>
    <w:tmpl w:val="AC04B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6A27D19"/>
    <w:multiLevelType w:val="hybridMultilevel"/>
    <w:tmpl w:val="D6C256D2"/>
    <w:lvl w:ilvl="0" w:tplc="9934EFDA">
      <w:start w:val="1"/>
      <w:numFmt w:val="bullet"/>
      <w:lvlText w:val=""/>
      <w:lvlJc w:val="left"/>
      <w:pPr>
        <w:tabs>
          <w:tab w:val="num" w:pos="720"/>
        </w:tabs>
        <w:ind w:left="720" w:hanging="360"/>
      </w:pPr>
      <w:rPr>
        <w:rFonts w:ascii="Symbol" w:hAnsi="Symbol" w:hint="default"/>
        <w:sz w:val="24"/>
      </w:rPr>
    </w:lvl>
    <w:lvl w:ilvl="1" w:tplc="0C090003">
      <w:start w:val="1"/>
      <w:numFmt w:val="bullet"/>
      <w:lvlText w:val="o"/>
      <w:lvlJc w:val="left"/>
      <w:pPr>
        <w:tabs>
          <w:tab w:val="num" w:pos="1440"/>
        </w:tabs>
        <w:ind w:left="1440" w:hanging="360"/>
      </w:pPr>
      <w:rPr>
        <w:rFonts w:ascii="Courier New" w:hAnsi="Courier New" w:cs="Courier New" w:hint="default"/>
        <w:sz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nsid w:val="46DE6F02"/>
    <w:multiLevelType w:val="hybridMultilevel"/>
    <w:tmpl w:val="D99A82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nsid w:val="4B6B0D18"/>
    <w:multiLevelType w:val="hybridMultilevel"/>
    <w:tmpl w:val="F6026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C633FD3"/>
    <w:multiLevelType w:val="hybridMultilevel"/>
    <w:tmpl w:val="753E6A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CDD71F4"/>
    <w:multiLevelType w:val="hybridMultilevel"/>
    <w:tmpl w:val="E872FBA2"/>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nsid w:val="4CFF1CCB"/>
    <w:multiLevelType w:val="hybridMultilevel"/>
    <w:tmpl w:val="037C1E3A"/>
    <w:lvl w:ilvl="0" w:tplc="9934EFDA">
      <w:start w:val="1"/>
      <w:numFmt w:val="bullet"/>
      <w:lvlText w:val=""/>
      <w:lvlJc w:val="left"/>
      <w:pPr>
        <w:tabs>
          <w:tab w:val="num" w:pos="720"/>
        </w:tabs>
        <w:ind w:left="720" w:hanging="360"/>
      </w:pPr>
      <w:rPr>
        <w:rFonts w:ascii="Symbol" w:hAnsi="Symbol" w:hint="default"/>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nsid w:val="4E060D49"/>
    <w:multiLevelType w:val="hybridMultilevel"/>
    <w:tmpl w:val="AF166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EAA10A3"/>
    <w:multiLevelType w:val="hybridMultilevel"/>
    <w:tmpl w:val="24E0E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50E63AF4"/>
    <w:multiLevelType w:val="hybridMultilevel"/>
    <w:tmpl w:val="95182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1CC4F4C"/>
    <w:multiLevelType w:val="hybridMultilevel"/>
    <w:tmpl w:val="E44E389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51DC27E6"/>
    <w:multiLevelType w:val="multilevel"/>
    <w:tmpl w:val="EC44A176"/>
    <w:styleLink w:val="Style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9">
    <w:nsid w:val="52234DAE"/>
    <w:multiLevelType w:val="hybridMultilevel"/>
    <w:tmpl w:val="0F941370"/>
    <w:lvl w:ilvl="0" w:tplc="F9EEA40C">
      <w:start w:val="1"/>
      <w:numFmt w:val="decimal"/>
      <w:lvlText w:val="%1."/>
      <w:lvlJc w:val="left"/>
      <w:pPr>
        <w:ind w:left="78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0">
    <w:nsid w:val="524C762B"/>
    <w:multiLevelType w:val="hybridMultilevel"/>
    <w:tmpl w:val="40461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54063D52"/>
    <w:multiLevelType w:val="hybridMultilevel"/>
    <w:tmpl w:val="682AAF0A"/>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nsid w:val="55BF3A60"/>
    <w:multiLevelType w:val="hybridMultilevel"/>
    <w:tmpl w:val="9172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5A3C0971"/>
    <w:multiLevelType w:val="hybridMultilevel"/>
    <w:tmpl w:val="B5DC3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5A716FA1"/>
    <w:multiLevelType w:val="hybridMultilevel"/>
    <w:tmpl w:val="A21ED356"/>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nsid w:val="5A8C680E"/>
    <w:multiLevelType w:val="hybridMultilevel"/>
    <w:tmpl w:val="530C6B14"/>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6">
    <w:nsid w:val="5E053A02"/>
    <w:multiLevelType w:val="hybridMultilevel"/>
    <w:tmpl w:val="2AA2E668"/>
    <w:lvl w:ilvl="0" w:tplc="CCA8F81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0BF5738"/>
    <w:multiLevelType w:val="multilevel"/>
    <w:tmpl w:val="0EF66CCC"/>
    <w:lvl w:ilvl="0">
      <w:start w:val="1"/>
      <w:numFmt w:val="decimal"/>
      <w:lvlText w:val="%1."/>
      <w:lvlJc w:val="left"/>
      <w:pPr>
        <w:ind w:left="502" w:hanging="360"/>
      </w:pPr>
      <w:rPr>
        <w:rFonts w:ascii="Arial" w:eastAsia="Times New Roman" w:hAnsi="Arial" w:cs="Times New Roman"/>
      </w:rPr>
    </w:lvl>
    <w:lvl w:ilvl="1">
      <w:start w:val="1"/>
      <w:numFmt w:val="decimal"/>
      <w:lvlText w:val="%1.%2."/>
      <w:lvlJc w:val="left"/>
      <w:pPr>
        <w:ind w:left="574" w:hanging="432"/>
      </w:pPr>
      <w:rPr>
        <w:rFonts w:ascii="Arial" w:hAnsi="Arial" w:cs="Arial" w:hint="default"/>
        <w:b/>
        <w:bCs w:val="0"/>
        <w:i w:val="0"/>
        <w:iCs w:val="0"/>
        <w:caps w:val="0"/>
        <w:smallCaps w:val="0"/>
        <w:strike w:val="0"/>
        <w:dstrike w:val="0"/>
        <w:snapToGrid w:val="0"/>
        <w:vanish w:val="0"/>
        <w:color w:val="235F2A"/>
        <w:spacing w:val="0"/>
        <w:w w:val="0"/>
        <w:kern w:val="0"/>
        <w:position w:val="0"/>
        <w:sz w:val="22"/>
        <w:szCs w:val="22"/>
        <w:u w:val="none"/>
        <w:vertAlign w:val="baseline"/>
      </w:rPr>
    </w:lvl>
    <w:lvl w:ilvl="2">
      <w:start w:val="1"/>
      <w:numFmt w:val="decimal"/>
      <w:lvlText w:val="%1.%2.%3."/>
      <w:lvlJc w:val="left"/>
      <w:pPr>
        <w:ind w:left="788" w:hanging="504"/>
      </w:pPr>
      <w:rPr>
        <w:rFonts w:cs="Times New Roman"/>
      </w:rPr>
    </w:lvl>
    <w:lvl w:ilvl="3">
      <w:start w:val="1"/>
      <w:numFmt w:val="decimal"/>
      <w:lvlText w:val="%1.%2.%3.%4."/>
      <w:lvlJc w:val="left"/>
      <w:pPr>
        <w:ind w:left="1870" w:hanging="648"/>
      </w:pPr>
      <w:rPr>
        <w:rFonts w:cs="Times New Roman"/>
      </w:rPr>
    </w:lvl>
    <w:lvl w:ilvl="4">
      <w:start w:val="1"/>
      <w:numFmt w:val="decimal"/>
      <w:lvlText w:val="%1.%2.%3.%4.%5."/>
      <w:lvlJc w:val="left"/>
      <w:pPr>
        <w:ind w:left="2374" w:hanging="792"/>
      </w:pPr>
      <w:rPr>
        <w:rFonts w:cs="Times New Roman"/>
      </w:rPr>
    </w:lvl>
    <w:lvl w:ilvl="5">
      <w:start w:val="1"/>
      <w:numFmt w:val="decimal"/>
      <w:lvlText w:val="%1.%2.%3.%4.%5.%6."/>
      <w:lvlJc w:val="left"/>
      <w:pPr>
        <w:ind w:left="2878" w:hanging="936"/>
      </w:pPr>
      <w:rPr>
        <w:rFonts w:cs="Times New Roman"/>
      </w:rPr>
    </w:lvl>
    <w:lvl w:ilvl="6">
      <w:start w:val="1"/>
      <w:numFmt w:val="decimal"/>
      <w:lvlText w:val="%1.%2.%3.%4.%5.%6.%7."/>
      <w:lvlJc w:val="left"/>
      <w:pPr>
        <w:ind w:left="3382" w:hanging="1080"/>
      </w:pPr>
      <w:rPr>
        <w:rFonts w:cs="Times New Roman"/>
      </w:rPr>
    </w:lvl>
    <w:lvl w:ilvl="7">
      <w:start w:val="1"/>
      <w:numFmt w:val="decimal"/>
      <w:lvlText w:val="%1.%2.%3.%4.%5.%6.%7.%8."/>
      <w:lvlJc w:val="left"/>
      <w:pPr>
        <w:ind w:left="3886" w:hanging="1224"/>
      </w:pPr>
      <w:rPr>
        <w:rFonts w:cs="Times New Roman"/>
      </w:rPr>
    </w:lvl>
    <w:lvl w:ilvl="8">
      <w:start w:val="1"/>
      <w:numFmt w:val="decimal"/>
      <w:lvlText w:val="%1.%2.%3.%4.%5.%6.%7.%8.%9."/>
      <w:lvlJc w:val="left"/>
      <w:pPr>
        <w:ind w:left="4462" w:hanging="1440"/>
      </w:pPr>
      <w:rPr>
        <w:rFonts w:cs="Times New Roman"/>
      </w:rPr>
    </w:lvl>
  </w:abstractNum>
  <w:abstractNum w:abstractNumId="68">
    <w:nsid w:val="61BD5299"/>
    <w:multiLevelType w:val="hybridMultilevel"/>
    <w:tmpl w:val="09463DAC"/>
    <w:lvl w:ilvl="0" w:tplc="9934EFDA">
      <w:start w:val="1"/>
      <w:numFmt w:val="bullet"/>
      <w:lvlText w:val=""/>
      <w:lvlJc w:val="left"/>
      <w:pPr>
        <w:tabs>
          <w:tab w:val="num" w:pos="775"/>
        </w:tabs>
        <w:ind w:left="775" w:hanging="360"/>
      </w:pPr>
      <w:rPr>
        <w:rFonts w:ascii="Symbol" w:hAnsi="Symbol" w:hint="default"/>
        <w:sz w:val="24"/>
      </w:rPr>
    </w:lvl>
    <w:lvl w:ilvl="1" w:tplc="0C090003" w:tentative="1">
      <w:start w:val="1"/>
      <w:numFmt w:val="bullet"/>
      <w:lvlText w:val="o"/>
      <w:lvlJc w:val="left"/>
      <w:pPr>
        <w:tabs>
          <w:tab w:val="num" w:pos="1495"/>
        </w:tabs>
        <w:ind w:left="1495" w:hanging="360"/>
      </w:pPr>
      <w:rPr>
        <w:rFonts w:ascii="Courier New" w:hAnsi="Courier New" w:cs="Courier New" w:hint="default"/>
      </w:rPr>
    </w:lvl>
    <w:lvl w:ilvl="2" w:tplc="0C090005" w:tentative="1">
      <w:start w:val="1"/>
      <w:numFmt w:val="bullet"/>
      <w:lvlText w:val=""/>
      <w:lvlJc w:val="left"/>
      <w:pPr>
        <w:tabs>
          <w:tab w:val="num" w:pos="2215"/>
        </w:tabs>
        <w:ind w:left="2215" w:hanging="360"/>
      </w:pPr>
      <w:rPr>
        <w:rFonts w:ascii="Wingdings" w:hAnsi="Wingdings" w:hint="default"/>
      </w:rPr>
    </w:lvl>
    <w:lvl w:ilvl="3" w:tplc="0C090001" w:tentative="1">
      <w:start w:val="1"/>
      <w:numFmt w:val="bullet"/>
      <w:lvlText w:val=""/>
      <w:lvlJc w:val="left"/>
      <w:pPr>
        <w:tabs>
          <w:tab w:val="num" w:pos="2935"/>
        </w:tabs>
        <w:ind w:left="2935" w:hanging="360"/>
      </w:pPr>
      <w:rPr>
        <w:rFonts w:ascii="Symbol" w:hAnsi="Symbol" w:hint="default"/>
      </w:rPr>
    </w:lvl>
    <w:lvl w:ilvl="4" w:tplc="0C090003" w:tentative="1">
      <w:start w:val="1"/>
      <w:numFmt w:val="bullet"/>
      <w:lvlText w:val="o"/>
      <w:lvlJc w:val="left"/>
      <w:pPr>
        <w:tabs>
          <w:tab w:val="num" w:pos="3655"/>
        </w:tabs>
        <w:ind w:left="3655" w:hanging="360"/>
      </w:pPr>
      <w:rPr>
        <w:rFonts w:ascii="Courier New" w:hAnsi="Courier New" w:cs="Courier New" w:hint="default"/>
      </w:rPr>
    </w:lvl>
    <w:lvl w:ilvl="5" w:tplc="0C090005" w:tentative="1">
      <w:start w:val="1"/>
      <w:numFmt w:val="bullet"/>
      <w:lvlText w:val=""/>
      <w:lvlJc w:val="left"/>
      <w:pPr>
        <w:tabs>
          <w:tab w:val="num" w:pos="4375"/>
        </w:tabs>
        <w:ind w:left="4375" w:hanging="360"/>
      </w:pPr>
      <w:rPr>
        <w:rFonts w:ascii="Wingdings" w:hAnsi="Wingdings" w:hint="default"/>
      </w:rPr>
    </w:lvl>
    <w:lvl w:ilvl="6" w:tplc="0C090001" w:tentative="1">
      <w:start w:val="1"/>
      <w:numFmt w:val="bullet"/>
      <w:lvlText w:val=""/>
      <w:lvlJc w:val="left"/>
      <w:pPr>
        <w:tabs>
          <w:tab w:val="num" w:pos="5095"/>
        </w:tabs>
        <w:ind w:left="5095" w:hanging="360"/>
      </w:pPr>
      <w:rPr>
        <w:rFonts w:ascii="Symbol" w:hAnsi="Symbol" w:hint="default"/>
      </w:rPr>
    </w:lvl>
    <w:lvl w:ilvl="7" w:tplc="0C090003" w:tentative="1">
      <w:start w:val="1"/>
      <w:numFmt w:val="bullet"/>
      <w:lvlText w:val="o"/>
      <w:lvlJc w:val="left"/>
      <w:pPr>
        <w:tabs>
          <w:tab w:val="num" w:pos="5815"/>
        </w:tabs>
        <w:ind w:left="5815" w:hanging="360"/>
      </w:pPr>
      <w:rPr>
        <w:rFonts w:ascii="Courier New" w:hAnsi="Courier New" w:cs="Courier New" w:hint="default"/>
      </w:rPr>
    </w:lvl>
    <w:lvl w:ilvl="8" w:tplc="0C090005" w:tentative="1">
      <w:start w:val="1"/>
      <w:numFmt w:val="bullet"/>
      <w:lvlText w:val=""/>
      <w:lvlJc w:val="left"/>
      <w:pPr>
        <w:tabs>
          <w:tab w:val="num" w:pos="6535"/>
        </w:tabs>
        <w:ind w:left="6535" w:hanging="360"/>
      </w:pPr>
      <w:rPr>
        <w:rFonts w:ascii="Wingdings" w:hAnsi="Wingdings" w:hint="default"/>
      </w:rPr>
    </w:lvl>
  </w:abstractNum>
  <w:abstractNum w:abstractNumId="69">
    <w:nsid w:val="62732F61"/>
    <w:multiLevelType w:val="hybridMultilevel"/>
    <w:tmpl w:val="94AAC1F4"/>
    <w:lvl w:ilvl="0" w:tplc="B9DCB260">
      <w:start w:val="10"/>
      <w:numFmt w:val="decimal"/>
      <w:lvlText w:val="%1."/>
      <w:lvlJc w:val="left"/>
      <w:pPr>
        <w:ind w:left="78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0">
    <w:nsid w:val="62797C72"/>
    <w:multiLevelType w:val="hybridMultilevel"/>
    <w:tmpl w:val="DCD44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62B2243E"/>
    <w:multiLevelType w:val="hybridMultilevel"/>
    <w:tmpl w:val="49E66176"/>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2">
    <w:nsid w:val="62D84887"/>
    <w:multiLevelType w:val="hybridMultilevel"/>
    <w:tmpl w:val="A7DC1C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66354F60"/>
    <w:multiLevelType w:val="hybridMultilevel"/>
    <w:tmpl w:val="C71C0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66D374B1"/>
    <w:multiLevelType w:val="hybridMultilevel"/>
    <w:tmpl w:val="F4843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681B2F00"/>
    <w:multiLevelType w:val="hybridMultilevel"/>
    <w:tmpl w:val="340AE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684C6F29"/>
    <w:multiLevelType w:val="hybridMultilevel"/>
    <w:tmpl w:val="6C4AE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69A23454"/>
    <w:multiLevelType w:val="hybridMultilevel"/>
    <w:tmpl w:val="79761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AA047AC"/>
    <w:multiLevelType w:val="hybridMultilevel"/>
    <w:tmpl w:val="4DB8E12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3">
      <w:start w:val="1"/>
      <w:numFmt w:val="bullet"/>
      <w:lvlText w:val="o"/>
      <w:lvlJc w:val="left"/>
      <w:pPr>
        <w:tabs>
          <w:tab w:val="num" w:pos="1800"/>
        </w:tabs>
        <w:ind w:left="1800" w:hanging="360"/>
      </w:pPr>
      <w:rPr>
        <w:rFonts w:ascii="Courier New" w:hAnsi="Courier New" w:hint="default"/>
      </w:rPr>
    </w:lvl>
    <w:lvl w:ilvl="3" w:tplc="FFF85D4E">
      <w:start w:val="1"/>
      <w:numFmt w:val="bullet"/>
      <w:lvlText w:val="–"/>
      <w:lvlJc w:val="left"/>
      <w:pPr>
        <w:tabs>
          <w:tab w:val="num" w:pos="2760"/>
        </w:tabs>
        <w:ind w:left="3305" w:hanging="425"/>
      </w:pPr>
      <w:rPr>
        <w:rFonts w:ascii="Times New Roman" w:hAnsi="Times New Roman" w:hint="default"/>
        <w:sz w:val="24"/>
      </w:rPr>
    </w:lvl>
    <w:lvl w:ilvl="4" w:tplc="04090003">
      <w:start w:val="1"/>
      <w:numFmt w:val="decimal"/>
      <w:lvlText w:val="%5."/>
      <w:lvlJc w:val="left"/>
      <w:pPr>
        <w:tabs>
          <w:tab w:val="num" w:pos="3960"/>
        </w:tabs>
        <w:ind w:left="3960" w:hanging="360"/>
      </w:pPr>
      <w:rPr>
        <w:rFonts w:cs="Times New Roman"/>
      </w:rPr>
    </w:lvl>
    <w:lvl w:ilvl="5" w:tplc="04090005">
      <w:start w:val="1"/>
      <w:numFmt w:val="decimal"/>
      <w:lvlText w:val="%6."/>
      <w:lvlJc w:val="left"/>
      <w:pPr>
        <w:tabs>
          <w:tab w:val="num" w:pos="4680"/>
        </w:tabs>
        <w:ind w:left="4680" w:hanging="360"/>
      </w:pPr>
      <w:rPr>
        <w:rFonts w:cs="Times New Roman"/>
      </w:rPr>
    </w:lvl>
    <w:lvl w:ilvl="6" w:tplc="04090001">
      <w:start w:val="1"/>
      <w:numFmt w:val="decimal"/>
      <w:lvlText w:val="%7."/>
      <w:lvlJc w:val="left"/>
      <w:pPr>
        <w:tabs>
          <w:tab w:val="num" w:pos="5400"/>
        </w:tabs>
        <w:ind w:left="5400" w:hanging="360"/>
      </w:pPr>
      <w:rPr>
        <w:rFonts w:cs="Times New Roman"/>
      </w:rPr>
    </w:lvl>
    <w:lvl w:ilvl="7" w:tplc="04090003">
      <w:start w:val="1"/>
      <w:numFmt w:val="decimal"/>
      <w:lvlText w:val="%8."/>
      <w:lvlJc w:val="left"/>
      <w:pPr>
        <w:tabs>
          <w:tab w:val="num" w:pos="6120"/>
        </w:tabs>
        <w:ind w:left="6120" w:hanging="360"/>
      </w:pPr>
      <w:rPr>
        <w:rFonts w:cs="Times New Roman"/>
      </w:rPr>
    </w:lvl>
    <w:lvl w:ilvl="8" w:tplc="04090005">
      <w:start w:val="1"/>
      <w:numFmt w:val="decimal"/>
      <w:lvlText w:val="%9."/>
      <w:lvlJc w:val="left"/>
      <w:pPr>
        <w:tabs>
          <w:tab w:val="num" w:pos="6840"/>
        </w:tabs>
        <w:ind w:left="6840" w:hanging="360"/>
      </w:pPr>
      <w:rPr>
        <w:rFonts w:cs="Times New Roman"/>
      </w:rPr>
    </w:lvl>
  </w:abstractNum>
  <w:abstractNum w:abstractNumId="79">
    <w:nsid w:val="6B6C4DC3"/>
    <w:multiLevelType w:val="hybridMultilevel"/>
    <w:tmpl w:val="822C5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6BA3078A"/>
    <w:multiLevelType w:val="hybridMultilevel"/>
    <w:tmpl w:val="F1FCE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C13575F"/>
    <w:multiLevelType w:val="hybridMultilevel"/>
    <w:tmpl w:val="6636B70C"/>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2">
    <w:nsid w:val="6C3B5ABB"/>
    <w:multiLevelType w:val="hybridMultilevel"/>
    <w:tmpl w:val="E7089B08"/>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3">
    <w:nsid w:val="6D4005AF"/>
    <w:multiLevelType w:val="multilevel"/>
    <w:tmpl w:val="7370F3DE"/>
    <w:lvl w:ilvl="0">
      <w:start w:val="1"/>
      <w:numFmt w:val="bullet"/>
      <w:pStyle w:val="BulletListLevel1"/>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4">
    <w:nsid w:val="70DC7D90"/>
    <w:multiLevelType w:val="hybridMultilevel"/>
    <w:tmpl w:val="81D664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5">
    <w:nsid w:val="70DE561B"/>
    <w:multiLevelType w:val="hybridMultilevel"/>
    <w:tmpl w:val="05CCC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70EE1B23"/>
    <w:multiLevelType w:val="hybridMultilevel"/>
    <w:tmpl w:val="AC8ADF16"/>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7">
    <w:nsid w:val="72BD0BEA"/>
    <w:multiLevelType w:val="hybridMultilevel"/>
    <w:tmpl w:val="7CB4952A"/>
    <w:lvl w:ilvl="0" w:tplc="9934EFDA">
      <w:start w:val="1"/>
      <w:numFmt w:val="bullet"/>
      <w:lvlText w:val=""/>
      <w:lvlJc w:val="left"/>
      <w:pPr>
        <w:tabs>
          <w:tab w:val="num" w:pos="720"/>
        </w:tabs>
        <w:ind w:left="720" w:hanging="360"/>
      </w:pPr>
      <w:rPr>
        <w:rFonts w:ascii="Symbol" w:hAnsi="Symbol" w:hint="default"/>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8">
    <w:nsid w:val="733C2767"/>
    <w:multiLevelType w:val="hybridMultilevel"/>
    <w:tmpl w:val="CDDC2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4634FB7"/>
    <w:multiLevelType w:val="hybridMultilevel"/>
    <w:tmpl w:val="C4DA5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4872BD8"/>
    <w:multiLevelType w:val="hybridMultilevel"/>
    <w:tmpl w:val="A20061BE"/>
    <w:lvl w:ilvl="0" w:tplc="9934EFDA">
      <w:start w:val="1"/>
      <w:numFmt w:val="bullet"/>
      <w:lvlText w:val=""/>
      <w:lvlJc w:val="left"/>
      <w:pPr>
        <w:tabs>
          <w:tab w:val="num" w:pos="720"/>
        </w:tabs>
        <w:ind w:left="720" w:hanging="360"/>
      </w:pPr>
      <w:rPr>
        <w:rFonts w:ascii="Symbol" w:hAnsi="Symbol" w:hint="default"/>
        <w:sz w:val="24"/>
      </w:rPr>
    </w:lvl>
    <w:lvl w:ilvl="1" w:tplc="0C090003">
      <w:start w:val="1"/>
      <w:numFmt w:val="bullet"/>
      <w:lvlText w:val="o"/>
      <w:lvlJc w:val="left"/>
      <w:pPr>
        <w:tabs>
          <w:tab w:val="num" w:pos="1440"/>
        </w:tabs>
        <w:ind w:left="1440" w:hanging="360"/>
      </w:pPr>
      <w:rPr>
        <w:rFonts w:ascii="Courier New" w:hAnsi="Courier New" w:cs="Courier New" w:hint="default"/>
        <w:sz w:val="24"/>
      </w:rPr>
    </w:lvl>
    <w:lvl w:ilvl="2" w:tplc="E6C47DB8">
      <w:start w:val="2"/>
      <w:numFmt w:val="bullet"/>
      <w:lvlText w:val="-"/>
      <w:lvlJc w:val="left"/>
      <w:pPr>
        <w:tabs>
          <w:tab w:val="num" w:pos="2520"/>
        </w:tabs>
        <w:ind w:left="2520" w:hanging="720"/>
      </w:pPr>
      <w:rPr>
        <w:rFonts w:ascii="Times New Roman" w:eastAsia="Times New Roman" w:hAnsi="Times New Roman" w:cs="Times New Roman" w:hint="default"/>
        <w:sz w:val="24"/>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1">
    <w:nsid w:val="74C2198D"/>
    <w:multiLevelType w:val="hybridMultilevel"/>
    <w:tmpl w:val="A68CD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75DB29EC"/>
    <w:multiLevelType w:val="hybridMultilevel"/>
    <w:tmpl w:val="D7EE4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76D51564"/>
    <w:multiLevelType w:val="hybridMultilevel"/>
    <w:tmpl w:val="EA905D9E"/>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4">
    <w:nsid w:val="7785022C"/>
    <w:multiLevelType w:val="hybridMultilevel"/>
    <w:tmpl w:val="1D244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790640CE"/>
    <w:multiLevelType w:val="hybridMultilevel"/>
    <w:tmpl w:val="6B4CD146"/>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6">
    <w:nsid w:val="7DED2F9D"/>
    <w:multiLevelType w:val="hybridMultilevel"/>
    <w:tmpl w:val="A8F092EA"/>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7">
    <w:nsid w:val="7E3D499F"/>
    <w:multiLevelType w:val="hybridMultilevel"/>
    <w:tmpl w:val="438246E2"/>
    <w:lvl w:ilvl="0" w:tplc="9934EFDA">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8">
    <w:nsid w:val="7E497A8D"/>
    <w:multiLevelType w:val="hybridMultilevel"/>
    <w:tmpl w:val="9A44B360"/>
    <w:lvl w:ilvl="0" w:tplc="9934EFDA">
      <w:start w:val="1"/>
      <w:numFmt w:val="bullet"/>
      <w:lvlText w:val=""/>
      <w:lvlJc w:val="left"/>
      <w:pPr>
        <w:tabs>
          <w:tab w:val="num" w:pos="720"/>
        </w:tabs>
        <w:ind w:left="720" w:hanging="360"/>
      </w:pPr>
      <w:rPr>
        <w:rFonts w:ascii="Symbol" w:hAnsi="Symbol" w:hint="default"/>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58"/>
  </w:num>
  <w:num w:numId="2">
    <w:abstractNumId w:val="83"/>
  </w:num>
  <w:num w:numId="3">
    <w:abstractNumId w:val="22"/>
  </w:num>
  <w:num w:numId="4">
    <w:abstractNumId w:val="78"/>
  </w:num>
  <w:num w:numId="5">
    <w:abstractNumId w:val="92"/>
  </w:num>
  <w:num w:numId="6">
    <w:abstractNumId w:val="21"/>
  </w:num>
  <w:num w:numId="7">
    <w:abstractNumId w:val="76"/>
  </w:num>
  <w:num w:numId="8">
    <w:abstractNumId w:val="74"/>
  </w:num>
  <w:num w:numId="9">
    <w:abstractNumId w:val="30"/>
  </w:num>
  <w:num w:numId="10">
    <w:abstractNumId w:val="73"/>
  </w:num>
  <w:num w:numId="11">
    <w:abstractNumId w:val="6"/>
  </w:num>
  <w:num w:numId="12">
    <w:abstractNumId w:val="1"/>
  </w:num>
  <w:num w:numId="13">
    <w:abstractNumId w:val="0"/>
  </w:num>
  <w:num w:numId="14">
    <w:abstractNumId w:val="54"/>
  </w:num>
  <w:num w:numId="15">
    <w:abstractNumId w:val="85"/>
  </w:num>
  <w:num w:numId="16">
    <w:abstractNumId w:val="62"/>
  </w:num>
  <w:num w:numId="17">
    <w:abstractNumId w:val="94"/>
  </w:num>
  <w:num w:numId="18">
    <w:abstractNumId w:val="14"/>
  </w:num>
  <w:num w:numId="19">
    <w:abstractNumId w:val="12"/>
  </w:num>
  <w:num w:numId="20">
    <w:abstractNumId w:val="47"/>
  </w:num>
  <w:num w:numId="21">
    <w:abstractNumId w:val="23"/>
  </w:num>
  <w:num w:numId="22">
    <w:abstractNumId w:val="79"/>
  </w:num>
  <w:num w:numId="23">
    <w:abstractNumId w:val="45"/>
  </w:num>
  <w:num w:numId="24">
    <w:abstractNumId w:val="33"/>
  </w:num>
  <w:num w:numId="25">
    <w:abstractNumId w:val="42"/>
  </w:num>
  <w:num w:numId="26">
    <w:abstractNumId w:val="46"/>
  </w:num>
  <w:num w:numId="27">
    <w:abstractNumId w:val="60"/>
  </w:num>
  <w:num w:numId="28">
    <w:abstractNumId w:val="91"/>
  </w:num>
  <w:num w:numId="29">
    <w:abstractNumId w:val="16"/>
  </w:num>
  <w:num w:numId="30">
    <w:abstractNumId w:val="63"/>
  </w:num>
  <w:num w:numId="31">
    <w:abstractNumId w:val="32"/>
  </w:num>
  <w:num w:numId="32">
    <w:abstractNumId w:val="8"/>
  </w:num>
  <w:num w:numId="33">
    <w:abstractNumId w:val="75"/>
  </w:num>
  <w:num w:numId="34">
    <w:abstractNumId w:val="9"/>
  </w:num>
  <w:num w:numId="35">
    <w:abstractNumId w:val="43"/>
  </w:num>
  <w:num w:numId="36">
    <w:abstractNumId w:val="72"/>
  </w:num>
  <w:num w:numId="37">
    <w:abstractNumId w:val="70"/>
  </w:num>
  <w:num w:numId="38">
    <w:abstractNumId w:val="55"/>
  </w:num>
  <w:num w:numId="39">
    <w:abstractNumId w:val="28"/>
  </w:num>
  <w:num w:numId="40">
    <w:abstractNumId w:val="3"/>
  </w:num>
  <w:num w:numId="41">
    <w:abstractNumId w:val="56"/>
  </w:num>
  <w:num w:numId="42">
    <w:abstractNumId w:val="77"/>
  </w:num>
  <w:num w:numId="43">
    <w:abstractNumId w:val="88"/>
  </w:num>
  <w:num w:numId="44">
    <w:abstractNumId w:val="13"/>
  </w:num>
  <w:num w:numId="45">
    <w:abstractNumId w:val="24"/>
  </w:num>
  <w:num w:numId="46">
    <w:abstractNumId w:val="49"/>
  </w:num>
  <w:num w:numId="47">
    <w:abstractNumId w:val="89"/>
  </w:num>
  <w:num w:numId="48">
    <w:abstractNumId w:val="66"/>
  </w:num>
  <w:num w:numId="49">
    <w:abstractNumId w:val="10"/>
  </w:num>
  <w:num w:numId="50">
    <w:abstractNumId w:val="50"/>
  </w:num>
  <w:num w:numId="51">
    <w:abstractNumId w:val="44"/>
  </w:num>
  <w:num w:numId="52">
    <w:abstractNumId w:val="84"/>
  </w:num>
  <w:num w:numId="53">
    <w:abstractNumId w:val="36"/>
  </w:num>
  <w:num w:numId="54">
    <w:abstractNumId w:val="80"/>
  </w:num>
  <w:num w:numId="55">
    <w:abstractNumId w:val="37"/>
  </w:num>
  <w:num w:numId="56">
    <w:abstractNumId w:val="67"/>
  </w:num>
  <w:num w:numId="57">
    <w:abstractNumId w:val="41"/>
  </w:num>
  <w:num w:numId="58">
    <w:abstractNumId w:val="57"/>
  </w:num>
  <w:num w:numId="59">
    <w:abstractNumId w:val="15"/>
  </w:num>
  <w:num w:numId="60">
    <w:abstractNumId w:val="51"/>
  </w:num>
  <w:num w:numId="61">
    <w:abstractNumId w:val="59"/>
  </w:num>
  <w:num w:numId="62">
    <w:abstractNumId w:val="69"/>
  </w:num>
  <w:num w:numId="63">
    <w:abstractNumId w:val="11"/>
  </w:num>
  <w:num w:numId="64">
    <w:abstractNumId w:val="2"/>
  </w:num>
  <w:num w:numId="65">
    <w:abstractNumId w:val="17"/>
  </w:num>
  <w:num w:numId="66">
    <w:abstractNumId w:val="38"/>
  </w:num>
  <w:num w:numId="67">
    <w:abstractNumId w:val="65"/>
  </w:num>
  <w:num w:numId="68">
    <w:abstractNumId w:val="97"/>
  </w:num>
  <w:num w:numId="69">
    <w:abstractNumId w:val="25"/>
  </w:num>
  <w:num w:numId="70">
    <w:abstractNumId w:val="26"/>
  </w:num>
  <w:num w:numId="71">
    <w:abstractNumId w:val="64"/>
  </w:num>
  <w:num w:numId="72">
    <w:abstractNumId w:val="7"/>
  </w:num>
  <w:num w:numId="73">
    <w:abstractNumId w:val="53"/>
  </w:num>
  <w:num w:numId="74">
    <w:abstractNumId w:val="5"/>
  </w:num>
  <w:num w:numId="75">
    <w:abstractNumId w:val="52"/>
  </w:num>
  <w:num w:numId="76">
    <w:abstractNumId w:val="31"/>
  </w:num>
  <w:num w:numId="77">
    <w:abstractNumId w:val="87"/>
  </w:num>
  <w:num w:numId="78">
    <w:abstractNumId w:val="4"/>
  </w:num>
  <w:num w:numId="79">
    <w:abstractNumId w:val="18"/>
  </w:num>
  <w:num w:numId="80">
    <w:abstractNumId w:val="98"/>
  </w:num>
  <w:num w:numId="81">
    <w:abstractNumId w:val="93"/>
  </w:num>
  <w:num w:numId="82">
    <w:abstractNumId w:val="86"/>
  </w:num>
  <w:num w:numId="83">
    <w:abstractNumId w:val="90"/>
  </w:num>
  <w:num w:numId="84">
    <w:abstractNumId w:val="19"/>
  </w:num>
  <w:num w:numId="85">
    <w:abstractNumId w:val="48"/>
  </w:num>
  <w:num w:numId="86">
    <w:abstractNumId w:val="35"/>
  </w:num>
  <w:num w:numId="87">
    <w:abstractNumId w:val="61"/>
  </w:num>
  <w:num w:numId="88">
    <w:abstractNumId w:val="40"/>
  </w:num>
  <w:num w:numId="89">
    <w:abstractNumId w:val="39"/>
  </w:num>
  <w:num w:numId="90">
    <w:abstractNumId w:val="81"/>
  </w:num>
  <w:num w:numId="91">
    <w:abstractNumId w:val="71"/>
  </w:num>
  <w:num w:numId="92">
    <w:abstractNumId w:val="29"/>
  </w:num>
  <w:num w:numId="93">
    <w:abstractNumId w:val="68"/>
  </w:num>
  <w:num w:numId="94">
    <w:abstractNumId w:val="34"/>
  </w:num>
  <w:num w:numId="95">
    <w:abstractNumId w:val="95"/>
  </w:num>
  <w:num w:numId="96">
    <w:abstractNumId w:val="96"/>
  </w:num>
  <w:num w:numId="97">
    <w:abstractNumId w:val="27"/>
  </w:num>
  <w:num w:numId="98">
    <w:abstractNumId w:val="82"/>
  </w:num>
  <w:num w:numId="99">
    <w:abstractNumId w:val="20"/>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drawingGridHorizontalSpacing w:val="10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E402DC"/>
    <w:rsid w:val="0000260C"/>
    <w:rsid w:val="000057EA"/>
    <w:rsid w:val="00005AB7"/>
    <w:rsid w:val="0001060B"/>
    <w:rsid w:val="00010D97"/>
    <w:rsid w:val="000118D6"/>
    <w:rsid w:val="000133F6"/>
    <w:rsid w:val="00014C13"/>
    <w:rsid w:val="00014D1B"/>
    <w:rsid w:val="00030E87"/>
    <w:rsid w:val="00032900"/>
    <w:rsid w:val="000336AD"/>
    <w:rsid w:val="00034F4A"/>
    <w:rsid w:val="000426C2"/>
    <w:rsid w:val="00043F95"/>
    <w:rsid w:val="00044772"/>
    <w:rsid w:val="000626B2"/>
    <w:rsid w:val="00070462"/>
    <w:rsid w:val="00070F71"/>
    <w:rsid w:val="0007230D"/>
    <w:rsid w:val="0007373B"/>
    <w:rsid w:val="00075ED7"/>
    <w:rsid w:val="00077CF1"/>
    <w:rsid w:val="00080782"/>
    <w:rsid w:val="000839B4"/>
    <w:rsid w:val="0008503C"/>
    <w:rsid w:val="00085067"/>
    <w:rsid w:val="00086130"/>
    <w:rsid w:val="000865FA"/>
    <w:rsid w:val="00087F53"/>
    <w:rsid w:val="00092BA7"/>
    <w:rsid w:val="00096402"/>
    <w:rsid w:val="000A16ED"/>
    <w:rsid w:val="000A1DAC"/>
    <w:rsid w:val="000A7A5C"/>
    <w:rsid w:val="000B1D1C"/>
    <w:rsid w:val="000C2491"/>
    <w:rsid w:val="000C37E3"/>
    <w:rsid w:val="000C5B60"/>
    <w:rsid w:val="000C6DA1"/>
    <w:rsid w:val="000C7035"/>
    <w:rsid w:val="000D244C"/>
    <w:rsid w:val="000D6A9C"/>
    <w:rsid w:val="000E241D"/>
    <w:rsid w:val="000E515F"/>
    <w:rsid w:val="000E6452"/>
    <w:rsid w:val="000F088B"/>
    <w:rsid w:val="000F1B5F"/>
    <w:rsid w:val="000F567E"/>
    <w:rsid w:val="00100498"/>
    <w:rsid w:val="0010276F"/>
    <w:rsid w:val="00103D62"/>
    <w:rsid w:val="00103F49"/>
    <w:rsid w:val="00110118"/>
    <w:rsid w:val="001223BC"/>
    <w:rsid w:val="00123767"/>
    <w:rsid w:val="00126003"/>
    <w:rsid w:val="00127385"/>
    <w:rsid w:val="001301FC"/>
    <w:rsid w:val="001325AA"/>
    <w:rsid w:val="00133002"/>
    <w:rsid w:val="00136B95"/>
    <w:rsid w:val="00141DB9"/>
    <w:rsid w:val="00142E84"/>
    <w:rsid w:val="00143464"/>
    <w:rsid w:val="001616AB"/>
    <w:rsid w:val="00162446"/>
    <w:rsid w:val="00166F4E"/>
    <w:rsid w:val="00173659"/>
    <w:rsid w:val="00175C7C"/>
    <w:rsid w:val="0017611D"/>
    <w:rsid w:val="001769D9"/>
    <w:rsid w:val="00180D64"/>
    <w:rsid w:val="001837A4"/>
    <w:rsid w:val="00186397"/>
    <w:rsid w:val="001909A6"/>
    <w:rsid w:val="0019532B"/>
    <w:rsid w:val="00197227"/>
    <w:rsid w:val="001974FF"/>
    <w:rsid w:val="001A185E"/>
    <w:rsid w:val="001A23FD"/>
    <w:rsid w:val="001A2696"/>
    <w:rsid w:val="001A3797"/>
    <w:rsid w:val="001A4E2D"/>
    <w:rsid w:val="001A7EE8"/>
    <w:rsid w:val="001B1FBF"/>
    <w:rsid w:val="001B6C0C"/>
    <w:rsid w:val="001B7615"/>
    <w:rsid w:val="001B7879"/>
    <w:rsid w:val="001C03F0"/>
    <w:rsid w:val="001C65F2"/>
    <w:rsid w:val="001C66C2"/>
    <w:rsid w:val="001D68F9"/>
    <w:rsid w:val="001E31CF"/>
    <w:rsid w:val="001F1663"/>
    <w:rsid w:val="001F6A8B"/>
    <w:rsid w:val="001F6FA1"/>
    <w:rsid w:val="00204612"/>
    <w:rsid w:val="002052EC"/>
    <w:rsid w:val="00205B7A"/>
    <w:rsid w:val="00206479"/>
    <w:rsid w:val="00207777"/>
    <w:rsid w:val="00210EE1"/>
    <w:rsid w:val="002217B9"/>
    <w:rsid w:val="00221D2E"/>
    <w:rsid w:val="00222CA3"/>
    <w:rsid w:val="00223466"/>
    <w:rsid w:val="00223F7A"/>
    <w:rsid w:val="00227784"/>
    <w:rsid w:val="0023129F"/>
    <w:rsid w:val="00235045"/>
    <w:rsid w:val="00237E46"/>
    <w:rsid w:val="00251318"/>
    <w:rsid w:val="00257750"/>
    <w:rsid w:val="00266EED"/>
    <w:rsid w:val="00285BFF"/>
    <w:rsid w:val="00285EA9"/>
    <w:rsid w:val="00292A4F"/>
    <w:rsid w:val="00296802"/>
    <w:rsid w:val="002A3282"/>
    <w:rsid w:val="002B604B"/>
    <w:rsid w:val="002C1A32"/>
    <w:rsid w:val="002C4BAC"/>
    <w:rsid w:val="002C4CA5"/>
    <w:rsid w:val="002C5296"/>
    <w:rsid w:val="002C5E72"/>
    <w:rsid w:val="002D6225"/>
    <w:rsid w:val="002D7311"/>
    <w:rsid w:val="002E531A"/>
    <w:rsid w:val="002E76D1"/>
    <w:rsid w:val="002F709B"/>
    <w:rsid w:val="00300357"/>
    <w:rsid w:val="00300C54"/>
    <w:rsid w:val="00303BBC"/>
    <w:rsid w:val="003053AE"/>
    <w:rsid w:val="00314185"/>
    <w:rsid w:val="00315BD0"/>
    <w:rsid w:val="003253E2"/>
    <w:rsid w:val="00327A40"/>
    <w:rsid w:val="00346A88"/>
    <w:rsid w:val="00350BC0"/>
    <w:rsid w:val="00351DC0"/>
    <w:rsid w:val="00352C1B"/>
    <w:rsid w:val="0035448C"/>
    <w:rsid w:val="003547DB"/>
    <w:rsid w:val="00355341"/>
    <w:rsid w:val="0036046C"/>
    <w:rsid w:val="00363455"/>
    <w:rsid w:val="00363A0B"/>
    <w:rsid w:val="003649F0"/>
    <w:rsid w:val="00382CB1"/>
    <w:rsid w:val="00386CF2"/>
    <w:rsid w:val="003874D7"/>
    <w:rsid w:val="00387C5D"/>
    <w:rsid w:val="00392CF1"/>
    <w:rsid w:val="00392E8F"/>
    <w:rsid w:val="00394196"/>
    <w:rsid w:val="0039445E"/>
    <w:rsid w:val="0039758A"/>
    <w:rsid w:val="003A1AE9"/>
    <w:rsid w:val="003A44AF"/>
    <w:rsid w:val="003A6195"/>
    <w:rsid w:val="003B541B"/>
    <w:rsid w:val="003C0335"/>
    <w:rsid w:val="003C1CA9"/>
    <w:rsid w:val="003C3672"/>
    <w:rsid w:val="003C4602"/>
    <w:rsid w:val="003C5935"/>
    <w:rsid w:val="003C5C29"/>
    <w:rsid w:val="003D1085"/>
    <w:rsid w:val="003D1F94"/>
    <w:rsid w:val="003D287A"/>
    <w:rsid w:val="003E1C20"/>
    <w:rsid w:val="003E24B5"/>
    <w:rsid w:val="003E25CB"/>
    <w:rsid w:val="003E4F82"/>
    <w:rsid w:val="003E62F4"/>
    <w:rsid w:val="003E79A3"/>
    <w:rsid w:val="003F1DA8"/>
    <w:rsid w:val="003F3297"/>
    <w:rsid w:val="003F44C1"/>
    <w:rsid w:val="003F4BE7"/>
    <w:rsid w:val="003F7720"/>
    <w:rsid w:val="003F7EDF"/>
    <w:rsid w:val="00401549"/>
    <w:rsid w:val="00402253"/>
    <w:rsid w:val="004061B1"/>
    <w:rsid w:val="00415643"/>
    <w:rsid w:val="00416435"/>
    <w:rsid w:val="00417F3A"/>
    <w:rsid w:val="00421FE0"/>
    <w:rsid w:val="004251CF"/>
    <w:rsid w:val="00425965"/>
    <w:rsid w:val="00425ACD"/>
    <w:rsid w:val="0043001F"/>
    <w:rsid w:val="00432682"/>
    <w:rsid w:val="004330CF"/>
    <w:rsid w:val="004336F7"/>
    <w:rsid w:val="00434B4E"/>
    <w:rsid w:val="00436358"/>
    <w:rsid w:val="0043676E"/>
    <w:rsid w:val="00440226"/>
    <w:rsid w:val="0044104B"/>
    <w:rsid w:val="00441546"/>
    <w:rsid w:val="0044602F"/>
    <w:rsid w:val="004464B8"/>
    <w:rsid w:val="00450577"/>
    <w:rsid w:val="004518A2"/>
    <w:rsid w:val="004519E6"/>
    <w:rsid w:val="00453030"/>
    <w:rsid w:val="004559C7"/>
    <w:rsid w:val="00456097"/>
    <w:rsid w:val="0045686B"/>
    <w:rsid w:val="00457F45"/>
    <w:rsid w:val="00464E71"/>
    <w:rsid w:val="00466358"/>
    <w:rsid w:val="0047235C"/>
    <w:rsid w:val="0047452A"/>
    <w:rsid w:val="004823D2"/>
    <w:rsid w:val="00484D92"/>
    <w:rsid w:val="0049085A"/>
    <w:rsid w:val="00491B29"/>
    <w:rsid w:val="0049309D"/>
    <w:rsid w:val="00493C8D"/>
    <w:rsid w:val="00497685"/>
    <w:rsid w:val="004B6756"/>
    <w:rsid w:val="004B6B98"/>
    <w:rsid w:val="004B70D4"/>
    <w:rsid w:val="004C18C4"/>
    <w:rsid w:val="004C1CB8"/>
    <w:rsid w:val="004C3D6D"/>
    <w:rsid w:val="004C4D7C"/>
    <w:rsid w:val="004D3812"/>
    <w:rsid w:val="004D5272"/>
    <w:rsid w:val="004E06C7"/>
    <w:rsid w:val="004E5888"/>
    <w:rsid w:val="004F0159"/>
    <w:rsid w:val="004F1ED9"/>
    <w:rsid w:val="004F29A9"/>
    <w:rsid w:val="004F72F0"/>
    <w:rsid w:val="00501C04"/>
    <w:rsid w:val="0050475B"/>
    <w:rsid w:val="005063AA"/>
    <w:rsid w:val="00512E71"/>
    <w:rsid w:val="005144C0"/>
    <w:rsid w:val="00516746"/>
    <w:rsid w:val="00516F17"/>
    <w:rsid w:val="00526F78"/>
    <w:rsid w:val="0052759A"/>
    <w:rsid w:val="00534D01"/>
    <w:rsid w:val="0054164D"/>
    <w:rsid w:val="00544325"/>
    <w:rsid w:val="00546492"/>
    <w:rsid w:val="005465E4"/>
    <w:rsid w:val="005527CF"/>
    <w:rsid w:val="0055336F"/>
    <w:rsid w:val="00555DC3"/>
    <w:rsid w:val="00560E8D"/>
    <w:rsid w:val="00564243"/>
    <w:rsid w:val="00565D1D"/>
    <w:rsid w:val="00566043"/>
    <w:rsid w:val="00583A48"/>
    <w:rsid w:val="00584DC6"/>
    <w:rsid w:val="00586A7F"/>
    <w:rsid w:val="00592385"/>
    <w:rsid w:val="00594746"/>
    <w:rsid w:val="0059763E"/>
    <w:rsid w:val="005A19C9"/>
    <w:rsid w:val="005A5E3F"/>
    <w:rsid w:val="005A6DBA"/>
    <w:rsid w:val="005B207B"/>
    <w:rsid w:val="005B4729"/>
    <w:rsid w:val="005C057B"/>
    <w:rsid w:val="005C3585"/>
    <w:rsid w:val="005C5C91"/>
    <w:rsid w:val="005C799C"/>
    <w:rsid w:val="005C7BFB"/>
    <w:rsid w:val="005D37A6"/>
    <w:rsid w:val="005D4BEC"/>
    <w:rsid w:val="005D529A"/>
    <w:rsid w:val="005E1590"/>
    <w:rsid w:val="005E377C"/>
    <w:rsid w:val="005E63A7"/>
    <w:rsid w:val="005E657C"/>
    <w:rsid w:val="005F194F"/>
    <w:rsid w:val="005F42D4"/>
    <w:rsid w:val="005F6730"/>
    <w:rsid w:val="00602FB6"/>
    <w:rsid w:val="006033C4"/>
    <w:rsid w:val="006043CC"/>
    <w:rsid w:val="0060640C"/>
    <w:rsid w:val="00607979"/>
    <w:rsid w:val="00607A36"/>
    <w:rsid w:val="0061267F"/>
    <w:rsid w:val="00612B23"/>
    <w:rsid w:val="0061433A"/>
    <w:rsid w:val="00614DC1"/>
    <w:rsid w:val="00615F4B"/>
    <w:rsid w:val="00621E92"/>
    <w:rsid w:val="00626609"/>
    <w:rsid w:val="006313F2"/>
    <w:rsid w:val="00632D79"/>
    <w:rsid w:val="00634D6C"/>
    <w:rsid w:val="00635E42"/>
    <w:rsid w:val="00636F91"/>
    <w:rsid w:val="00640044"/>
    <w:rsid w:val="00651BB0"/>
    <w:rsid w:val="006529FF"/>
    <w:rsid w:val="00654AB0"/>
    <w:rsid w:val="00656DEB"/>
    <w:rsid w:val="00661B34"/>
    <w:rsid w:val="006633CA"/>
    <w:rsid w:val="0066355B"/>
    <w:rsid w:val="00667B68"/>
    <w:rsid w:val="006735C2"/>
    <w:rsid w:val="006769D6"/>
    <w:rsid w:val="006777FB"/>
    <w:rsid w:val="00682AD8"/>
    <w:rsid w:val="00685B98"/>
    <w:rsid w:val="006875F9"/>
    <w:rsid w:val="00687EF5"/>
    <w:rsid w:val="00692973"/>
    <w:rsid w:val="00693930"/>
    <w:rsid w:val="00694BBF"/>
    <w:rsid w:val="006B1198"/>
    <w:rsid w:val="006B21E0"/>
    <w:rsid w:val="006B5843"/>
    <w:rsid w:val="006B6BC9"/>
    <w:rsid w:val="006C38D9"/>
    <w:rsid w:val="006C51F8"/>
    <w:rsid w:val="006C5650"/>
    <w:rsid w:val="006D2A82"/>
    <w:rsid w:val="006E04FC"/>
    <w:rsid w:val="006E2453"/>
    <w:rsid w:val="006E5CD1"/>
    <w:rsid w:val="006E7254"/>
    <w:rsid w:val="006F08C7"/>
    <w:rsid w:val="006F2994"/>
    <w:rsid w:val="006F2FB6"/>
    <w:rsid w:val="006F4F30"/>
    <w:rsid w:val="006F61EC"/>
    <w:rsid w:val="006F7F75"/>
    <w:rsid w:val="0070044D"/>
    <w:rsid w:val="00700D68"/>
    <w:rsid w:val="00701EE2"/>
    <w:rsid w:val="00705050"/>
    <w:rsid w:val="00711EC3"/>
    <w:rsid w:val="00715F53"/>
    <w:rsid w:val="00716BCB"/>
    <w:rsid w:val="00716EB7"/>
    <w:rsid w:val="007212F6"/>
    <w:rsid w:val="007214BB"/>
    <w:rsid w:val="00741E38"/>
    <w:rsid w:val="00742120"/>
    <w:rsid w:val="00742290"/>
    <w:rsid w:val="00743232"/>
    <w:rsid w:val="007454D3"/>
    <w:rsid w:val="007477D7"/>
    <w:rsid w:val="00753804"/>
    <w:rsid w:val="0075605C"/>
    <w:rsid w:val="00757347"/>
    <w:rsid w:val="00761524"/>
    <w:rsid w:val="00761A9A"/>
    <w:rsid w:val="0076505B"/>
    <w:rsid w:val="00765785"/>
    <w:rsid w:val="007676D7"/>
    <w:rsid w:val="00770E8A"/>
    <w:rsid w:val="0077573E"/>
    <w:rsid w:val="00781A9D"/>
    <w:rsid w:val="00784B32"/>
    <w:rsid w:val="00785EA8"/>
    <w:rsid w:val="007860F3"/>
    <w:rsid w:val="00790517"/>
    <w:rsid w:val="00796ABF"/>
    <w:rsid w:val="007A2239"/>
    <w:rsid w:val="007A401B"/>
    <w:rsid w:val="007A72E0"/>
    <w:rsid w:val="007C099D"/>
    <w:rsid w:val="007C23D9"/>
    <w:rsid w:val="007C2B6C"/>
    <w:rsid w:val="007C6C05"/>
    <w:rsid w:val="007D1CD5"/>
    <w:rsid w:val="007D2B5A"/>
    <w:rsid w:val="007D4E84"/>
    <w:rsid w:val="007D583E"/>
    <w:rsid w:val="007E2875"/>
    <w:rsid w:val="007E416B"/>
    <w:rsid w:val="007F294A"/>
    <w:rsid w:val="007F7506"/>
    <w:rsid w:val="00803708"/>
    <w:rsid w:val="008050D4"/>
    <w:rsid w:val="0080636C"/>
    <w:rsid w:val="00806BE7"/>
    <w:rsid w:val="008111E2"/>
    <w:rsid w:val="00811A62"/>
    <w:rsid w:val="008204FB"/>
    <w:rsid w:val="00820D9B"/>
    <w:rsid w:val="008258EB"/>
    <w:rsid w:val="00826D95"/>
    <w:rsid w:val="008327EC"/>
    <w:rsid w:val="00833B5A"/>
    <w:rsid w:val="00841436"/>
    <w:rsid w:val="00844B75"/>
    <w:rsid w:val="00845A11"/>
    <w:rsid w:val="0084610C"/>
    <w:rsid w:val="00847998"/>
    <w:rsid w:val="00851098"/>
    <w:rsid w:val="00851C78"/>
    <w:rsid w:val="00860733"/>
    <w:rsid w:val="00864264"/>
    <w:rsid w:val="00864F65"/>
    <w:rsid w:val="00871169"/>
    <w:rsid w:val="008720DA"/>
    <w:rsid w:val="00873C5D"/>
    <w:rsid w:val="00874594"/>
    <w:rsid w:val="00877D27"/>
    <w:rsid w:val="008809E1"/>
    <w:rsid w:val="00882F22"/>
    <w:rsid w:val="00884039"/>
    <w:rsid w:val="00885D68"/>
    <w:rsid w:val="008865AB"/>
    <w:rsid w:val="00892B29"/>
    <w:rsid w:val="00892B8D"/>
    <w:rsid w:val="00894E3A"/>
    <w:rsid w:val="0089672B"/>
    <w:rsid w:val="008B0DFD"/>
    <w:rsid w:val="008B2915"/>
    <w:rsid w:val="008B69D1"/>
    <w:rsid w:val="008B72D6"/>
    <w:rsid w:val="008C5876"/>
    <w:rsid w:val="008C5E4E"/>
    <w:rsid w:val="008D1F2B"/>
    <w:rsid w:val="008D5CBC"/>
    <w:rsid w:val="008D6072"/>
    <w:rsid w:val="008E5549"/>
    <w:rsid w:val="008E679A"/>
    <w:rsid w:val="008E79B2"/>
    <w:rsid w:val="008F11C9"/>
    <w:rsid w:val="008F2E20"/>
    <w:rsid w:val="00901EBC"/>
    <w:rsid w:val="00905737"/>
    <w:rsid w:val="00913B57"/>
    <w:rsid w:val="00925D47"/>
    <w:rsid w:val="00933868"/>
    <w:rsid w:val="00933C34"/>
    <w:rsid w:val="009341CB"/>
    <w:rsid w:val="00937A4E"/>
    <w:rsid w:val="0094218D"/>
    <w:rsid w:val="009477A1"/>
    <w:rsid w:val="00954EB9"/>
    <w:rsid w:val="0095504B"/>
    <w:rsid w:val="0095618D"/>
    <w:rsid w:val="00957499"/>
    <w:rsid w:val="00960580"/>
    <w:rsid w:val="00963495"/>
    <w:rsid w:val="00965806"/>
    <w:rsid w:val="00970538"/>
    <w:rsid w:val="009721CA"/>
    <w:rsid w:val="00972312"/>
    <w:rsid w:val="0097266D"/>
    <w:rsid w:val="0097403D"/>
    <w:rsid w:val="009747E9"/>
    <w:rsid w:val="00976FEC"/>
    <w:rsid w:val="009775F7"/>
    <w:rsid w:val="00983748"/>
    <w:rsid w:val="00984DF8"/>
    <w:rsid w:val="00986F03"/>
    <w:rsid w:val="0099656C"/>
    <w:rsid w:val="009A244B"/>
    <w:rsid w:val="009A5273"/>
    <w:rsid w:val="009A5453"/>
    <w:rsid w:val="009B545B"/>
    <w:rsid w:val="009B64DA"/>
    <w:rsid w:val="009C35CF"/>
    <w:rsid w:val="009C43C1"/>
    <w:rsid w:val="009D35E1"/>
    <w:rsid w:val="009D3E87"/>
    <w:rsid w:val="009D45DD"/>
    <w:rsid w:val="009D55B0"/>
    <w:rsid w:val="009F26BF"/>
    <w:rsid w:val="009F5784"/>
    <w:rsid w:val="009F77A9"/>
    <w:rsid w:val="00A01FEB"/>
    <w:rsid w:val="00A040E3"/>
    <w:rsid w:val="00A149ED"/>
    <w:rsid w:val="00A14C98"/>
    <w:rsid w:val="00A15F6B"/>
    <w:rsid w:val="00A162CC"/>
    <w:rsid w:val="00A2046E"/>
    <w:rsid w:val="00A209DF"/>
    <w:rsid w:val="00A22DBF"/>
    <w:rsid w:val="00A23085"/>
    <w:rsid w:val="00A23887"/>
    <w:rsid w:val="00A257BF"/>
    <w:rsid w:val="00A265F6"/>
    <w:rsid w:val="00A33FF2"/>
    <w:rsid w:val="00A375FB"/>
    <w:rsid w:val="00A40240"/>
    <w:rsid w:val="00A427B7"/>
    <w:rsid w:val="00A42AD2"/>
    <w:rsid w:val="00A4363B"/>
    <w:rsid w:val="00A4446B"/>
    <w:rsid w:val="00A527F1"/>
    <w:rsid w:val="00A5285F"/>
    <w:rsid w:val="00A55906"/>
    <w:rsid w:val="00A56FAC"/>
    <w:rsid w:val="00A601FA"/>
    <w:rsid w:val="00A62266"/>
    <w:rsid w:val="00A63A99"/>
    <w:rsid w:val="00A6491F"/>
    <w:rsid w:val="00A721DC"/>
    <w:rsid w:val="00A74966"/>
    <w:rsid w:val="00A83639"/>
    <w:rsid w:val="00A87AEC"/>
    <w:rsid w:val="00A97DBC"/>
    <w:rsid w:val="00AA01CE"/>
    <w:rsid w:val="00AA4186"/>
    <w:rsid w:val="00AB5EC7"/>
    <w:rsid w:val="00AC306A"/>
    <w:rsid w:val="00AD20AF"/>
    <w:rsid w:val="00AD4C05"/>
    <w:rsid w:val="00AE04B8"/>
    <w:rsid w:val="00AE0BA4"/>
    <w:rsid w:val="00AE123E"/>
    <w:rsid w:val="00AE3E5D"/>
    <w:rsid w:val="00AE3F1D"/>
    <w:rsid w:val="00AE5664"/>
    <w:rsid w:val="00AE6185"/>
    <w:rsid w:val="00AF267B"/>
    <w:rsid w:val="00AF387D"/>
    <w:rsid w:val="00AF394B"/>
    <w:rsid w:val="00AF6A8B"/>
    <w:rsid w:val="00B00A50"/>
    <w:rsid w:val="00B031FA"/>
    <w:rsid w:val="00B14B3B"/>
    <w:rsid w:val="00B14DE1"/>
    <w:rsid w:val="00B16425"/>
    <w:rsid w:val="00B17711"/>
    <w:rsid w:val="00B20989"/>
    <w:rsid w:val="00B21ECB"/>
    <w:rsid w:val="00B257B8"/>
    <w:rsid w:val="00B35D61"/>
    <w:rsid w:val="00B36D5A"/>
    <w:rsid w:val="00B37A7E"/>
    <w:rsid w:val="00B42E34"/>
    <w:rsid w:val="00B52990"/>
    <w:rsid w:val="00B5306B"/>
    <w:rsid w:val="00B552AA"/>
    <w:rsid w:val="00B579EA"/>
    <w:rsid w:val="00B608E3"/>
    <w:rsid w:val="00B60AB1"/>
    <w:rsid w:val="00B62D52"/>
    <w:rsid w:val="00B630B0"/>
    <w:rsid w:val="00B63FEF"/>
    <w:rsid w:val="00B66681"/>
    <w:rsid w:val="00B67615"/>
    <w:rsid w:val="00B727DC"/>
    <w:rsid w:val="00B82EE6"/>
    <w:rsid w:val="00B917D5"/>
    <w:rsid w:val="00B937F7"/>
    <w:rsid w:val="00B9405C"/>
    <w:rsid w:val="00B9791E"/>
    <w:rsid w:val="00BA046E"/>
    <w:rsid w:val="00BA0C07"/>
    <w:rsid w:val="00BA2DD1"/>
    <w:rsid w:val="00BB1ED0"/>
    <w:rsid w:val="00BC0452"/>
    <w:rsid w:val="00BC33DF"/>
    <w:rsid w:val="00BC5396"/>
    <w:rsid w:val="00BC618C"/>
    <w:rsid w:val="00BC642F"/>
    <w:rsid w:val="00BC6F53"/>
    <w:rsid w:val="00BC789B"/>
    <w:rsid w:val="00BD4439"/>
    <w:rsid w:val="00BE0D64"/>
    <w:rsid w:val="00BF27F4"/>
    <w:rsid w:val="00BF78A1"/>
    <w:rsid w:val="00C0212C"/>
    <w:rsid w:val="00C03371"/>
    <w:rsid w:val="00C053B7"/>
    <w:rsid w:val="00C06591"/>
    <w:rsid w:val="00C07C33"/>
    <w:rsid w:val="00C07E75"/>
    <w:rsid w:val="00C108B7"/>
    <w:rsid w:val="00C109AE"/>
    <w:rsid w:val="00C11690"/>
    <w:rsid w:val="00C13CA1"/>
    <w:rsid w:val="00C14E2E"/>
    <w:rsid w:val="00C171A2"/>
    <w:rsid w:val="00C209F3"/>
    <w:rsid w:val="00C308DB"/>
    <w:rsid w:val="00C333B1"/>
    <w:rsid w:val="00C346D1"/>
    <w:rsid w:val="00C37543"/>
    <w:rsid w:val="00C51BAA"/>
    <w:rsid w:val="00C61E05"/>
    <w:rsid w:val="00C63714"/>
    <w:rsid w:val="00C645DA"/>
    <w:rsid w:val="00C71A0F"/>
    <w:rsid w:val="00C74B06"/>
    <w:rsid w:val="00C8357E"/>
    <w:rsid w:val="00C83A90"/>
    <w:rsid w:val="00C847DA"/>
    <w:rsid w:val="00C91A39"/>
    <w:rsid w:val="00C9215B"/>
    <w:rsid w:val="00C93D16"/>
    <w:rsid w:val="00CA0BC7"/>
    <w:rsid w:val="00CA5AAA"/>
    <w:rsid w:val="00CB42E3"/>
    <w:rsid w:val="00CB67D6"/>
    <w:rsid w:val="00CB6939"/>
    <w:rsid w:val="00CC42AA"/>
    <w:rsid w:val="00CC7758"/>
    <w:rsid w:val="00CD615E"/>
    <w:rsid w:val="00CE16A7"/>
    <w:rsid w:val="00CE41CC"/>
    <w:rsid w:val="00CE549E"/>
    <w:rsid w:val="00CF2356"/>
    <w:rsid w:val="00CF3323"/>
    <w:rsid w:val="00CF6B4A"/>
    <w:rsid w:val="00D11CEF"/>
    <w:rsid w:val="00D14924"/>
    <w:rsid w:val="00D1697C"/>
    <w:rsid w:val="00D17737"/>
    <w:rsid w:val="00D17E26"/>
    <w:rsid w:val="00D263CD"/>
    <w:rsid w:val="00D30110"/>
    <w:rsid w:val="00D3476B"/>
    <w:rsid w:val="00D34F05"/>
    <w:rsid w:val="00D47314"/>
    <w:rsid w:val="00D47A01"/>
    <w:rsid w:val="00D47A13"/>
    <w:rsid w:val="00D50361"/>
    <w:rsid w:val="00D518B4"/>
    <w:rsid w:val="00D53005"/>
    <w:rsid w:val="00D53E35"/>
    <w:rsid w:val="00D54817"/>
    <w:rsid w:val="00D558C0"/>
    <w:rsid w:val="00D609E9"/>
    <w:rsid w:val="00D61CD5"/>
    <w:rsid w:val="00D721C7"/>
    <w:rsid w:val="00D7272F"/>
    <w:rsid w:val="00D8269A"/>
    <w:rsid w:val="00D87583"/>
    <w:rsid w:val="00D913AE"/>
    <w:rsid w:val="00D92A67"/>
    <w:rsid w:val="00D94C1C"/>
    <w:rsid w:val="00D95AB3"/>
    <w:rsid w:val="00D96696"/>
    <w:rsid w:val="00D96A96"/>
    <w:rsid w:val="00DA0C4E"/>
    <w:rsid w:val="00DA2A81"/>
    <w:rsid w:val="00DA619D"/>
    <w:rsid w:val="00DB0C36"/>
    <w:rsid w:val="00DB3BF7"/>
    <w:rsid w:val="00DC2C47"/>
    <w:rsid w:val="00DC371A"/>
    <w:rsid w:val="00DC728C"/>
    <w:rsid w:val="00DC72AB"/>
    <w:rsid w:val="00DD13FF"/>
    <w:rsid w:val="00DD337E"/>
    <w:rsid w:val="00DD7D3A"/>
    <w:rsid w:val="00DD7F5B"/>
    <w:rsid w:val="00DE21AC"/>
    <w:rsid w:val="00DE338F"/>
    <w:rsid w:val="00DE3431"/>
    <w:rsid w:val="00DF2FA9"/>
    <w:rsid w:val="00DF39A5"/>
    <w:rsid w:val="00E01462"/>
    <w:rsid w:val="00E041A0"/>
    <w:rsid w:val="00E0660F"/>
    <w:rsid w:val="00E0662E"/>
    <w:rsid w:val="00E079E8"/>
    <w:rsid w:val="00E12EEB"/>
    <w:rsid w:val="00E1654D"/>
    <w:rsid w:val="00E16B23"/>
    <w:rsid w:val="00E17F72"/>
    <w:rsid w:val="00E22B4B"/>
    <w:rsid w:val="00E26CB7"/>
    <w:rsid w:val="00E31B61"/>
    <w:rsid w:val="00E402DC"/>
    <w:rsid w:val="00E41948"/>
    <w:rsid w:val="00E45096"/>
    <w:rsid w:val="00E45E78"/>
    <w:rsid w:val="00E47E06"/>
    <w:rsid w:val="00E5129F"/>
    <w:rsid w:val="00E55BBE"/>
    <w:rsid w:val="00E55EAC"/>
    <w:rsid w:val="00E60EDE"/>
    <w:rsid w:val="00E629A0"/>
    <w:rsid w:val="00E66687"/>
    <w:rsid w:val="00E668FE"/>
    <w:rsid w:val="00E66F13"/>
    <w:rsid w:val="00E67BB1"/>
    <w:rsid w:val="00E67C0D"/>
    <w:rsid w:val="00E71726"/>
    <w:rsid w:val="00E72C8B"/>
    <w:rsid w:val="00E74985"/>
    <w:rsid w:val="00E777EE"/>
    <w:rsid w:val="00E77A00"/>
    <w:rsid w:val="00E80A85"/>
    <w:rsid w:val="00E83657"/>
    <w:rsid w:val="00E84A61"/>
    <w:rsid w:val="00E854D4"/>
    <w:rsid w:val="00E8756A"/>
    <w:rsid w:val="00E94C40"/>
    <w:rsid w:val="00E96AC0"/>
    <w:rsid w:val="00E972A4"/>
    <w:rsid w:val="00EA00F3"/>
    <w:rsid w:val="00EB1105"/>
    <w:rsid w:val="00EB2E12"/>
    <w:rsid w:val="00EC6CB0"/>
    <w:rsid w:val="00EC6FBC"/>
    <w:rsid w:val="00EC70FC"/>
    <w:rsid w:val="00EC7735"/>
    <w:rsid w:val="00EC79B4"/>
    <w:rsid w:val="00EE7247"/>
    <w:rsid w:val="00EF136A"/>
    <w:rsid w:val="00EF36F6"/>
    <w:rsid w:val="00EF4104"/>
    <w:rsid w:val="00EF647B"/>
    <w:rsid w:val="00F01BB0"/>
    <w:rsid w:val="00F12384"/>
    <w:rsid w:val="00F1465C"/>
    <w:rsid w:val="00F15367"/>
    <w:rsid w:val="00F15858"/>
    <w:rsid w:val="00F20049"/>
    <w:rsid w:val="00F2134C"/>
    <w:rsid w:val="00F234EE"/>
    <w:rsid w:val="00F26429"/>
    <w:rsid w:val="00F27968"/>
    <w:rsid w:val="00F27F4B"/>
    <w:rsid w:val="00F303BB"/>
    <w:rsid w:val="00F31D28"/>
    <w:rsid w:val="00F32F5F"/>
    <w:rsid w:val="00F34E09"/>
    <w:rsid w:val="00F355DE"/>
    <w:rsid w:val="00F35FFC"/>
    <w:rsid w:val="00F4145F"/>
    <w:rsid w:val="00F4198C"/>
    <w:rsid w:val="00F47E85"/>
    <w:rsid w:val="00F53CD4"/>
    <w:rsid w:val="00F551CD"/>
    <w:rsid w:val="00F60043"/>
    <w:rsid w:val="00F62800"/>
    <w:rsid w:val="00F62BB4"/>
    <w:rsid w:val="00F62FB9"/>
    <w:rsid w:val="00F63535"/>
    <w:rsid w:val="00F65BF4"/>
    <w:rsid w:val="00F672D1"/>
    <w:rsid w:val="00F72662"/>
    <w:rsid w:val="00F73AD5"/>
    <w:rsid w:val="00F8315C"/>
    <w:rsid w:val="00F852EF"/>
    <w:rsid w:val="00F91110"/>
    <w:rsid w:val="00F91729"/>
    <w:rsid w:val="00FA2AD8"/>
    <w:rsid w:val="00FC39CB"/>
    <w:rsid w:val="00FC52E9"/>
    <w:rsid w:val="00FC535A"/>
    <w:rsid w:val="00FC5417"/>
    <w:rsid w:val="00FC580C"/>
    <w:rsid w:val="00FD090B"/>
    <w:rsid w:val="00FE01D3"/>
    <w:rsid w:val="00FE383B"/>
    <w:rsid w:val="00FF532E"/>
    <w:rsid w:val="00FF54A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ountry-region"/>
  <w:smartTagType w:namespaceuri="urn:schemas-microsoft-com:office:smarttags" w:name="PersonNam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uiPriority="0"/>
    <w:lsdException w:name="footer" w:uiPriority="0"/>
    <w:lsdException w:name="caption" w:locked="1" w:semiHidden="0" w:uiPriority="0" w:unhideWhenUsed="0" w:qFormat="1"/>
    <w:lsdException w:name="footnote reference" w:uiPriority="0"/>
    <w:lsdException w:name="page number" w:uiPriority="0"/>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CF1"/>
    <w:pPr>
      <w:spacing w:after="240"/>
      <w:jc w:val="both"/>
    </w:pPr>
    <w:rPr>
      <w:rFonts w:ascii="Arial" w:hAnsi="Arial"/>
      <w:sz w:val="20"/>
      <w:lang w:eastAsia="en-US"/>
    </w:rPr>
  </w:style>
  <w:style w:type="paragraph" w:styleId="Heading1">
    <w:name w:val="heading 1"/>
    <w:basedOn w:val="Normal"/>
    <w:next w:val="Normal"/>
    <w:link w:val="Heading1Char"/>
    <w:uiPriority w:val="99"/>
    <w:qFormat/>
    <w:rsid w:val="00C13C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D47314"/>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C13CA1"/>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13CA1"/>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D47314"/>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C13CA1"/>
    <w:rPr>
      <w:rFonts w:ascii="Cambria" w:hAnsi="Cambria" w:cs="Times New Roman"/>
      <w:b/>
      <w:bCs/>
      <w:color w:val="4F81BD"/>
      <w:sz w:val="20"/>
    </w:rPr>
  </w:style>
  <w:style w:type="paragraph" w:styleId="ListParagraph">
    <w:name w:val="List Paragraph"/>
    <w:basedOn w:val="Normal"/>
    <w:link w:val="ListParagraphChar"/>
    <w:uiPriority w:val="99"/>
    <w:qFormat/>
    <w:rsid w:val="00DE21AC"/>
    <w:pPr>
      <w:ind w:left="720"/>
      <w:contextualSpacing/>
    </w:pPr>
  </w:style>
  <w:style w:type="paragraph" w:customStyle="1" w:styleId="KMHNumberHeading1">
    <w:name w:val="KMH Number Heading 1"/>
    <w:basedOn w:val="ListParagraph"/>
    <w:uiPriority w:val="99"/>
    <w:rsid w:val="00180D64"/>
    <w:pPr>
      <w:spacing w:before="360" w:after="120"/>
      <w:ind w:left="502" w:hanging="360"/>
      <w:jc w:val="left"/>
    </w:pPr>
    <w:rPr>
      <w:rFonts w:cs="Arial"/>
      <w:b/>
      <w:color w:val="235F2A"/>
      <w:sz w:val="40"/>
      <w:szCs w:val="28"/>
    </w:rPr>
  </w:style>
  <w:style w:type="paragraph" w:customStyle="1" w:styleId="KMHNumberHeading2">
    <w:name w:val="KMH Number Heading 2"/>
    <w:basedOn w:val="ListParagraph"/>
    <w:next w:val="Normal"/>
    <w:link w:val="KMHNumberHeading2Char"/>
    <w:uiPriority w:val="99"/>
    <w:rsid w:val="00223466"/>
    <w:pPr>
      <w:spacing w:before="180" w:after="0"/>
      <w:ind w:left="574" w:hanging="432"/>
    </w:pPr>
    <w:rPr>
      <w:rFonts w:cs="Arial"/>
      <w:b/>
      <w:color w:val="235F2A"/>
      <w:sz w:val="24"/>
      <w:szCs w:val="24"/>
    </w:rPr>
  </w:style>
  <w:style w:type="character" w:styleId="PlaceholderText">
    <w:name w:val="Placeholder Text"/>
    <w:basedOn w:val="DefaultParagraphFont"/>
    <w:uiPriority w:val="99"/>
    <w:semiHidden/>
    <w:rsid w:val="005C057B"/>
    <w:rPr>
      <w:rFonts w:cs="Times New Roman"/>
      <w:color w:val="808080"/>
    </w:rPr>
  </w:style>
  <w:style w:type="paragraph" w:styleId="BalloonText">
    <w:name w:val="Balloon Text"/>
    <w:basedOn w:val="Normal"/>
    <w:link w:val="BalloonTextChar"/>
    <w:uiPriority w:val="99"/>
    <w:semiHidden/>
    <w:rsid w:val="005C057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C057B"/>
    <w:rPr>
      <w:rFonts w:ascii="Tahoma" w:hAnsi="Tahoma" w:cs="Tahoma"/>
      <w:sz w:val="16"/>
      <w:szCs w:val="16"/>
    </w:rPr>
  </w:style>
  <w:style w:type="paragraph" w:styleId="Header">
    <w:name w:val="header"/>
    <w:basedOn w:val="Normal"/>
    <w:link w:val="HeaderChar"/>
    <w:rsid w:val="000A1DAC"/>
    <w:pPr>
      <w:tabs>
        <w:tab w:val="center" w:pos="4680"/>
        <w:tab w:val="right" w:pos="9360"/>
      </w:tabs>
      <w:spacing w:after="0"/>
    </w:pPr>
  </w:style>
  <w:style w:type="character" w:customStyle="1" w:styleId="HeaderChar">
    <w:name w:val="Header Char"/>
    <w:basedOn w:val="DefaultParagraphFont"/>
    <w:link w:val="Header"/>
    <w:uiPriority w:val="99"/>
    <w:locked/>
    <w:rsid w:val="000A1DAC"/>
    <w:rPr>
      <w:rFonts w:cs="Times New Roman"/>
    </w:rPr>
  </w:style>
  <w:style w:type="paragraph" w:styleId="Footer">
    <w:name w:val="footer"/>
    <w:basedOn w:val="Normal"/>
    <w:link w:val="FooterChar"/>
    <w:rsid w:val="000A1DAC"/>
    <w:pPr>
      <w:tabs>
        <w:tab w:val="center" w:pos="4680"/>
        <w:tab w:val="right" w:pos="9360"/>
      </w:tabs>
      <w:spacing w:after="0"/>
    </w:pPr>
  </w:style>
  <w:style w:type="character" w:customStyle="1" w:styleId="FooterChar">
    <w:name w:val="Footer Char"/>
    <w:basedOn w:val="DefaultParagraphFont"/>
    <w:link w:val="Footer"/>
    <w:uiPriority w:val="99"/>
    <w:locked/>
    <w:rsid w:val="000A1DAC"/>
    <w:rPr>
      <w:rFonts w:cs="Times New Roman"/>
    </w:rPr>
  </w:style>
  <w:style w:type="paragraph" w:customStyle="1" w:styleId="KMHHeading1">
    <w:name w:val="KMH Heading 1"/>
    <w:basedOn w:val="Normal"/>
    <w:uiPriority w:val="99"/>
    <w:rsid w:val="005B207B"/>
    <w:pPr>
      <w:spacing w:after="120"/>
    </w:pPr>
    <w:rPr>
      <w:rFonts w:cs="Arial"/>
      <w:b/>
      <w:color w:val="235F2A"/>
      <w:sz w:val="28"/>
      <w:szCs w:val="28"/>
    </w:rPr>
  </w:style>
  <w:style w:type="paragraph" w:customStyle="1" w:styleId="KMHSubheader">
    <w:name w:val="KMH Sub header"/>
    <w:basedOn w:val="KMHHeading1"/>
    <w:uiPriority w:val="99"/>
    <w:rsid w:val="00E854D4"/>
    <w:pPr>
      <w:spacing w:before="240" w:after="360"/>
    </w:pPr>
    <w:rPr>
      <w:b w:val="0"/>
    </w:rPr>
  </w:style>
  <w:style w:type="paragraph" w:customStyle="1" w:styleId="TableHeading">
    <w:name w:val="Table Heading"/>
    <w:basedOn w:val="Normal"/>
    <w:uiPriority w:val="99"/>
    <w:rsid w:val="00700D68"/>
    <w:pPr>
      <w:pBdr>
        <w:bottom w:val="single" w:sz="6" w:space="1" w:color="D9D9D9"/>
      </w:pBdr>
      <w:spacing w:before="200" w:line="300" w:lineRule="auto"/>
    </w:pPr>
    <w:rPr>
      <w:rFonts w:cs="Arial"/>
      <w:b/>
      <w:color w:val="404040"/>
      <w:sz w:val="18"/>
      <w:lang w:eastAsia="en-AU"/>
    </w:rPr>
  </w:style>
  <w:style w:type="paragraph" w:customStyle="1" w:styleId="TableColumnHeading">
    <w:name w:val="Table Column Heading"/>
    <w:basedOn w:val="Normal"/>
    <w:next w:val="Normal"/>
    <w:uiPriority w:val="99"/>
    <w:rsid w:val="00F60043"/>
    <w:pPr>
      <w:shd w:val="clear" w:color="auto" w:fill="CCECD0"/>
      <w:spacing w:after="0"/>
      <w:jc w:val="center"/>
    </w:pPr>
    <w:rPr>
      <w:rFonts w:cs="Arial"/>
      <w:b/>
      <w:color w:val="404040"/>
      <w:sz w:val="18"/>
      <w:szCs w:val="18"/>
      <w:lang w:eastAsia="en-AU"/>
    </w:rPr>
  </w:style>
  <w:style w:type="paragraph" w:customStyle="1" w:styleId="TableText">
    <w:name w:val="Table Text"/>
    <w:basedOn w:val="Normal"/>
    <w:next w:val="Normal"/>
    <w:uiPriority w:val="99"/>
    <w:rsid w:val="00700D68"/>
    <w:pPr>
      <w:spacing w:after="0"/>
      <w:contextualSpacing/>
    </w:pPr>
    <w:rPr>
      <w:rFonts w:cs="Arial"/>
      <w:color w:val="404040"/>
      <w:sz w:val="18"/>
      <w:lang w:eastAsia="en-AU"/>
    </w:rPr>
  </w:style>
  <w:style w:type="paragraph" w:customStyle="1" w:styleId="KMHTitleAppendix">
    <w:name w:val="KMH Title Appendix"/>
    <w:basedOn w:val="KMHNumberHeading1"/>
    <w:uiPriority w:val="99"/>
    <w:rsid w:val="000057EA"/>
    <w:pPr>
      <w:pBdr>
        <w:bottom w:val="single" w:sz="4" w:space="1" w:color="auto"/>
      </w:pBdr>
      <w:spacing w:before="0" w:after="200"/>
      <w:ind w:left="0" w:firstLine="0"/>
      <w:jc w:val="right"/>
    </w:pPr>
  </w:style>
  <w:style w:type="paragraph" w:customStyle="1" w:styleId="KMHAppendixSubHeader">
    <w:name w:val="KMH Appendix Sub Header"/>
    <w:basedOn w:val="KMHTitleAppendix"/>
    <w:uiPriority w:val="99"/>
    <w:rsid w:val="00077CF1"/>
    <w:rPr>
      <w:sz w:val="24"/>
      <w:szCs w:val="24"/>
    </w:rPr>
  </w:style>
  <w:style w:type="character" w:styleId="Hyperlink">
    <w:name w:val="Hyperlink"/>
    <w:basedOn w:val="DefaultParagraphFont"/>
    <w:uiPriority w:val="99"/>
    <w:rsid w:val="006E7254"/>
    <w:rPr>
      <w:rFonts w:cs="Times New Roman"/>
      <w:color w:val="0000FF"/>
      <w:u w:val="single"/>
    </w:rPr>
  </w:style>
  <w:style w:type="paragraph" w:styleId="TOC1">
    <w:name w:val="toc 1"/>
    <w:basedOn w:val="Normal"/>
    <w:next w:val="Normal"/>
    <w:autoRedefine/>
    <w:uiPriority w:val="39"/>
    <w:rsid w:val="00346A88"/>
    <w:pPr>
      <w:spacing w:before="240" w:after="120"/>
      <w:jc w:val="left"/>
    </w:pPr>
    <w:rPr>
      <w:b/>
      <w:bCs/>
      <w:szCs w:val="20"/>
    </w:rPr>
  </w:style>
  <w:style w:type="paragraph" w:styleId="TOC2">
    <w:name w:val="toc 2"/>
    <w:basedOn w:val="Normal"/>
    <w:next w:val="Normal"/>
    <w:autoRedefine/>
    <w:uiPriority w:val="39"/>
    <w:rsid w:val="009A5453"/>
    <w:pPr>
      <w:tabs>
        <w:tab w:val="left" w:pos="1418"/>
        <w:tab w:val="right" w:leader="dot" w:pos="9062"/>
      </w:tabs>
      <w:spacing w:before="120" w:after="0"/>
      <w:ind w:left="720"/>
      <w:jc w:val="left"/>
    </w:pPr>
    <w:rPr>
      <w:iCs/>
      <w:szCs w:val="20"/>
    </w:rPr>
  </w:style>
  <w:style w:type="paragraph" w:customStyle="1" w:styleId="KMHTOCHeader">
    <w:name w:val="KMH TOC Header"/>
    <w:basedOn w:val="TOC1"/>
    <w:uiPriority w:val="99"/>
    <w:rsid w:val="00E67C0D"/>
    <w:rPr>
      <w:b w:val="0"/>
      <w:noProof/>
    </w:rPr>
  </w:style>
  <w:style w:type="paragraph" w:styleId="Caption">
    <w:name w:val="caption"/>
    <w:basedOn w:val="Normal"/>
    <w:next w:val="Normal"/>
    <w:uiPriority w:val="99"/>
    <w:qFormat/>
    <w:rsid w:val="00D8269A"/>
    <w:pPr>
      <w:spacing w:after="200"/>
    </w:pPr>
    <w:rPr>
      <w:b/>
      <w:bCs/>
      <w:color w:val="235F2A"/>
      <w:sz w:val="18"/>
      <w:szCs w:val="18"/>
    </w:rPr>
  </w:style>
  <w:style w:type="paragraph" w:customStyle="1" w:styleId="BulletListLevel1">
    <w:name w:val="Bullet List Level 1"/>
    <w:basedOn w:val="ListParagraph"/>
    <w:uiPriority w:val="99"/>
    <w:rsid w:val="001616AB"/>
    <w:pPr>
      <w:numPr>
        <w:numId w:val="2"/>
      </w:numPr>
      <w:spacing w:after="0"/>
      <w:ind w:left="357" w:hanging="357"/>
    </w:pPr>
  </w:style>
  <w:style w:type="paragraph" w:customStyle="1" w:styleId="BulletLevel2">
    <w:name w:val="Bullet Level 2"/>
    <w:basedOn w:val="ListParagraph"/>
    <w:uiPriority w:val="99"/>
    <w:rsid w:val="001616AB"/>
    <w:pPr>
      <w:spacing w:after="0"/>
      <w:ind w:left="850" w:hanging="425"/>
    </w:pPr>
  </w:style>
  <w:style w:type="paragraph" w:customStyle="1" w:styleId="BulletLevel3">
    <w:name w:val="Bullet Level 3"/>
    <w:basedOn w:val="ListParagraph"/>
    <w:uiPriority w:val="99"/>
    <w:rsid w:val="001616AB"/>
    <w:pPr>
      <w:spacing w:after="0"/>
      <w:ind w:left="1276" w:hanging="425"/>
    </w:pPr>
  </w:style>
  <w:style w:type="paragraph" w:customStyle="1" w:styleId="BulletLevel4">
    <w:name w:val="Bullet Level 4"/>
    <w:basedOn w:val="BulletLevel3"/>
    <w:uiPriority w:val="99"/>
    <w:rsid w:val="001616AB"/>
    <w:pPr>
      <w:ind w:left="1701"/>
    </w:pPr>
  </w:style>
  <w:style w:type="paragraph" w:customStyle="1" w:styleId="BulletLevel5">
    <w:name w:val="Bullet Level 5"/>
    <w:basedOn w:val="BulletLevel4"/>
    <w:uiPriority w:val="99"/>
    <w:rsid w:val="001616AB"/>
    <w:pPr>
      <w:ind w:left="2126"/>
    </w:pPr>
  </w:style>
  <w:style w:type="paragraph" w:customStyle="1" w:styleId="BulletLevel6">
    <w:name w:val="Bullet Level 6"/>
    <w:basedOn w:val="BulletLevel5"/>
    <w:uiPriority w:val="99"/>
    <w:rsid w:val="001616AB"/>
    <w:pPr>
      <w:ind w:left="2552"/>
    </w:pPr>
  </w:style>
  <w:style w:type="paragraph" w:customStyle="1" w:styleId="BulletLevel7">
    <w:name w:val="Bullet Level 7"/>
    <w:basedOn w:val="BulletLevel6"/>
    <w:uiPriority w:val="99"/>
    <w:rsid w:val="009F26BF"/>
    <w:pPr>
      <w:ind w:left="2977"/>
    </w:pPr>
  </w:style>
  <w:style w:type="paragraph" w:styleId="TOC3">
    <w:name w:val="toc 3"/>
    <w:basedOn w:val="Normal"/>
    <w:next w:val="Normal"/>
    <w:autoRedefine/>
    <w:uiPriority w:val="99"/>
    <w:rsid w:val="009A5453"/>
    <w:pPr>
      <w:spacing w:after="0"/>
      <w:ind w:left="720"/>
      <w:jc w:val="left"/>
    </w:pPr>
    <w:rPr>
      <w:szCs w:val="20"/>
    </w:rPr>
  </w:style>
  <w:style w:type="paragraph" w:styleId="TOC4">
    <w:name w:val="toc 4"/>
    <w:basedOn w:val="Normal"/>
    <w:next w:val="Normal"/>
    <w:autoRedefine/>
    <w:uiPriority w:val="99"/>
    <w:rsid w:val="00D47314"/>
    <w:pPr>
      <w:spacing w:after="0"/>
      <w:ind w:left="600"/>
      <w:jc w:val="left"/>
    </w:pPr>
    <w:rPr>
      <w:rFonts w:ascii="Calibri" w:hAnsi="Calibri"/>
      <w:szCs w:val="20"/>
    </w:rPr>
  </w:style>
  <w:style w:type="paragraph" w:styleId="TOC5">
    <w:name w:val="toc 5"/>
    <w:basedOn w:val="Normal"/>
    <w:next w:val="Normal"/>
    <w:autoRedefine/>
    <w:uiPriority w:val="99"/>
    <w:rsid w:val="00D47314"/>
    <w:pPr>
      <w:spacing w:after="0"/>
      <w:ind w:left="800"/>
      <w:jc w:val="left"/>
    </w:pPr>
    <w:rPr>
      <w:rFonts w:ascii="Calibri" w:hAnsi="Calibri"/>
      <w:szCs w:val="20"/>
    </w:rPr>
  </w:style>
  <w:style w:type="paragraph" w:styleId="TOC6">
    <w:name w:val="toc 6"/>
    <w:basedOn w:val="Normal"/>
    <w:next w:val="Normal"/>
    <w:autoRedefine/>
    <w:uiPriority w:val="99"/>
    <w:rsid w:val="00D47314"/>
    <w:pPr>
      <w:spacing w:after="0"/>
      <w:ind w:left="1000"/>
      <w:jc w:val="left"/>
    </w:pPr>
    <w:rPr>
      <w:rFonts w:ascii="Calibri" w:hAnsi="Calibri"/>
      <w:szCs w:val="20"/>
    </w:rPr>
  </w:style>
  <w:style w:type="paragraph" w:styleId="TOC7">
    <w:name w:val="toc 7"/>
    <w:basedOn w:val="Normal"/>
    <w:next w:val="Normal"/>
    <w:autoRedefine/>
    <w:uiPriority w:val="99"/>
    <w:rsid w:val="00D47314"/>
    <w:pPr>
      <w:spacing w:after="0"/>
      <w:ind w:left="1200"/>
      <w:jc w:val="left"/>
    </w:pPr>
    <w:rPr>
      <w:rFonts w:ascii="Calibri" w:hAnsi="Calibri"/>
      <w:szCs w:val="20"/>
    </w:rPr>
  </w:style>
  <w:style w:type="paragraph" w:styleId="TOC8">
    <w:name w:val="toc 8"/>
    <w:basedOn w:val="Normal"/>
    <w:next w:val="Normal"/>
    <w:autoRedefine/>
    <w:uiPriority w:val="99"/>
    <w:rsid w:val="00D47314"/>
    <w:pPr>
      <w:spacing w:after="0"/>
      <w:ind w:left="1400"/>
      <w:jc w:val="left"/>
    </w:pPr>
    <w:rPr>
      <w:rFonts w:ascii="Calibri" w:hAnsi="Calibri"/>
      <w:szCs w:val="20"/>
    </w:rPr>
  </w:style>
  <w:style w:type="paragraph" w:styleId="TOC9">
    <w:name w:val="toc 9"/>
    <w:basedOn w:val="Normal"/>
    <w:next w:val="Normal"/>
    <w:autoRedefine/>
    <w:uiPriority w:val="99"/>
    <w:rsid w:val="00D47314"/>
    <w:pPr>
      <w:spacing w:after="0"/>
      <w:ind w:left="1600"/>
      <w:jc w:val="left"/>
    </w:pPr>
    <w:rPr>
      <w:rFonts w:ascii="Calibri" w:hAnsi="Calibri"/>
      <w:szCs w:val="20"/>
    </w:rPr>
  </w:style>
  <w:style w:type="paragraph" w:styleId="TableofFigures">
    <w:name w:val="table of figures"/>
    <w:basedOn w:val="Normal"/>
    <w:next w:val="Normal"/>
    <w:uiPriority w:val="99"/>
    <w:rsid w:val="007A401B"/>
    <w:pPr>
      <w:spacing w:after="0" w:line="360" w:lineRule="auto"/>
      <w:ind w:left="442" w:hanging="442"/>
      <w:jc w:val="left"/>
    </w:pPr>
    <w:rPr>
      <w:bCs/>
      <w:szCs w:val="20"/>
    </w:rPr>
  </w:style>
  <w:style w:type="paragraph" w:customStyle="1" w:styleId="11KMHNumberHeading2">
    <w:name w:val="1.1 KMH Number Heading 2"/>
    <w:basedOn w:val="KMHNumberHeading2"/>
    <w:uiPriority w:val="99"/>
    <w:rsid w:val="00584DC6"/>
    <w:pPr>
      <w:outlineLvl w:val="1"/>
    </w:pPr>
  </w:style>
  <w:style w:type="paragraph" w:customStyle="1" w:styleId="KMHNumberHeading3">
    <w:name w:val="KMH Number Heading 3"/>
    <w:basedOn w:val="11KMHNumberHeading2"/>
    <w:next w:val="Normal"/>
    <w:uiPriority w:val="99"/>
    <w:rsid w:val="00584DC6"/>
    <w:pPr>
      <w:numPr>
        <w:ilvl w:val="2"/>
      </w:numPr>
      <w:ind w:left="788" w:hanging="504"/>
    </w:pPr>
  </w:style>
  <w:style w:type="paragraph" w:customStyle="1" w:styleId="KMHLevel4NoNumberHeading">
    <w:name w:val="KMH Level 4 No Number Heading"/>
    <w:basedOn w:val="Normal"/>
    <w:next w:val="Normal"/>
    <w:uiPriority w:val="99"/>
    <w:rsid w:val="00A265F6"/>
    <w:pPr>
      <w:spacing w:after="0"/>
      <w:jc w:val="left"/>
    </w:pPr>
    <w:rPr>
      <w:b/>
    </w:rPr>
  </w:style>
  <w:style w:type="paragraph" w:customStyle="1" w:styleId="AppendixSubheader">
    <w:name w:val="Appendix Sub header"/>
    <w:basedOn w:val="KMHSubheader"/>
    <w:uiPriority w:val="99"/>
    <w:rsid w:val="008050D4"/>
    <w:pPr>
      <w:jc w:val="right"/>
      <w:outlineLvl w:val="1"/>
    </w:pPr>
  </w:style>
  <w:style w:type="paragraph" w:customStyle="1" w:styleId="KMHNumberheading20">
    <w:name w:val="KMH Number heading 2"/>
    <w:basedOn w:val="KMHNumberHeading2"/>
    <w:link w:val="KMHNumberheading2Char0"/>
    <w:uiPriority w:val="99"/>
    <w:rsid w:val="00223466"/>
  </w:style>
  <w:style w:type="paragraph" w:styleId="Quote">
    <w:name w:val="Quote"/>
    <w:basedOn w:val="Normal"/>
    <w:next w:val="Normal"/>
    <w:link w:val="QuoteChar"/>
    <w:uiPriority w:val="99"/>
    <w:qFormat/>
    <w:rsid w:val="00223466"/>
    <w:rPr>
      <w:i/>
      <w:iCs/>
      <w:color w:val="000000"/>
    </w:rPr>
  </w:style>
  <w:style w:type="character" w:customStyle="1" w:styleId="QuoteChar">
    <w:name w:val="Quote Char"/>
    <w:basedOn w:val="DefaultParagraphFont"/>
    <w:link w:val="Quote"/>
    <w:uiPriority w:val="99"/>
    <w:locked/>
    <w:rsid w:val="00223466"/>
    <w:rPr>
      <w:rFonts w:ascii="Arial" w:hAnsi="Arial" w:cs="Times New Roman"/>
      <w:i/>
      <w:iCs/>
      <w:color w:val="000000"/>
      <w:sz w:val="20"/>
    </w:rPr>
  </w:style>
  <w:style w:type="character" w:customStyle="1" w:styleId="ListParagraphChar">
    <w:name w:val="List Paragraph Char"/>
    <w:basedOn w:val="DefaultParagraphFont"/>
    <w:link w:val="ListParagraph"/>
    <w:uiPriority w:val="99"/>
    <w:locked/>
    <w:rsid w:val="00223466"/>
    <w:rPr>
      <w:rFonts w:ascii="Arial" w:hAnsi="Arial" w:cs="Times New Roman"/>
      <w:sz w:val="20"/>
    </w:rPr>
  </w:style>
  <w:style w:type="character" w:customStyle="1" w:styleId="KMHNumberHeading2Char">
    <w:name w:val="KMH Number Heading 2 Char"/>
    <w:basedOn w:val="ListParagraphChar"/>
    <w:link w:val="KMHNumberHeading2"/>
    <w:uiPriority w:val="99"/>
    <w:locked/>
    <w:rsid w:val="00223466"/>
    <w:rPr>
      <w:rFonts w:cs="Arial"/>
      <w:b/>
      <w:color w:val="235F2A"/>
      <w:sz w:val="24"/>
      <w:szCs w:val="24"/>
      <w:lang w:eastAsia="en-US"/>
    </w:rPr>
  </w:style>
  <w:style w:type="character" w:customStyle="1" w:styleId="KMHNumberheading2Char0">
    <w:name w:val="KMH Number heading 2 Char"/>
    <w:basedOn w:val="KMHNumberHeading2Char"/>
    <w:link w:val="KMHNumberheading20"/>
    <w:uiPriority w:val="99"/>
    <w:locked/>
    <w:rsid w:val="00223466"/>
  </w:style>
  <w:style w:type="table" w:styleId="TableGrid">
    <w:name w:val="Table Grid"/>
    <w:basedOn w:val="TableNormal"/>
    <w:uiPriority w:val="99"/>
    <w:rsid w:val="00F6004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KMHsubtitleappendix">
    <w:name w:val="KMH sub title appendix"/>
    <w:basedOn w:val="Normal"/>
    <w:link w:val="KMHsubtitleappendixChar"/>
    <w:uiPriority w:val="99"/>
    <w:rsid w:val="000057EA"/>
    <w:pPr>
      <w:jc w:val="right"/>
    </w:pPr>
    <w:rPr>
      <w:color w:val="235F2A"/>
      <w:sz w:val="28"/>
      <w:szCs w:val="28"/>
    </w:rPr>
  </w:style>
  <w:style w:type="character" w:customStyle="1" w:styleId="KMHsubtitleappendixChar">
    <w:name w:val="KMH sub title appendix Char"/>
    <w:basedOn w:val="DefaultParagraphFont"/>
    <w:link w:val="KMHsubtitleappendix"/>
    <w:uiPriority w:val="99"/>
    <w:locked/>
    <w:rsid w:val="000057EA"/>
    <w:rPr>
      <w:rFonts w:ascii="Arial" w:hAnsi="Arial" w:cs="Times New Roman"/>
      <w:color w:val="235F2A"/>
      <w:sz w:val="28"/>
      <w:szCs w:val="28"/>
      <w:lang w:eastAsia="en-US"/>
    </w:rPr>
  </w:style>
  <w:style w:type="paragraph" w:styleId="BodyText">
    <w:name w:val="Body Text"/>
    <w:basedOn w:val="Normal"/>
    <w:link w:val="BodyTextChar"/>
    <w:uiPriority w:val="99"/>
    <w:rsid w:val="00667B68"/>
    <w:pPr>
      <w:spacing w:line="240" w:lineRule="atLeast"/>
      <w:ind w:left="1080"/>
    </w:pPr>
    <w:rPr>
      <w:rFonts w:eastAsia="Times New Roman"/>
      <w:spacing w:val="-5"/>
      <w:szCs w:val="20"/>
    </w:rPr>
  </w:style>
  <w:style w:type="character" w:customStyle="1" w:styleId="BodyTextChar">
    <w:name w:val="Body Text Char"/>
    <w:basedOn w:val="DefaultParagraphFont"/>
    <w:link w:val="BodyText"/>
    <w:uiPriority w:val="99"/>
    <w:locked/>
    <w:rsid w:val="00667B68"/>
    <w:rPr>
      <w:rFonts w:ascii="Arial" w:hAnsi="Arial" w:cs="Times New Roman"/>
      <w:spacing w:val="-5"/>
      <w:lang w:eastAsia="en-US"/>
    </w:rPr>
  </w:style>
  <w:style w:type="paragraph" w:styleId="ListBullet">
    <w:name w:val="List Bullet"/>
    <w:basedOn w:val="BodyText"/>
    <w:uiPriority w:val="99"/>
    <w:rsid w:val="00B552AA"/>
    <w:pPr>
      <w:numPr>
        <w:numId w:val="13"/>
      </w:numPr>
      <w:tabs>
        <w:tab w:val="clear" w:pos="926"/>
        <w:tab w:val="num" w:pos="720"/>
      </w:tabs>
      <w:spacing w:after="130" w:line="240" w:lineRule="auto"/>
      <w:ind w:left="720"/>
    </w:pPr>
    <w:rPr>
      <w:rFonts w:ascii="Times New Roman" w:hAnsi="Times New Roman"/>
      <w:spacing w:val="0"/>
      <w:sz w:val="22"/>
    </w:rPr>
  </w:style>
  <w:style w:type="paragraph" w:styleId="EndnoteText">
    <w:name w:val="endnote text"/>
    <w:basedOn w:val="Normal"/>
    <w:link w:val="EndnoteTextChar"/>
    <w:uiPriority w:val="99"/>
    <w:semiHidden/>
    <w:rsid w:val="002217B9"/>
    <w:pPr>
      <w:spacing w:after="0"/>
    </w:pPr>
    <w:rPr>
      <w:szCs w:val="20"/>
    </w:rPr>
  </w:style>
  <w:style w:type="character" w:customStyle="1" w:styleId="EndnoteTextChar">
    <w:name w:val="Endnote Text Char"/>
    <w:basedOn w:val="DefaultParagraphFont"/>
    <w:link w:val="EndnoteText"/>
    <w:uiPriority w:val="99"/>
    <w:semiHidden/>
    <w:locked/>
    <w:rsid w:val="002217B9"/>
    <w:rPr>
      <w:rFonts w:ascii="Arial" w:hAnsi="Arial" w:cs="Times New Roman"/>
      <w:lang w:eastAsia="en-US"/>
    </w:rPr>
  </w:style>
  <w:style w:type="character" w:styleId="EndnoteReference">
    <w:name w:val="endnote reference"/>
    <w:basedOn w:val="DefaultParagraphFont"/>
    <w:uiPriority w:val="99"/>
    <w:semiHidden/>
    <w:rsid w:val="002217B9"/>
    <w:rPr>
      <w:rFonts w:cs="Times New Roman"/>
      <w:vertAlign w:val="superscript"/>
    </w:rPr>
  </w:style>
  <w:style w:type="paragraph" w:styleId="FootnoteText">
    <w:name w:val="footnote text"/>
    <w:basedOn w:val="Normal"/>
    <w:link w:val="FootnoteTextChar"/>
    <w:semiHidden/>
    <w:rsid w:val="002217B9"/>
    <w:pPr>
      <w:spacing w:after="0"/>
    </w:pPr>
    <w:rPr>
      <w:szCs w:val="20"/>
    </w:rPr>
  </w:style>
  <w:style w:type="character" w:customStyle="1" w:styleId="FootnoteTextChar">
    <w:name w:val="Footnote Text Char"/>
    <w:basedOn w:val="DefaultParagraphFont"/>
    <w:link w:val="FootnoteText"/>
    <w:uiPriority w:val="99"/>
    <w:semiHidden/>
    <w:locked/>
    <w:rsid w:val="002217B9"/>
    <w:rPr>
      <w:rFonts w:ascii="Arial" w:hAnsi="Arial" w:cs="Times New Roman"/>
      <w:lang w:eastAsia="en-US"/>
    </w:rPr>
  </w:style>
  <w:style w:type="character" w:styleId="FootnoteReference">
    <w:name w:val="footnote reference"/>
    <w:aliases w:val="16 Point,Superscript 6 Point"/>
    <w:basedOn w:val="DefaultParagraphFont"/>
    <w:semiHidden/>
    <w:rsid w:val="002217B9"/>
    <w:rPr>
      <w:rFonts w:cs="Times New Roman"/>
      <w:vertAlign w:val="superscript"/>
    </w:rPr>
  </w:style>
  <w:style w:type="character" w:styleId="FollowedHyperlink">
    <w:name w:val="FollowedHyperlink"/>
    <w:basedOn w:val="DefaultParagraphFont"/>
    <w:uiPriority w:val="99"/>
    <w:semiHidden/>
    <w:rsid w:val="003A44AF"/>
    <w:rPr>
      <w:rFonts w:cs="Times New Roman"/>
      <w:color w:val="800080"/>
      <w:u w:val="single"/>
    </w:rPr>
  </w:style>
  <w:style w:type="character" w:styleId="CommentReference">
    <w:name w:val="annotation reference"/>
    <w:basedOn w:val="DefaultParagraphFont"/>
    <w:uiPriority w:val="99"/>
    <w:semiHidden/>
    <w:rsid w:val="00E0660F"/>
    <w:rPr>
      <w:rFonts w:cs="Times New Roman"/>
      <w:sz w:val="16"/>
      <w:szCs w:val="16"/>
    </w:rPr>
  </w:style>
  <w:style w:type="paragraph" w:styleId="CommentText">
    <w:name w:val="annotation text"/>
    <w:basedOn w:val="Normal"/>
    <w:link w:val="CommentTextChar"/>
    <w:uiPriority w:val="99"/>
    <w:semiHidden/>
    <w:rsid w:val="00E0660F"/>
    <w:rPr>
      <w:szCs w:val="20"/>
    </w:rPr>
  </w:style>
  <w:style w:type="character" w:customStyle="1" w:styleId="CommentTextChar">
    <w:name w:val="Comment Text Char"/>
    <w:basedOn w:val="DefaultParagraphFont"/>
    <w:link w:val="CommentText"/>
    <w:uiPriority w:val="99"/>
    <w:semiHidden/>
    <w:locked/>
    <w:rsid w:val="00894E3A"/>
    <w:rPr>
      <w:rFonts w:ascii="Arial" w:hAnsi="Arial" w:cs="Times New Roman"/>
      <w:sz w:val="20"/>
      <w:szCs w:val="20"/>
      <w:lang w:eastAsia="en-US"/>
    </w:rPr>
  </w:style>
  <w:style w:type="paragraph" w:styleId="CommentSubject">
    <w:name w:val="annotation subject"/>
    <w:basedOn w:val="CommentText"/>
    <w:next w:val="CommentText"/>
    <w:link w:val="CommentSubjectChar"/>
    <w:uiPriority w:val="99"/>
    <w:semiHidden/>
    <w:rsid w:val="00E0660F"/>
    <w:rPr>
      <w:b/>
      <w:bCs/>
    </w:rPr>
  </w:style>
  <w:style w:type="character" w:customStyle="1" w:styleId="CommentSubjectChar">
    <w:name w:val="Comment Subject Char"/>
    <w:basedOn w:val="CommentTextChar"/>
    <w:link w:val="CommentSubject"/>
    <w:uiPriority w:val="99"/>
    <w:semiHidden/>
    <w:locked/>
    <w:rsid w:val="00894E3A"/>
    <w:rPr>
      <w:b/>
      <w:bCs/>
    </w:rPr>
  </w:style>
  <w:style w:type="numbering" w:customStyle="1" w:styleId="Style1">
    <w:name w:val="Style1"/>
    <w:rsid w:val="00893A6A"/>
    <w:pPr>
      <w:numPr>
        <w:numId w:val="1"/>
      </w:numPr>
    </w:pPr>
  </w:style>
  <w:style w:type="character" w:styleId="PageNumber">
    <w:name w:val="page number"/>
    <w:basedOn w:val="DefaultParagraphFont"/>
    <w:rsid w:val="00F852EF"/>
  </w:style>
  <w:style w:type="paragraph" w:customStyle="1" w:styleId="Default">
    <w:name w:val="Default"/>
    <w:rsid w:val="00F852EF"/>
    <w:pPr>
      <w:autoSpaceDE w:val="0"/>
      <w:autoSpaceDN w:val="0"/>
      <w:adjustRightInd w:val="0"/>
    </w:pPr>
    <w:rPr>
      <w:rFonts w:ascii="Arial" w:hAnsi="Arial" w:cs="Arial"/>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233660034">
      <w:bodyDiv w:val="1"/>
      <w:marLeft w:val="0"/>
      <w:marRight w:val="0"/>
      <w:marTop w:val="0"/>
      <w:marBottom w:val="0"/>
      <w:divBdr>
        <w:top w:val="none" w:sz="0" w:space="0" w:color="auto"/>
        <w:left w:val="none" w:sz="0" w:space="0" w:color="auto"/>
        <w:bottom w:val="none" w:sz="0" w:space="0" w:color="auto"/>
        <w:right w:val="none" w:sz="0" w:space="0" w:color="auto"/>
      </w:divBdr>
    </w:div>
    <w:div w:id="378477383">
      <w:marLeft w:val="0"/>
      <w:marRight w:val="0"/>
      <w:marTop w:val="0"/>
      <w:marBottom w:val="0"/>
      <w:divBdr>
        <w:top w:val="none" w:sz="0" w:space="0" w:color="auto"/>
        <w:left w:val="none" w:sz="0" w:space="0" w:color="auto"/>
        <w:bottom w:val="none" w:sz="0" w:space="0" w:color="auto"/>
        <w:right w:val="none" w:sz="0" w:space="0" w:color="auto"/>
      </w:divBdr>
    </w:div>
    <w:div w:id="378477384">
      <w:marLeft w:val="0"/>
      <w:marRight w:val="0"/>
      <w:marTop w:val="0"/>
      <w:marBottom w:val="0"/>
      <w:divBdr>
        <w:top w:val="none" w:sz="0" w:space="0" w:color="auto"/>
        <w:left w:val="none" w:sz="0" w:space="0" w:color="auto"/>
        <w:bottom w:val="none" w:sz="0" w:space="0" w:color="auto"/>
        <w:right w:val="none" w:sz="0" w:space="0" w:color="auto"/>
      </w:divBdr>
      <w:divsChild>
        <w:div w:id="378477391">
          <w:marLeft w:val="0"/>
          <w:marRight w:val="0"/>
          <w:marTop w:val="0"/>
          <w:marBottom w:val="0"/>
          <w:divBdr>
            <w:top w:val="none" w:sz="0" w:space="0" w:color="auto"/>
            <w:left w:val="none" w:sz="0" w:space="0" w:color="auto"/>
            <w:bottom w:val="none" w:sz="0" w:space="0" w:color="auto"/>
            <w:right w:val="none" w:sz="0" w:space="0" w:color="auto"/>
          </w:divBdr>
          <w:divsChild>
            <w:div w:id="378477394">
              <w:marLeft w:val="0"/>
              <w:marRight w:val="300"/>
              <w:marTop w:val="0"/>
              <w:marBottom w:val="480"/>
              <w:divBdr>
                <w:top w:val="none" w:sz="0" w:space="0" w:color="auto"/>
                <w:left w:val="none" w:sz="0" w:space="0" w:color="auto"/>
                <w:bottom w:val="none" w:sz="0" w:space="0" w:color="auto"/>
                <w:right w:val="none" w:sz="0" w:space="0" w:color="auto"/>
              </w:divBdr>
              <w:divsChild>
                <w:div w:id="378477386">
                  <w:marLeft w:val="0"/>
                  <w:marRight w:val="0"/>
                  <w:marTop w:val="0"/>
                  <w:marBottom w:val="0"/>
                  <w:divBdr>
                    <w:top w:val="none" w:sz="0" w:space="0" w:color="auto"/>
                    <w:left w:val="none" w:sz="0" w:space="0" w:color="auto"/>
                    <w:bottom w:val="none" w:sz="0" w:space="0" w:color="auto"/>
                    <w:right w:val="none" w:sz="0" w:space="0" w:color="auto"/>
                  </w:divBdr>
                  <w:divsChild>
                    <w:div w:id="3784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477385">
      <w:marLeft w:val="0"/>
      <w:marRight w:val="0"/>
      <w:marTop w:val="0"/>
      <w:marBottom w:val="0"/>
      <w:divBdr>
        <w:top w:val="none" w:sz="0" w:space="0" w:color="auto"/>
        <w:left w:val="none" w:sz="0" w:space="0" w:color="auto"/>
        <w:bottom w:val="none" w:sz="0" w:space="0" w:color="auto"/>
        <w:right w:val="none" w:sz="0" w:space="0" w:color="auto"/>
      </w:divBdr>
    </w:div>
    <w:div w:id="378477387">
      <w:marLeft w:val="0"/>
      <w:marRight w:val="0"/>
      <w:marTop w:val="0"/>
      <w:marBottom w:val="0"/>
      <w:divBdr>
        <w:top w:val="none" w:sz="0" w:space="0" w:color="auto"/>
        <w:left w:val="none" w:sz="0" w:space="0" w:color="auto"/>
        <w:bottom w:val="none" w:sz="0" w:space="0" w:color="auto"/>
        <w:right w:val="none" w:sz="0" w:space="0" w:color="auto"/>
      </w:divBdr>
    </w:div>
    <w:div w:id="378477388">
      <w:marLeft w:val="0"/>
      <w:marRight w:val="0"/>
      <w:marTop w:val="0"/>
      <w:marBottom w:val="0"/>
      <w:divBdr>
        <w:top w:val="none" w:sz="0" w:space="0" w:color="auto"/>
        <w:left w:val="none" w:sz="0" w:space="0" w:color="auto"/>
        <w:bottom w:val="none" w:sz="0" w:space="0" w:color="auto"/>
        <w:right w:val="none" w:sz="0" w:space="0" w:color="auto"/>
      </w:divBdr>
    </w:div>
    <w:div w:id="378477389">
      <w:marLeft w:val="0"/>
      <w:marRight w:val="0"/>
      <w:marTop w:val="0"/>
      <w:marBottom w:val="0"/>
      <w:divBdr>
        <w:top w:val="none" w:sz="0" w:space="0" w:color="auto"/>
        <w:left w:val="none" w:sz="0" w:space="0" w:color="auto"/>
        <w:bottom w:val="none" w:sz="0" w:space="0" w:color="auto"/>
        <w:right w:val="none" w:sz="0" w:space="0" w:color="auto"/>
      </w:divBdr>
    </w:div>
    <w:div w:id="378477390">
      <w:marLeft w:val="0"/>
      <w:marRight w:val="0"/>
      <w:marTop w:val="0"/>
      <w:marBottom w:val="0"/>
      <w:divBdr>
        <w:top w:val="none" w:sz="0" w:space="0" w:color="auto"/>
        <w:left w:val="none" w:sz="0" w:space="0" w:color="auto"/>
        <w:bottom w:val="none" w:sz="0" w:space="0" w:color="auto"/>
        <w:right w:val="none" w:sz="0" w:space="0" w:color="auto"/>
      </w:divBdr>
    </w:div>
    <w:div w:id="378477392">
      <w:marLeft w:val="0"/>
      <w:marRight w:val="0"/>
      <w:marTop w:val="0"/>
      <w:marBottom w:val="0"/>
      <w:divBdr>
        <w:top w:val="none" w:sz="0" w:space="0" w:color="auto"/>
        <w:left w:val="none" w:sz="0" w:space="0" w:color="auto"/>
        <w:bottom w:val="none" w:sz="0" w:space="0" w:color="auto"/>
        <w:right w:val="none" w:sz="0" w:space="0" w:color="auto"/>
      </w:divBdr>
    </w:div>
    <w:div w:id="3784773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www.safeworkaustralia.gov.au" TargetMode="External"/><Relationship Id="rId26" Type="http://schemas.openxmlformats.org/officeDocument/2006/relationships/image" Target="media/image6.emf"/><Relationship Id="rId39" Type="http://schemas.openxmlformats.org/officeDocument/2006/relationships/footer" Target="footer11.xml"/><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image" Target="media/image11.emf"/><Relationship Id="rId42" Type="http://schemas.openxmlformats.org/officeDocument/2006/relationships/footer" Target="footer14.xm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emf"/><Relationship Id="rId33" Type="http://schemas.openxmlformats.org/officeDocument/2006/relationships/footer" Target="footer7.xml"/><Relationship Id="rId38" Type="http://schemas.openxmlformats.org/officeDocument/2006/relationships/footer" Target="footer10.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9.wmf"/><Relationship Id="rId41"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header" Target="header8.xml"/><Relationship Id="rId37" Type="http://schemas.openxmlformats.org/officeDocument/2006/relationships/footer" Target="footer9.xml"/><Relationship Id="rId40" Type="http://schemas.openxmlformats.org/officeDocument/2006/relationships/footer" Target="footer12.xml"/><Relationship Id="rId45" Type="http://schemas.openxmlformats.org/officeDocument/2006/relationships/footer" Target="footer17.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8.png"/><Relationship Id="rId36" Type="http://schemas.openxmlformats.org/officeDocument/2006/relationships/footer" Target="footer8.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http://www.safeworkaustralia.gov.au" TargetMode="External"/><Relationship Id="rId44"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header" Target="header9.xml"/><Relationship Id="rId43"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122</Pages>
  <Words>36998</Words>
  <Characters>209327</Characters>
  <Application>Microsoft Office Word</Application>
  <DocSecurity>0</DocSecurity>
  <Lines>1744</Lines>
  <Paragraphs>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dc:creator>
  <cp:keywords/>
  <dc:description/>
  <cp:lastModifiedBy>Cathy McGowan</cp:lastModifiedBy>
  <cp:revision>3</cp:revision>
  <cp:lastPrinted>2011-03-04T05:10:00Z</cp:lastPrinted>
  <dcterms:created xsi:type="dcterms:W3CDTF">2011-07-08T02:41:00Z</dcterms:created>
  <dcterms:modified xsi:type="dcterms:W3CDTF">2012-01-02T21:40:00Z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1012499057</vt:i4>
  </property>
</Properties>
</file>