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5F2A" w14:textId="77777777" w:rsidR="00F46BD8" w:rsidRDefault="00F46BD8" w:rsidP="00F46BD8"/>
    <w:p w14:paraId="06AC9166" w14:textId="77777777" w:rsidR="00F46BD8" w:rsidRDefault="00F46BD8" w:rsidP="00F46BD8"/>
    <w:p w14:paraId="25529FF1" w14:textId="77777777" w:rsidR="00F46BD8" w:rsidRPr="00671A63" w:rsidRDefault="00F46BD8" w:rsidP="005D44A9">
      <w:pPr>
        <w:pStyle w:val="Heading1"/>
      </w:pPr>
      <w:r w:rsidRPr="00B40BC4">
        <w:rPr>
          <w:lang w:val="en"/>
        </w:rPr>
        <w:t>Revised guidelines for the introduction of exotic biological control agents for the control of weeds and plant pests</w:t>
      </w:r>
    </w:p>
    <w:p w14:paraId="6DCEA8A1" w14:textId="77777777" w:rsidR="00F46BD8" w:rsidRPr="005C5DA7" w:rsidRDefault="00F46BD8" w:rsidP="00F46BD8"/>
    <w:p w14:paraId="2C281EA7" w14:textId="77777777" w:rsidR="00F46BD8" w:rsidRDefault="00F46BD8" w:rsidP="00F46BD8">
      <w:pPr>
        <w:pStyle w:val="Heading2"/>
      </w:pPr>
      <w:r>
        <w:t>Step 1: Approval of the target species as a candidate for biological control</w:t>
      </w:r>
    </w:p>
    <w:p w14:paraId="1A2CB161" w14:textId="77777777" w:rsidR="00F46BD8" w:rsidRDefault="00F46BD8" w:rsidP="009431DF">
      <w:pPr>
        <w:pStyle w:val="Heading3"/>
      </w:pPr>
      <w:r>
        <w:t>Responsibility: Proponent</w:t>
      </w:r>
    </w:p>
    <w:p w14:paraId="3F9D9F5E" w14:textId="77777777" w:rsidR="00F46BD8" w:rsidRDefault="00F46BD8" w:rsidP="009431DF">
      <w:pPr>
        <w:pStyle w:val="Heading3"/>
      </w:pPr>
      <w:r>
        <w:t xml:space="preserve">Approval: </w:t>
      </w:r>
      <w:r w:rsidR="00993B6D">
        <w:t>Environment and Invasives</w:t>
      </w:r>
      <w:r w:rsidRPr="002E16B2">
        <w:t xml:space="preserve"> Committee or Plant Health Committee</w:t>
      </w:r>
    </w:p>
    <w:p w14:paraId="1CF7BDC8" w14:textId="77777777" w:rsidR="00F46BD8" w:rsidRDefault="00F46BD8" w:rsidP="00F46BD8">
      <w:pPr>
        <w:rPr>
          <w:lang w:val="en"/>
        </w:rPr>
      </w:pPr>
      <w:r w:rsidRPr="00B40BC4">
        <w:rPr>
          <w:lang w:val="en"/>
        </w:rPr>
        <w:t xml:space="preserve">For the biological control of weeds, the weed species must be submitted to the </w:t>
      </w:r>
      <w:hyperlink r:id="rId9" w:history="1">
        <w:r w:rsidR="003217E5" w:rsidRPr="003217E5">
          <w:rPr>
            <w:rStyle w:val="Hyperlink"/>
            <w:lang w:val="en"/>
          </w:rPr>
          <w:t>Environment</w:t>
        </w:r>
        <w:r w:rsidR="003217E5" w:rsidRPr="003217E5">
          <w:rPr>
            <w:rStyle w:val="Hyperlink"/>
          </w:rPr>
          <w:t xml:space="preserve"> and Invasives Committee</w:t>
        </w:r>
      </w:hyperlink>
      <w:r w:rsidR="003217E5">
        <w:t xml:space="preserve"> (EIC)</w:t>
      </w:r>
      <w:r w:rsidRPr="00B40BC4">
        <w:rPr>
          <w:lang w:val="en"/>
        </w:rPr>
        <w:t xml:space="preserve"> for approval as a target.</w:t>
      </w:r>
    </w:p>
    <w:p w14:paraId="673852F5" w14:textId="77777777" w:rsidR="00F46BD8" w:rsidRPr="00B40BC4" w:rsidRDefault="00F46BD8" w:rsidP="00F46BD8">
      <w:pPr>
        <w:rPr>
          <w:lang w:val="en"/>
        </w:rPr>
      </w:pPr>
    </w:p>
    <w:p w14:paraId="76D36EC5" w14:textId="77777777" w:rsidR="00F46BD8" w:rsidRDefault="00F46BD8" w:rsidP="00F46BD8">
      <w:pPr>
        <w:rPr>
          <w:lang w:val="en"/>
        </w:rPr>
      </w:pPr>
      <w:r w:rsidRPr="00B40BC4">
        <w:rPr>
          <w:lang w:val="en"/>
        </w:rPr>
        <w:t xml:space="preserve">Approval for invertebrate pest species or pathogens as candidate targets for biological control should be sought through the </w:t>
      </w:r>
      <w:hyperlink r:id="rId10" w:history="1">
        <w:r w:rsidRPr="00B40BC4">
          <w:rPr>
            <w:rStyle w:val="Hyperlink"/>
            <w:lang w:val="en"/>
          </w:rPr>
          <w:t>Plant Health Committee</w:t>
        </w:r>
      </w:hyperlink>
      <w:r w:rsidRPr="00B40BC4">
        <w:rPr>
          <w:lang w:val="en"/>
        </w:rPr>
        <w:t xml:space="preserve"> (PHC).</w:t>
      </w:r>
    </w:p>
    <w:p w14:paraId="284D7FBE" w14:textId="77777777" w:rsidR="00F46BD8" w:rsidRPr="00B40BC4" w:rsidRDefault="00F46BD8" w:rsidP="00F46BD8">
      <w:pPr>
        <w:rPr>
          <w:lang w:val="en"/>
        </w:rPr>
      </w:pPr>
    </w:p>
    <w:p w14:paraId="402A5F62" w14:textId="77777777" w:rsidR="00F46BD8" w:rsidRDefault="00F46BD8" w:rsidP="00F46BD8">
      <w:pPr>
        <w:rPr>
          <w:lang w:val="en"/>
        </w:rPr>
      </w:pPr>
      <w:r w:rsidRPr="00B40BC4">
        <w:rPr>
          <w:lang w:val="en"/>
        </w:rPr>
        <w:t>This can be done at any time during the process, but the target must be approved before permission to release a biological control agent is sought.</w:t>
      </w:r>
    </w:p>
    <w:p w14:paraId="349A17C1" w14:textId="77777777" w:rsidR="00A1004C" w:rsidRDefault="00A1004C" w:rsidP="00F46BD8"/>
    <w:p w14:paraId="168E2933" w14:textId="77777777" w:rsidR="00F46BD8" w:rsidRDefault="00F46BD8" w:rsidP="00F46BD8"/>
    <w:p w14:paraId="66CF3416" w14:textId="77777777" w:rsidR="00F46BD8" w:rsidRDefault="00F46BD8" w:rsidP="00F46BD8">
      <w:pPr>
        <w:pStyle w:val="Heading2"/>
      </w:pPr>
      <w:r>
        <w:t>Step 2: Offshore research on possible agents</w:t>
      </w:r>
    </w:p>
    <w:p w14:paraId="360E106D" w14:textId="77777777" w:rsidR="00F46BD8" w:rsidRDefault="00F46BD8" w:rsidP="009431DF">
      <w:pPr>
        <w:pStyle w:val="Heading3"/>
      </w:pPr>
      <w:r>
        <w:t>Responsibility: Proponent</w:t>
      </w:r>
    </w:p>
    <w:p w14:paraId="5498F6AB" w14:textId="77777777" w:rsidR="00F46BD8" w:rsidRDefault="00F46BD8" w:rsidP="009431DF">
      <w:pPr>
        <w:pStyle w:val="Heading3"/>
      </w:pPr>
      <w:r>
        <w:t>Approval: none</w:t>
      </w:r>
    </w:p>
    <w:p w14:paraId="0B3BEC7E" w14:textId="77777777" w:rsidR="00F46BD8" w:rsidRDefault="00F46BD8" w:rsidP="00F46BD8">
      <w:r>
        <w:t>The proponent usually searches for potential biological control agents (BCA</w:t>
      </w:r>
      <w:r w:rsidR="00DF2C91">
        <w:t>s</w:t>
      </w:r>
      <w:r>
        <w:t>) in the natural range of the target species. Often, some specificity testing is conducted offshore.</w:t>
      </w:r>
    </w:p>
    <w:p w14:paraId="14EC669B" w14:textId="77777777" w:rsidR="00F46BD8" w:rsidRDefault="00F46BD8" w:rsidP="00F46BD8"/>
    <w:p w14:paraId="4C291110" w14:textId="77777777" w:rsidR="00F46BD8" w:rsidRDefault="00F46BD8" w:rsidP="00F46BD8"/>
    <w:p w14:paraId="5E807AF6" w14:textId="77777777" w:rsidR="00F46BD8" w:rsidRDefault="00F46BD8" w:rsidP="00F46BD8">
      <w:pPr>
        <w:pStyle w:val="Heading2"/>
      </w:pPr>
      <w:r>
        <w:t>Step 3: Host-specificity test list</w:t>
      </w:r>
    </w:p>
    <w:p w14:paraId="01FA1BA5" w14:textId="77777777" w:rsidR="00F46BD8" w:rsidRDefault="00F46BD8" w:rsidP="009431DF">
      <w:pPr>
        <w:pStyle w:val="Heading3"/>
      </w:pPr>
      <w:r>
        <w:t>Responsibility: Proponent</w:t>
      </w:r>
    </w:p>
    <w:p w14:paraId="7303281C" w14:textId="77777777" w:rsidR="00F46BD8" w:rsidRDefault="00F46BD8" w:rsidP="009431DF">
      <w:pPr>
        <w:pStyle w:val="Heading3"/>
      </w:pPr>
      <w:r>
        <w:t>Approval: none</w:t>
      </w:r>
    </w:p>
    <w:p w14:paraId="5B26A997" w14:textId="5E4BABCD" w:rsidR="00F46BD8" w:rsidRPr="00B40BC4" w:rsidRDefault="00F46BD8" w:rsidP="00F46BD8">
      <w:pPr>
        <w:rPr>
          <w:lang w:val="en"/>
        </w:rPr>
      </w:pPr>
      <w:r w:rsidRPr="00B40BC4">
        <w:rPr>
          <w:lang w:val="en"/>
        </w:rPr>
        <w:t xml:space="preserve">The proponent takes responsibility for the development and </w:t>
      </w:r>
      <w:proofErr w:type="spellStart"/>
      <w:r w:rsidRPr="00B40BC4">
        <w:rPr>
          <w:lang w:val="en"/>
        </w:rPr>
        <w:t>finalisation</w:t>
      </w:r>
      <w:proofErr w:type="spellEnd"/>
      <w:r w:rsidRPr="00B40BC4">
        <w:rPr>
          <w:lang w:val="en"/>
        </w:rPr>
        <w:t xml:space="preserve"> of the host-specificity test list. There is no formal approval process through the Department of</w:t>
      </w:r>
      <w:r w:rsidR="005F0F17">
        <w:rPr>
          <w:lang w:val="en"/>
        </w:rPr>
        <w:t xml:space="preserve"> Agriculture</w:t>
      </w:r>
      <w:r w:rsidR="00E4723E">
        <w:rPr>
          <w:lang w:val="en"/>
        </w:rPr>
        <w:t xml:space="preserve">, </w:t>
      </w:r>
      <w:r w:rsidR="003A5EA1">
        <w:rPr>
          <w:lang w:val="en"/>
        </w:rPr>
        <w:t>Fisheries</w:t>
      </w:r>
      <w:r w:rsidR="00E4723E">
        <w:rPr>
          <w:lang w:val="en"/>
        </w:rPr>
        <w:t xml:space="preserve"> and </w:t>
      </w:r>
      <w:r w:rsidR="003A5EA1">
        <w:rPr>
          <w:lang w:val="en"/>
        </w:rPr>
        <w:t>Forestry</w:t>
      </w:r>
      <w:r w:rsidR="005B0144">
        <w:rPr>
          <w:lang w:val="en"/>
        </w:rPr>
        <w:t xml:space="preserve"> (the department)</w:t>
      </w:r>
      <w:r w:rsidRPr="00B40BC4">
        <w:rPr>
          <w:lang w:val="en"/>
        </w:rPr>
        <w:t>. Applicants are advised to employ the available expertise in Australia’s Commonwealth, State and Territory agencies as well as any other relevant expert opinion when preparing host test lists and developing testing methodologies for a biological control agent.</w:t>
      </w:r>
    </w:p>
    <w:p w14:paraId="7544FA84" w14:textId="77777777" w:rsidR="00F46BD8" w:rsidRDefault="00F46BD8" w:rsidP="00F46BD8">
      <w:pPr>
        <w:rPr>
          <w:lang w:val="en"/>
        </w:rPr>
      </w:pPr>
    </w:p>
    <w:p w14:paraId="724B9309" w14:textId="6D9AFAE8" w:rsidR="00F46BD8" w:rsidRDefault="00F46BD8" w:rsidP="00F46BD8">
      <w:pPr>
        <w:rPr>
          <w:lang w:val="en"/>
        </w:rPr>
      </w:pPr>
      <w:r w:rsidRPr="00B40BC4">
        <w:rPr>
          <w:lang w:val="en"/>
        </w:rPr>
        <w:t>If requested by the proponent, the department can assist this process by publishing proposed host test lists and procedures for a candidate biological control agent on the department's​website. Proponents are strongly encouraged to make use of this facility.</w:t>
      </w:r>
      <w:r w:rsidR="00F810AC">
        <w:rPr>
          <w:lang w:val="en"/>
        </w:rPr>
        <w:t xml:space="preserve"> All host test lists for publishing on the department’s website should be emailed </w:t>
      </w:r>
      <w:r w:rsidR="00FF6202">
        <w:rPr>
          <w:lang w:val="en"/>
        </w:rPr>
        <w:t xml:space="preserve">(Attention: Plant Import Operations – Research team – Host test list for comment) </w:t>
      </w:r>
      <w:r w:rsidR="00F810AC">
        <w:rPr>
          <w:lang w:val="en"/>
        </w:rPr>
        <w:t>to</w:t>
      </w:r>
      <w:r w:rsidR="00032939">
        <w:rPr>
          <w:lang w:val="en"/>
        </w:rPr>
        <w:t xml:space="preserve"> the</w:t>
      </w:r>
      <w:r w:rsidR="00F810AC">
        <w:rPr>
          <w:lang w:val="en"/>
        </w:rPr>
        <w:t xml:space="preserve"> </w:t>
      </w:r>
      <w:hyperlink r:id="rId11" w:history="1">
        <w:r w:rsidR="00032939" w:rsidRPr="00032939">
          <w:rPr>
            <w:rStyle w:val="Hyperlink"/>
          </w:rPr>
          <w:t>Department of Agriculture</w:t>
        </w:r>
        <w:r w:rsidR="00E4723E">
          <w:rPr>
            <w:rStyle w:val="Hyperlink"/>
          </w:rPr>
          <w:t xml:space="preserve">, </w:t>
        </w:r>
        <w:r w:rsidR="003A5EA1">
          <w:rPr>
            <w:rStyle w:val="Hyperlink"/>
          </w:rPr>
          <w:t xml:space="preserve">Fisheries </w:t>
        </w:r>
        <w:r w:rsidR="00E4723E">
          <w:rPr>
            <w:rStyle w:val="Hyperlink"/>
          </w:rPr>
          <w:t xml:space="preserve">and </w:t>
        </w:r>
        <w:r w:rsidR="003A5EA1">
          <w:rPr>
            <w:rStyle w:val="Hyperlink"/>
          </w:rPr>
          <w:t>Forestry</w:t>
        </w:r>
        <w:r w:rsidR="00FF6202">
          <w:rPr>
            <w:rStyle w:val="Hyperlink"/>
          </w:rPr>
          <w:t>.</w:t>
        </w:r>
        <w:r w:rsidR="00032939" w:rsidRPr="00032939">
          <w:rPr>
            <w:rStyle w:val="Hyperlink"/>
          </w:rPr>
          <w:t xml:space="preserve"> </w:t>
        </w:r>
      </w:hyperlink>
    </w:p>
    <w:p w14:paraId="5854AE7D" w14:textId="77777777" w:rsidR="00F46BD8" w:rsidRPr="00B40BC4" w:rsidRDefault="00F46BD8" w:rsidP="00F46BD8">
      <w:pPr>
        <w:rPr>
          <w:lang w:val="en"/>
        </w:rPr>
      </w:pPr>
    </w:p>
    <w:p w14:paraId="43B6D2BE" w14:textId="77777777" w:rsidR="004F1C29" w:rsidRDefault="004F1C29" w:rsidP="00F46BD8">
      <w:pPr>
        <w:rPr>
          <w:b/>
          <w:lang w:val="en"/>
        </w:rPr>
      </w:pPr>
    </w:p>
    <w:p w14:paraId="57BF9AFD" w14:textId="77777777" w:rsidR="004F1C29" w:rsidRDefault="004F1C29" w:rsidP="00F46BD8">
      <w:pPr>
        <w:rPr>
          <w:b/>
          <w:lang w:val="en"/>
        </w:rPr>
      </w:pPr>
    </w:p>
    <w:p w14:paraId="6CA9BF30" w14:textId="77777777" w:rsidR="004F1C29" w:rsidRDefault="004F1C29" w:rsidP="00F46BD8">
      <w:pPr>
        <w:rPr>
          <w:b/>
          <w:lang w:val="en"/>
        </w:rPr>
      </w:pPr>
    </w:p>
    <w:p w14:paraId="47188820" w14:textId="77777777" w:rsidR="004F1C29" w:rsidRDefault="004F1C29" w:rsidP="00F46BD8">
      <w:pPr>
        <w:rPr>
          <w:b/>
          <w:lang w:val="en"/>
        </w:rPr>
      </w:pPr>
    </w:p>
    <w:p w14:paraId="132B1EDA" w14:textId="77777777" w:rsidR="00F46BD8" w:rsidRDefault="00F46BD8" w:rsidP="00F46BD8">
      <w:pPr>
        <w:rPr>
          <w:b/>
          <w:lang w:val="en"/>
        </w:rPr>
      </w:pPr>
      <w:r w:rsidRPr="00B40BC4">
        <w:rPr>
          <w:b/>
          <w:lang w:val="en"/>
        </w:rPr>
        <w:lastRenderedPageBreak/>
        <w:t>Selection and testing of non-target test species</w:t>
      </w:r>
    </w:p>
    <w:p w14:paraId="784B41E5" w14:textId="77777777" w:rsidR="00F46BD8" w:rsidRPr="00B40BC4" w:rsidRDefault="00F46BD8" w:rsidP="00F46BD8">
      <w:pPr>
        <w:rPr>
          <w:b/>
          <w:lang w:val="en"/>
        </w:rPr>
      </w:pPr>
    </w:p>
    <w:p w14:paraId="7A2BF0F0" w14:textId="77777777" w:rsidR="00D00E63" w:rsidRDefault="00D00E63" w:rsidP="00F46BD8">
      <w:pPr>
        <w:numPr>
          <w:ilvl w:val="0"/>
          <w:numId w:val="12"/>
        </w:numPr>
      </w:pPr>
      <w:r w:rsidRPr="00D00E63">
        <w:t xml:space="preserve">Selection of non-target plant species for testing should be consistent with </w:t>
      </w:r>
      <w:proofErr w:type="spellStart"/>
      <w:r w:rsidRPr="00D00E63">
        <w:t>Wapshere’s</w:t>
      </w:r>
      <w:proofErr w:type="spellEnd"/>
      <w:r w:rsidRPr="00D00E63">
        <w:t xml:space="preserve"> (1974) “Centrifugal Phylogenetic Method” and modernisations of this method, including </w:t>
      </w:r>
      <w:proofErr w:type="spellStart"/>
      <w:r w:rsidRPr="00D00E63">
        <w:t>Briese</w:t>
      </w:r>
      <w:proofErr w:type="spellEnd"/>
      <w:r w:rsidRPr="00D00E63">
        <w:t xml:space="preserve"> 2003, 2005 and/or Sheppard et al. 2005, or other texts that consider species relationships and potential aspects of selection of non-target test species. Non-target test lists should include species in the target species’ tribe, genus, subfamily, </w:t>
      </w:r>
      <w:proofErr w:type="gramStart"/>
      <w:r w:rsidRPr="00D00E63">
        <w:t>family</w:t>
      </w:r>
      <w:proofErr w:type="gramEnd"/>
      <w:r w:rsidRPr="00D00E63">
        <w:t xml:space="preserve"> and related families. More broadly, testing might also include related orders, as appropriate.</w:t>
      </w:r>
    </w:p>
    <w:p w14:paraId="02C7260C" w14:textId="77777777" w:rsidR="005F5348" w:rsidRDefault="005F5348" w:rsidP="00176009">
      <w:pPr>
        <w:ind w:left="720"/>
      </w:pPr>
    </w:p>
    <w:p w14:paraId="2D0B3B67" w14:textId="77777777" w:rsidR="005F5348" w:rsidRDefault="005F5348" w:rsidP="005F5348">
      <w:pPr>
        <w:ind w:left="1134" w:hanging="414"/>
      </w:pPr>
      <w:r w:rsidRPr="00E2250C">
        <w:t>a.</w:t>
      </w:r>
      <w:r w:rsidRPr="00E2250C">
        <w:tab/>
        <w:t xml:space="preserve">The process of selection of non-target species should include consideration of native species, </w:t>
      </w:r>
      <w:proofErr w:type="gramStart"/>
      <w:r w:rsidRPr="00E2250C">
        <w:t>agriculturally-important</w:t>
      </w:r>
      <w:proofErr w:type="gramEnd"/>
      <w:r w:rsidRPr="00E2250C">
        <w:t xml:space="preserve"> species, and amenity species (including horticultural, nursery, landscaping and environmentally significant species).</w:t>
      </w:r>
    </w:p>
    <w:p w14:paraId="22F2BC3C" w14:textId="77777777" w:rsidR="00F46BD8" w:rsidRPr="00B40BC4" w:rsidRDefault="00F46BD8" w:rsidP="00176009">
      <w:pPr>
        <w:ind w:left="720"/>
      </w:pPr>
    </w:p>
    <w:p w14:paraId="552BFDCC" w14:textId="77777777" w:rsidR="00F46BD8" w:rsidRDefault="00D00E63" w:rsidP="00F46BD8">
      <w:pPr>
        <w:numPr>
          <w:ilvl w:val="0"/>
          <w:numId w:val="12"/>
        </w:numPr>
      </w:pPr>
      <w:r w:rsidRPr="00D00E63">
        <w:t>For the selection and testing of non-target species for arthropod biological control agents, there are other requirements that should be addressed. Non-target test lists for arthropod biological control agents should be based on currently accepted methods, such a</w:t>
      </w:r>
      <w:r w:rsidR="00DC605B">
        <w:t xml:space="preserve">s those outlined in </w:t>
      </w:r>
      <w:r w:rsidRPr="00D00E63">
        <w:t>Barratt et al</w:t>
      </w:r>
      <w:r w:rsidR="00BB6DF5">
        <w:t>.</w:t>
      </w:r>
      <w:r w:rsidRPr="00D00E63">
        <w:t xml:space="preserve"> 2007.</w:t>
      </w:r>
    </w:p>
    <w:p w14:paraId="13B45733" w14:textId="77777777" w:rsidR="00F46BD8" w:rsidRPr="00B40BC4" w:rsidRDefault="00F46BD8" w:rsidP="00F46BD8">
      <w:pPr>
        <w:ind w:left="360"/>
      </w:pPr>
    </w:p>
    <w:p w14:paraId="0881FC13" w14:textId="77777777" w:rsidR="00F46BD8" w:rsidRDefault="00F46BD8" w:rsidP="00F46BD8"/>
    <w:p w14:paraId="7DB00F62" w14:textId="77777777" w:rsidR="00F46BD8" w:rsidRDefault="00F46BD8" w:rsidP="00F46BD8">
      <w:pPr>
        <w:pStyle w:val="Heading2"/>
      </w:pPr>
      <w:r>
        <w:t xml:space="preserve">Step 4: Permission to undertake specificity testing </w:t>
      </w:r>
      <w:r w:rsidR="0064678B">
        <w:t>under</w:t>
      </w:r>
      <w:r>
        <w:t xml:space="preserve"> </w:t>
      </w:r>
      <w:r w:rsidR="00A954BE">
        <w:t xml:space="preserve">biosecurity </w:t>
      </w:r>
      <w:r>
        <w:t>contain</w:t>
      </w:r>
      <w:r w:rsidR="0064678B">
        <w:t xml:space="preserve">ment </w:t>
      </w:r>
      <w:r>
        <w:t>in Australia</w:t>
      </w:r>
    </w:p>
    <w:p w14:paraId="664B226D" w14:textId="77777777" w:rsidR="00F46BD8" w:rsidRDefault="00F46BD8" w:rsidP="009431DF">
      <w:pPr>
        <w:pStyle w:val="Heading3"/>
      </w:pPr>
      <w:r>
        <w:t>Responsibility: Proponent</w:t>
      </w:r>
    </w:p>
    <w:p w14:paraId="6B74AB4D" w14:textId="437714E9" w:rsidR="00F46BD8" w:rsidRDefault="00F46BD8" w:rsidP="009431DF">
      <w:pPr>
        <w:pStyle w:val="Heading3"/>
      </w:pPr>
      <w:r>
        <w:t xml:space="preserve">Approval: </w:t>
      </w:r>
      <w:r w:rsidR="004F1C29" w:rsidRPr="004F1C29">
        <w:rPr>
          <w:lang w:val="en"/>
        </w:rPr>
        <w:t xml:space="preserve">Department of Agriculture, </w:t>
      </w:r>
      <w:r w:rsidR="0053290B">
        <w:rPr>
          <w:lang w:val="en"/>
        </w:rPr>
        <w:t>Fisheries and Forestry</w:t>
      </w:r>
    </w:p>
    <w:p w14:paraId="75DCA4E7" w14:textId="77777777" w:rsidR="00F46BD8" w:rsidRDefault="00544AC2" w:rsidP="00F46BD8">
      <w:pPr>
        <w:rPr>
          <w:lang w:val="en"/>
        </w:rPr>
      </w:pPr>
      <w:r>
        <w:rPr>
          <w:lang w:val="en"/>
        </w:rPr>
        <w:t>Prior to the importation</w:t>
      </w:r>
      <w:r w:rsidRPr="003E6E6B">
        <w:rPr>
          <w:lang w:val="en"/>
        </w:rPr>
        <w:t xml:space="preserve"> </w:t>
      </w:r>
      <w:r>
        <w:rPr>
          <w:lang w:val="en"/>
        </w:rPr>
        <w:t xml:space="preserve">of </w:t>
      </w:r>
      <w:r w:rsidRPr="003E6E6B">
        <w:rPr>
          <w:lang w:val="en"/>
        </w:rPr>
        <w:t xml:space="preserve">potential biological control agents </w:t>
      </w:r>
      <w:r>
        <w:rPr>
          <w:lang w:val="en"/>
        </w:rPr>
        <w:t>f</w:t>
      </w:r>
      <w:r w:rsidR="00F46BD8" w:rsidRPr="003E6E6B">
        <w:rPr>
          <w:lang w:val="en"/>
        </w:rPr>
        <w:t xml:space="preserve">or </w:t>
      </w:r>
      <w:r w:rsidRPr="003E6E6B">
        <w:rPr>
          <w:lang w:val="en"/>
        </w:rPr>
        <w:t xml:space="preserve">contained </w:t>
      </w:r>
      <w:r w:rsidR="00F46BD8" w:rsidRPr="003E6E6B">
        <w:rPr>
          <w:lang w:val="en"/>
        </w:rPr>
        <w:t>experimental work in Australia, a</w:t>
      </w:r>
      <w:r w:rsidR="00F46BD8">
        <w:rPr>
          <w:lang w:val="en"/>
        </w:rPr>
        <w:t xml:space="preserve"> valid</w:t>
      </w:r>
      <w:r w:rsidR="00F46BD8" w:rsidRPr="003E6E6B">
        <w:rPr>
          <w:lang w:val="en"/>
        </w:rPr>
        <w:t xml:space="preserve"> import permit issued by the department</w:t>
      </w:r>
      <w:r w:rsidR="00763BB6">
        <w:rPr>
          <w:lang w:val="en"/>
        </w:rPr>
        <w:t xml:space="preserve"> under the </w:t>
      </w:r>
      <w:r w:rsidR="00763BB6" w:rsidRPr="00763BB6">
        <w:rPr>
          <w:i/>
          <w:lang w:val="en"/>
        </w:rPr>
        <w:t>Biosecurity Act 2015</w:t>
      </w:r>
      <w:r w:rsidR="00F46BD8" w:rsidRPr="003E6E6B">
        <w:rPr>
          <w:lang w:val="en"/>
        </w:rPr>
        <w:t> is required. The permit will specify a containment level and any other conditions required</w:t>
      </w:r>
      <w:r w:rsidR="00E205FE">
        <w:rPr>
          <w:lang w:val="en"/>
        </w:rPr>
        <w:t xml:space="preserve">, such as the </w:t>
      </w:r>
      <w:proofErr w:type="spellStart"/>
      <w:r w:rsidR="00E205FE">
        <w:rPr>
          <w:lang w:val="en"/>
        </w:rPr>
        <w:t>lodgement</w:t>
      </w:r>
      <w:proofErr w:type="spellEnd"/>
      <w:r w:rsidR="00E205FE">
        <w:rPr>
          <w:lang w:val="en"/>
        </w:rPr>
        <w:t xml:space="preserve"> of voucher specimens</w:t>
      </w:r>
      <w:r w:rsidR="00F46BD8" w:rsidRPr="003E6E6B">
        <w:rPr>
          <w:lang w:val="en"/>
        </w:rPr>
        <w:t>.</w:t>
      </w:r>
    </w:p>
    <w:p w14:paraId="2CAF1C8B" w14:textId="77777777" w:rsidR="00F46BD8" w:rsidRPr="003E6E6B" w:rsidRDefault="00F46BD8" w:rsidP="00F46BD8">
      <w:pPr>
        <w:rPr>
          <w:lang w:val="en"/>
        </w:rPr>
      </w:pPr>
    </w:p>
    <w:p w14:paraId="54E6C641" w14:textId="77777777" w:rsidR="00F46BD8" w:rsidRPr="003E6E6B" w:rsidRDefault="00F46BD8" w:rsidP="00F46BD8">
      <w:pPr>
        <w:rPr>
          <w:b/>
          <w:bCs/>
          <w:lang w:val="en"/>
        </w:rPr>
      </w:pPr>
      <w:r w:rsidRPr="003E6E6B">
        <w:rPr>
          <w:b/>
          <w:bCs/>
          <w:lang w:val="en"/>
        </w:rPr>
        <w:t>Import permit – departmental administrative requirements</w:t>
      </w:r>
    </w:p>
    <w:p w14:paraId="34508993" w14:textId="77777777" w:rsidR="00F46BD8" w:rsidRPr="003E6E6B" w:rsidRDefault="00F46BD8" w:rsidP="00F46BD8">
      <w:pPr>
        <w:numPr>
          <w:ilvl w:val="0"/>
          <w:numId w:val="13"/>
        </w:numPr>
        <w:tabs>
          <w:tab w:val="num" w:pos="426"/>
        </w:tabs>
        <w:rPr>
          <w:lang w:val="en"/>
        </w:rPr>
      </w:pPr>
      <w:r w:rsidRPr="003E6E6B">
        <w:rPr>
          <w:lang w:val="en"/>
        </w:rPr>
        <w:t xml:space="preserve">Applications for import permits </w:t>
      </w:r>
      <w:r>
        <w:rPr>
          <w:lang w:val="en"/>
        </w:rPr>
        <w:t>must</w:t>
      </w:r>
      <w:r w:rsidRPr="003E6E6B">
        <w:rPr>
          <w:lang w:val="en"/>
        </w:rPr>
        <w:t xml:space="preserve"> be submitted via </w:t>
      </w:r>
      <w:hyperlink r:id="rId12" w:history="1">
        <w:r w:rsidRPr="003E6E6B">
          <w:rPr>
            <w:rStyle w:val="Hyperlink"/>
            <w:lang w:val="en"/>
          </w:rPr>
          <w:t>BICON</w:t>
        </w:r>
      </w:hyperlink>
      <w:r w:rsidRPr="003E6E6B">
        <w:rPr>
          <w:lang w:val="en"/>
        </w:rPr>
        <w:t>.</w:t>
      </w:r>
      <w:r>
        <w:rPr>
          <w:lang w:val="en"/>
        </w:rPr>
        <w:t xml:space="preserve"> Note: </w:t>
      </w:r>
      <w:proofErr w:type="gramStart"/>
      <w:r>
        <w:rPr>
          <w:lang w:val="en"/>
        </w:rPr>
        <w:t>in order to</w:t>
      </w:r>
      <w:proofErr w:type="gramEnd"/>
      <w:r>
        <w:rPr>
          <w:lang w:val="en"/>
        </w:rPr>
        <w:t xml:space="preserve"> be directed to the correct BICON case to apply for a permit, the search term “biological control agents” should be entered into the quick search tab. Please refer to the help tab on BICON for assistance with the import permit application process.</w:t>
      </w:r>
    </w:p>
    <w:p w14:paraId="10BA9DB4" w14:textId="77777777" w:rsidR="00F46BD8" w:rsidRPr="003E6E6B" w:rsidRDefault="00F46BD8" w:rsidP="00F46BD8">
      <w:pPr>
        <w:numPr>
          <w:ilvl w:val="0"/>
          <w:numId w:val="13"/>
        </w:numPr>
        <w:tabs>
          <w:tab w:val="num" w:pos="426"/>
        </w:tabs>
        <w:rPr>
          <w:lang w:val="en"/>
        </w:rPr>
      </w:pPr>
      <w:r>
        <w:rPr>
          <w:lang w:val="en"/>
        </w:rPr>
        <w:t>A</w:t>
      </w:r>
      <w:r w:rsidRPr="003E6E6B">
        <w:rPr>
          <w:lang w:val="en"/>
        </w:rPr>
        <w:t>pproved arrangement site</w:t>
      </w:r>
      <w:r>
        <w:rPr>
          <w:lang w:val="en"/>
        </w:rPr>
        <w:t xml:space="preserve"> details (approved arrangement site name, number, address, contact details)</w:t>
      </w:r>
      <w:r w:rsidRPr="003E6E6B">
        <w:rPr>
          <w:lang w:val="en"/>
        </w:rPr>
        <w:t xml:space="preserve"> with appropriate containment level to hold the organism(s) must be supplied.</w:t>
      </w:r>
    </w:p>
    <w:p w14:paraId="6240B8F0" w14:textId="77777777" w:rsidR="00F46BD8" w:rsidRPr="003E6E6B" w:rsidRDefault="00F46BD8" w:rsidP="00F46BD8">
      <w:pPr>
        <w:numPr>
          <w:ilvl w:val="0"/>
          <w:numId w:val="13"/>
        </w:numPr>
        <w:tabs>
          <w:tab w:val="num" w:pos="426"/>
        </w:tabs>
        <w:rPr>
          <w:lang w:val="en"/>
        </w:rPr>
      </w:pPr>
      <w:r w:rsidRPr="003E6E6B">
        <w:rPr>
          <w:lang w:val="en"/>
        </w:rPr>
        <w:t xml:space="preserve">Where appropriate, </w:t>
      </w:r>
      <w:r>
        <w:rPr>
          <w:lang w:val="en"/>
        </w:rPr>
        <w:t xml:space="preserve">the life stage of the organism(s), </w:t>
      </w:r>
      <w:r w:rsidRPr="003E6E6B">
        <w:rPr>
          <w:lang w:val="en"/>
        </w:rPr>
        <w:t xml:space="preserve">the host material or the media used </w:t>
      </w:r>
      <w:r>
        <w:rPr>
          <w:lang w:val="en"/>
        </w:rPr>
        <w:t>during the importation</w:t>
      </w:r>
      <w:r w:rsidRPr="003E6E6B">
        <w:rPr>
          <w:lang w:val="en"/>
        </w:rPr>
        <w:t xml:space="preserve"> of the agent should be specified.</w:t>
      </w:r>
    </w:p>
    <w:p w14:paraId="6803B204" w14:textId="77777777" w:rsidR="00F46BD8" w:rsidRDefault="00F46BD8" w:rsidP="00F46BD8"/>
    <w:p w14:paraId="70D133B1" w14:textId="77777777" w:rsidR="00F46BD8" w:rsidRDefault="00F46BD8" w:rsidP="00F46BD8"/>
    <w:p w14:paraId="24B91140" w14:textId="77777777" w:rsidR="00F46BD8" w:rsidRDefault="00F46BD8" w:rsidP="00F46BD8">
      <w:pPr>
        <w:pStyle w:val="Heading2"/>
      </w:pPr>
      <w:r>
        <w:t>Step 5: Testing permit for proposed biological control agents that are animals</w:t>
      </w:r>
    </w:p>
    <w:p w14:paraId="6AD79924" w14:textId="77777777" w:rsidR="00F46BD8" w:rsidRDefault="00F46BD8" w:rsidP="009431DF">
      <w:pPr>
        <w:pStyle w:val="Heading3"/>
      </w:pPr>
      <w:r>
        <w:t>Responsibility: Proponent</w:t>
      </w:r>
    </w:p>
    <w:p w14:paraId="6C1AF28F" w14:textId="295405BC" w:rsidR="00F46BD8" w:rsidRDefault="00F46BD8" w:rsidP="009431DF">
      <w:pPr>
        <w:pStyle w:val="Heading3"/>
      </w:pPr>
      <w:r>
        <w:t xml:space="preserve">Approval: </w:t>
      </w:r>
      <w:r w:rsidR="004F1C29" w:rsidRPr="004F1C29">
        <w:rPr>
          <w:lang w:val="en"/>
        </w:rPr>
        <w:t xml:space="preserve">Department of </w:t>
      </w:r>
      <w:r w:rsidR="00AE4923" w:rsidRPr="00AE4923">
        <w:rPr>
          <w:lang w:val="en"/>
        </w:rPr>
        <w:t>Climate Change, Energy, the Environment and Water</w:t>
      </w:r>
    </w:p>
    <w:p w14:paraId="60D85B26" w14:textId="32346A56" w:rsidR="00F46BD8" w:rsidRDefault="00F46BD8" w:rsidP="00F46BD8">
      <w:pPr>
        <w:rPr>
          <w:lang w:val="en"/>
        </w:rPr>
      </w:pPr>
      <w:r w:rsidRPr="004A6EF2">
        <w:rPr>
          <w:lang w:val="en"/>
        </w:rPr>
        <w:t>Where the proposed biological control agent is an animal, a</w:t>
      </w:r>
      <w:r>
        <w:rPr>
          <w:lang w:val="en"/>
        </w:rPr>
        <w:t>n additional</w:t>
      </w:r>
      <w:r w:rsidRPr="004A6EF2">
        <w:rPr>
          <w:lang w:val="en"/>
        </w:rPr>
        <w:t xml:space="preserve"> permit </w:t>
      </w:r>
      <w:r w:rsidR="005B0144">
        <w:rPr>
          <w:lang w:val="en"/>
        </w:rPr>
        <w:t xml:space="preserve">under the </w:t>
      </w:r>
      <w:r w:rsidR="005B0144" w:rsidRPr="005B0144">
        <w:rPr>
          <w:i/>
          <w:iCs/>
          <w:lang w:val="en"/>
        </w:rPr>
        <w:t>Environment Protection and Biodiversity Conservation Act 1999</w:t>
      </w:r>
      <w:r w:rsidR="005B0144" w:rsidRPr="005B0144">
        <w:rPr>
          <w:lang w:val="en"/>
        </w:rPr>
        <w:t xml:space="preserve"> (EPBC Act)</w:t>
      </w:r>
      <w:r w:rsidR="005B0144">
        <w:rPr>
          <w:lang w:val="en"/>
        </w:rPr>
        <w:t xml:space="preserve"> </w:t>
      </w:r>
      <w:r>
        <w:rPr>
          <w:lang w:val="en"/>
        </w:rPr>
        <w:t>may be</w:t>
      </w:r>
      <w:r w:rsidRPr="004A6EF2">
        <w:rPr>
          <w:lang w:val="en"/>
        </w:rPr>
        <w:t xml:space="preserve"> required from the </w:t>
      </w:r>
      <w:bookmarkStart w:id="0" w:name="_Hlk111713319"/>
      <w:r w:rsidR="00AE4923">
        <w:rPr>
          <w:lang w:val="en"/>
        </w:rPr>
        <w:t>D</w:t>
      </w:r>
      <w:r w:rsidR="006422BC">
        <w:rPr>
          <w:lang w:val="en"/>
        </w:rPr>
        <w:t>epartment</w:t>
      </w:r>
      <w:r w:rsidR="00AE4923">
        <w:rPr>
          <w:lang w:val="en"/>
        </w:rPr>
        <w:t xml:space="preserve"> of Climate Change, Energy, the Environment and Water</w:t>
      </w:r>
      <w:r w:rsidRPr="004A6EF2">
        <w:rPr>
          <w:lang w:val="en"/>
        </w:rPr>
        <w:t xml:space="preserve"> </w:t>
      </w:r>
      <w:r w:rsidR="00AE4923">
        <w:rPr>
          <w:lang w:val="en"/>
        </w:rPr>
        <w:t>(DCCEEW)</w:t>
      </w:r>
      <w:bookmarkEnd w:id="0"/>
      <w:r w:rsidR="00AE4923">
        <w:rPr>
          <w:lang w:val="en"/>
        </w:rPr>
        <w:t xml:space="preserve"> </w:t>
      </w:r>
      <w:r w:rsidRPr="004A6EF2">
        <w:rPr>
          <w:lang w:val="en"/>
        </w:rPr>
        <w:t xml:space="preserve">to import specimens for experimental work in contained use into Australia. Conditions on containment and use are specified on the </w:t>
      </w:r>
      <w:r w:rsidRPr="00982DD1">
        <w:rPr>
          <w:lang w:val="en"/>
        </w:rPr>
        <w:t>testing</w:t>
      </w:r>
      <w:r>
        <w:rPr>
          <w:lang w:val="en"/>
        </w:rPr>
        <w:t xml:space="preserve"> </w:t>
      </w:r>
      <w:r w:rsidRPr="004A6EF2">
        <w:rPr>
          <w:lang w:val="en"/>
        </w:rPr>
        <w:t>permit according to the</w:t>
      </w:r>
      <w:r w:rsidR="005B0144">
        <w:rPr>
          <w:lang w:val="en"/>
        </w:rPr>
        <w:t xml:space="preserve"> EPBC Act</w:t>
      </w:r>
      <w:r w:rsidRPr="004A6EF2">
        <w:rPr>
          <w:lang w:val="en"/>
        </w:rPr>
        <w:t>.</w:t>
      </w:r>
    </w:p>
    <w:p w14:paraId="672D9CBD" w14:textId="77777777" w:rsidR="00F46BD8" w:rsidRDefault="00F46BD8" w:rsidP="00F46BD8">
      <w:pPr>
        <w:rPr>
          <w:lang w:val="en"/>
        </w:rPr>
      </w:pPr>
    </w:p>
    <w:p w14:paraId="5BE2F9FE" w14:textId="77777777" w:rsidR="00F46BD8" w:rsidRPr="00642203" w:rsidRDefault="00F46BD8" w:rsidP="00F46BD8">
      <w:pPr>
        <w:rPr>
          <w:lang w:val="en"/>
        </w:rPr>
      </w:pPr>
      <w:r>
        <w:rPr>
          <w:lang w:val="en"/>
        </w:rPr>
        <w:lastRenderedPageBreak/>
        <w:t>If the BCA is listed</w:t>
      </w:r>
      <w:r w:rsidRPr="00352895">
        <w:rPr>
          <w:lang w:val="en"/>
        </w:rPr>
        <w:t xml:space="preserve"> on the List of Specimens taken to be Suitable for Live Import </w:t>
      </w:r>
      <w:r w:rsidR="007F4CEA" w:rsidRPr="007F4CEA">
        <w:rPr>
          <w:lang w:val="en"/>
        </w:rPr>
        <w:t>(the Live Import List)</w:t>
      </w:r>
      <w:r w:rsidR="007F4CEA">
        <w:rPr>
          <w:lang w:val="en"/>
        </w:rPr>
        <w:t xml:space="preserve"> </w:t>
      </w:r>
      <w:r w:rsidRPr="00352895">
        <w:rPr>
          <w:lang w:val="en"/>
        </w:rPr>
        <w:t xml:space="preserve">under the EPBC </w:t>
      </w:r>
      <w:proofErr w:type="gramStart"/>
      <w:r w:rsidRPr="00352895">
        <w:rPr>
          <w:lang w:val="en"/>
        </w:rPr>
        <w:t>Act</w:t>
      </w:r>
      <w:proofErr w:type="gramEnd"/>
      <w:r>
        <w:rPr>
          <w:lang w:val="en"/>
        </w:rPr>
        <w:t xml:space="preserve"> then the species can be imported subject to any conditions given for </w:t>
      </w:r>
      <w:r w:rsidRPr="00642203">
        <w:rPr>
          <w:lang w:val="en"/>
        </w:rPr>
        <w:t xml:space="preserve">that species on the list. </w:t>
      </w:r>
    </w:p>
    <w:p w14:paraId="2D9D5E5D" w14:textId="77777777" w:rsidR="00F46BD8" w:rsidRPr="00642203" w:rsidRDefault="00F46BD8" w:rsidP="00F46BD8">
      <w:pPr>
        <w:pStyle w:val="ListBullet"/>
        <w:ind w:left="709" w:hanging="425"/>
        <w:rPr>
          <w:lang w:val="en"/>
        </w:rPr>
      </w:pPr>
      <w:r w:rsidRPr="00642203">
        <w:rPr>
          <w:lang w:val="en"/>
        </w:rPr>
        <w:t>Species listed on Part 1</w:t>
      </w:r>
      <w:r w:rsidR="00283F20" w:rsidRPr="00642203">
        <w:rPr>
          <w:lang w:val="en"/>
        </w:rPr>
        <w:t xml:space="preserve"> </w:t>
      </w:r>
      <w:r w:rsidRPr="00642203">
        <w:rPr>
          <w:lang w:val="en"/>
        </w:rPr>
        <w:t xml:space="preserve">of the list do not require a </w:t>
      </w:r>
      <w:r w:rsidR="006422BC">
        <w:rPr>
          <w:lang w:val="en"/>
        </w:rPr>
        <w:t>permit</w:t>
      </w:r>
      <w:r w:rsidR="005B0144">
        <w:rPr>
          <w:lang w:val="en"/>
        </w:rPr>
        <w:t xml:space="preserve"> under the EPBC Act</w:t>
      </w:r>
      <w:r w:rsidRPr="00642203">
        <w:rPr>
          <w:lang w:val="en"/>
        </w:rPr>
        <w:t xml:space="preserve">. </w:t>
      </w:r>
    </w:p>
    <w:p w14:paraId="0939EE81" w14:textId="77777777" w:rsidR="00F46BD8" w:rsidRDefault="00F46BD8" w:rsidP="00F46BD8">
      <w:pPr>
        <w:pStyle w:val="ListBullet"/>
        <w:ind w:left="709" w:hanging="425"/>
        <w:rPr>
          <w:lang w:val="en"/>
        </w:rPr>
      </w:pPr>
      <w:r>
        <w:rPr>
          <w:lang w:val="en"/>
        </w:rPr>
        <w:t>Species listed on Part 2 of the list require a permit</w:t>
      </w:r>
      <w:r w:rsidR="005B0144">
        <w:rPr>
          <w:lang w:val="en"/>
        </w:rPr>
        <w:t xml:space="preserve"> under the EPBC Act</w:t>
      </w:r>
      <w:r>
        <w:rPr>
          <w:lang w:val="en"/>
        </w:rPr>
        <w:t xml:space="preserve"> before they can be imported.</w:t>
      </w:r>
    </w:p>
    <w:p w14:paraId="0E7F80BD" w14:textId="77777777" w:rsidR="003A145A" w:rsidRDefault="003A145A" w:rsidP="003A145A">
      <w:pPr>
        <w:pStyle w:val="ListBullet"/>
        <w:numPr>
          <w:ilvl w:val="0"/>
          <w:numId w:val="0"/>
        </w:numPr>
        <w:rPr>
          <w:lang w:val="en"/>
        </w:rPr>
      </w:pPr>
    </w:p>
    <w:p w14:paraId="4C7A9D23" w14:textId="77777777" w:rsidR="00F46BD8" w:rsidRDefault="00F46BD8" w:rsidP="003A145A">
      <w:pPr>
        <w:pStyle w:val="ListBullet"/>
        <w:numPr>
          <w:ilvl w:val="0"/>
          <w:numId w:val="0"/>
        </w:numPr>
        <w:rPr>
          <w:lang w:val="en"/>
        </w:rPr>
      </w:pPr>
      <w:r>
        <w:rPr>
          <w:lang w:val="en"/>
        </w:rPr>
        <w:t xml:space="preserve">The </w:t>
      </w:r>
      <w:r w:rsidR="00346A0F">
        <w:rPr>
          <w:lang w:val="en"/>
        </w:rPr>
        <w:t xml:space="preserve">Live Import </w:t>
      </w:r>
      <w:r>
        <w:rPr>
          <w:lang w:val="en"/>
        </w:rPr>
        <w:t xml:space="preserve">List can be found at:  </w:t>
      </w:r>
      <w:hyperlink r:id="rId13" w:history="1">
        <w:r w:rsidRPr="00801CDC">
          <w:rPr>
            <w:rStyle w:val="Hyperlink"/>
          </w:rPr>
          <w:t>http://www.comlaw.gov.au/Series/F2006B01053</w:t>
        </w:r>
      </w:hyperlink>
      <w:r>
        <w:t>.</w:t>
      </w:r>
    </w:p>
    <w:p w14:paraId="16EB36B0" w14:textId="77777777" w:rsidR="00F46BD8" w:rsidRDefault="00F46BD8" w:rsidP="00F46BD8">
      <w:pPr>
        <w:rPr>
          <w:lang w:val="en"/>
        </w:rPr>
      </w:pPr>
    </w:p>
    <w:p w14:paraId="589DB1C9" w14:textId="4CE4A125" w:rsidR="00F46BD8" w:rsidRPr="004A6EF2" w:rsidRDefault="00F46BD8" w:rsidP="00F46BD8">
      <w:pPr>
        <w:rPr>
          <w:lang w:val="en"/>
        </w:rPr>
      </w:pPr>
      <w:r>
        <w:rPr>
          <w:lang w:val="en"/>
        </w:rPr>
        <w:t xml:space="preserve">If the BCA is not listed on the </w:t>
      </w:r>
      <w:r w:rsidR="007F4CEA" w:rsidRPr="007F4CEA">
        <w:rPr>
          <w:lang w:val="en"/>
        </w:rPr>
        <w:t>Live Import List</w:t>
      </w:r>
      <w:r>
        <w:rPr>
          <w:lang w:val="en"/>
        </w:rPr>
        <w:t xml:space="preserve"> under the EPBC Act, an application should be made to include the species.</w:t>
      </w:r>
      <w:r w:rsidRPr="00D3709E">
        <w:t xml:space="preserve"> </w:t>
      </w:r>
      <w:r>
        <w:t xml:space="preserve">Details of the process </w:t>
      </w:r>
      <w:r w:rsidR="00A06434">
        <w:t>for amending the list and f</w:t>
      </w:r>
      <w:proofErr w:type="spellStart"/>
      <w:r w:rsidRPr="004A6EF2">
        <w:rPr>
          <w:lang w:val="en"/>
        </w:rPr>
        <w:t>urther</w:t>
      </w:r>
      <w:proofErr w:type="spellEnd"/>
      <w:r w:rsidRPr="004A6EF2">
        <w:rPr>
          <w:lang w:val="en"/>
        </w:rPr>
        <w:t xml:space="preserve"> information </w:t>
      </w:r>
      <w:r>
        <w:rPr>
          <w:lang w:val="en"/>
        </w:rPr>
        <w:t xml:space="preserve">on the assessment of BCAs </w:t>
      </w:r>
      <w:r w:rsidRPr="004A6EF2">
        <w:rPr>
          <w:lang w:val="en"/>
        </w:rPr>
        <w:t xml:space="preserve">can be found on the </w:t>
      </w:r>
      <w:hyperlink r:id="rId14" w:anchor="biological-control-agents" w:history="1">
        <w:r w:rsidR="002A4C29" w:rsidRPr="002A4C29">
          <w:rPr>
            <w:rStyle w:val="Hyperlink"/>
            <w:lang w:val="en"/>
          </w:rPr>
          <w:t>Department of Climate Change, Energy, the Environment and Water website</w:t>
        </w:r>
      </w:hyperlink>
      <w:r w:rsidRPr="004A6EF2">
        <w:rPr>
          <w:lang w:val="en"/>
        </w:rPr>
        <w:t>.</w:t>
      </w:r>
    </w:p>
    <w:p w14:paraId="34BA6089" w14:textId="77777777" w:rsidR="00F46BD8" w:rsidRDefault="00F46BD8" w:rsidP="00F46BD8">
      <w:pPr>
        <w:rPr>
          <w:b/>
          <w:bCs/>
          <w:lang w:val="en"/>
        </w:rPr>
      </w:pPr>
    </w:p>
    <w:p w14:paraId="6D162C8D" w14:textId="754343F1" w:rsidR="00F46BD8" w:rsidRDefault="00F46BD8" w:rsidP="00F46BD8">
      <w:pPr>
        <w:rPr>
          <w:b/>
          <w:bCs/>
          <w:lang w:val="en"/>
        </w:rPr>
      </w:pPr>
      <w:r w:rsidRPr="004A6EF2">
        <w:rPr>
          <w:b/>
          <w:bCs/>
          <w:lang w:val="en"/>
        </w:rPr>
        <w:t xml:space="preserve">Testing permit – </w:t>
      </w:r>
      <w:r w:rsidR="00A53B99">
        <w:rPr>
          <w:b/>
          <w:bCs/>
          <w:lang w:val="en"/>
        </w:rPr>
        <w:t>DCCEEW</w:t>
      </w:r>
      <w:r w:rsidR="00A53B99" w:rsidRPr="001E14FE">
        <w:rPr>
          <w:b/>
          <w:bCs/>
          <w:lang w:val="en"/>
        </w:rPr>
        <w:t xml:space="preserve"> </w:t>
      </w:r>
      <w:r w:rsidRPr="004A6EF2">
        <w:rPr>
          <w:b/>
          <w:bCs/>
          <w:lang w:val="en"/>
        </w:rPr>
        <w:t>administrative requirements</w:t>
      </w:r>
    </w:p>
    <w:p w14:paraId="06B813B0" w14:textId="77777777" w:rsidR="00F46BD8" w:rsidRDefault="00F46BD8" w:rsidP="00F46BD8">
      <w:pPr>
        <w:rPr>
          <w:lang w:val="en"/>
        </w:rPr>
      </w:pPr>
      <w:r w:rsidRPr="00982DD1">
        <w:rPr>
          <w:lang w:val="en"/>
        </w:rPr>
        <w:t xml:space="preserve">A testing permit allows the importation of an unlisted BCA to undertake tests on the species to inform the environmental assessment of the species for inclusion on the </w:t>
      </w:r>
      <w:r w:rsidR="007F4CEA" w:rsidRPr="007F4CEA">
        <w:rPr>
          <w:lang w:val="en"/>
        </w:rPr>
        <w:t>Live Import List</w:t>
      </w:r>
      <w:r w:rsidRPr="00982DD1">
        <w:rPr>
          <w:lang w:val="en"/>
        </w:rPr>
        <w:t>.</w:t>
      </w:r>
    </w:p>
    <w:p w14:paraId="5ED80128" w14:textId="77777777" w:rsidR="00084904" w:rsidRDefault="00084904" w:rsidP="00F46BD8">
      <w:pPr>
        <w:rPr>
          <w:lang w:val="en"/>
        </w:rPr>
      </w:pPr>
    </w:p>
    <w:p w14:paraId="1FB13A8B" w14:textId="07E427F2" w:rsidR="00F46BD8" w:rsidRDefault="00F46BD8" w:rsidP="00F46BD8">
      <w:pPr>
        <w:rPr>
          <w:lang w:val="en"/>
        </w:rPr>
      </w:pPr>
      <w:r w:rsidRPr="004A6EF2">
        <w:rPr>
          <w:lang w:val="en"/>
        </w:rPr>
        <w:t xml:space="preserve">An application including justification of why the testing must be undertaken in Australia must be completed and submitted to </w:t>
      </w:r>
      <w:r w:rsidR="007A7A6F">
        <w:rPr>
          <w:lang w:val="en"/>
        </w:rPr>
        <w:t>DCCEEW</w:t>
      </w:r>
      <w:r w:rsidRPr="004A6EF2">
        <w:rPr>
          <w:lang w:val="en"/>
        </w:rPr>
        <w:t xml:space="preserve"> </w:t>
      </w:r>
      <w:hyperlink r:id="rId15" w:history="1">
        <w:r w:rsidRPr="004A6EF2">
          <w:rPr>
            <w:rStyle w:val="Hyperlink"/>
            <w:lang w:val="en"/>
          </w:rPr>
          <w:t>via the online application form</w:t>
        </w:r>
      </w:hyperlink>
      <w:r w:rsidRPr="004A6EF2">
        <w:rPr>
          <w:lang w:val="en"/>
        </w:rPr>
        <w:t>.</w:t>
      </w:r>
    </w:p>
    <w:p w14:paraId="6D1FA642" w14:textId="77777777" w:rsidR="00084904" w:rsidRPr="004A6EF2" w:rsidRDefault="00084904" w:rsidP="00F46BD8">
      <w:pPr>
        <w:rPr>
          <w:lang w:val="en"/>
        </w:rPr>
      </w:pPr>
    </w:p>
    <w:p w14:paraId="723A21EB" w14:textId="77777777" w:rsidR="00F46BD8" w:rsidRDefault="00F46BD8" w:rsidP="00084904">
      <w:pPr>
        <w:rPr>
          <w:lang w:val="en"/>
        </w:rPr>
      </w:pPr>
      <w:r>
        <w:rPr>
          <w:lang w:val="en"/>
        </w:rPr>
        <w:t xml:space="preserve">An application to add the species to the </w:t>
      </w:r>
      <w:r w:rsidR="007F4CEA" w:rsidRPr="007F4CEA">
        <w:rPr>
          <w:lang w:val="en"/>
        </w:rPr>
        <w:t>Live Import List</w:t>
      </w:r>
      <w:r>
        <w:rPr>
          <w:lang w:val="en"/>
        </w:rPr>
        <w:t xml:space="preserve"> must be made before a permit can be granted.</w:t>
      </w:r>
    </w:p>
    <w:p w14:paraId="3B341C99" w14:textId="77777777" w:rsidR="00F46BD8" w:rsidRPr="004A6EF2" w:rsidRDefault="00F46BD8" w:rsidP="00F46BD8">
      <w:pPr>
        <w:numPr>
          <w:ilvl w:val="0"/>
          <w:numId w:val="14"/>
        </w:numPr>
        <w:tabs>
          <w:tab w:val="num" w:pos="426"/>
        </w:tabs>
        <w:rPr>
          <w:lang w:val="en"/>
        </w:rPr>
      </w:pPr>
      <w:r w:rsidRPr="004A6EF2">
        <w:rPr>
          <w:lang w:val="en"/>
        </w:rPr>
        <w:t xml:space="preserve">Government entities are exempt from </w:t>
      </w:r>
      <w:r w:rsidR="0087081B">
        <w:rPr>
          <w:lang w:val="en"/>
        </w:rPr>
        <w:t xml:space="preserve">testing </w:t>
      </w:r>
      <w:r w:rsidRPr="004A6EF2">
        <w:rPr>
          <w:lang w:val="en"/>
        </w:rPr>
        <w:t>permit fees.</w:t>
      </w:r>
    </w:p>
    <w:p w14:paraId="5939E688" w14:textId="77777777" w:rsidR="00F46BD8" w:rsidRPr="00F37ADB" w:rsidRDefault="00F46BD8" w:rsidP="00F46BD8">
      <w:pPr>
        <w:numPr>
          <w:ilvl w:val="0"/>
          <w:numId w:val="14"/>
        </w:numPr>
        <w:tabs>
          <w:tab w:val="num" w:pos="426"/>
        </w:tabs>
        <w:rPr>
          <w:lang w:val="en"/>
        </w:rPr>
      </w:pPr>
      <w:r w:rsidRPr="00F37ADB">
        <w:rPr>
          <w:lang w:val="en"/>
        </w:rPr>
        <w:t xml:space="preserve">If a species is undescribed or there is any doubt about its </w:t>
      </w:r>
      <w:proofErr w:type="gramStart"/>
      <w:r w:rsidRPr="00F37ADB">
        <w:rPr>
          <w:lang w:val="en"/>
        </w:rPr>
        <w:t>taxonomy</w:t>
      </w:r>
      <w:proofErr w:type="gramEnd"/>
      <w:r w:rsidRPr="00F37ADB">
        <w:rPr>
          <w:lang w:val="en"/>
        </w:rPr>
        <w:t xml:space="preserve"> then a voucher specimen(s) of the most </w:t>
      </w:r>
      <w:proofErr w:type="spellStart"/>
      <w:r w:rsidRPr="00F37ADB">
        <w:rPr>
          <w:lang w:val="en"/>
        </w:rPr>
        <w:t>recognisable</w:t>
      </w:r>
      <w:proofErr w:type="spellEnd"/>
      <w:r w:rsidRPr="00F37ADB">
        <w:rPr>
          <w:lang w:val="en"/>
        </w:rPr>
        <w:t xml:space="preserve"> stage must be lodged at a </w:t>
      </w:r>
      <w:proofErr w:type="spellStart"/>
      <w:r w:rsidRPr="00F37ADB">
        <w:rPr>
          <w:lang w:val="en"/>
        </w:rPr>
        <w:t>recognised</w:t>
      </w:r>
      <w:proofErr w:type="spellEnd"/>
      <w:r w:rsidRPr="00F37ADB">
        <w:rPr>
          <w:lang w:val="en"/>
        </w:rPr>
        <w:t xml:space="preserve"> institution (e.g. the Australian National Insect Collection). A permit will not be issued for undescribed specimens without a voucher number.</w:t>
      </w:r>
    </w:p>
    <w:p w14:paraId="1D4DDE27" w14:textId="77777777" w:rsidR="00F46BD8" w:rsidRDefault="00F46BD8" w:rsidP="00F46BD8">
      <w:pPr>
        <w:numPr>
          <w:ilvl w:val="0"/>
          <w:numId w:val="14"/>
        </w:numPr>
        <w:tabs>
          <w:tab w:val="num" w:pos="426"/>
        </w:tabs>
        <w:rPr>
          <w:lang w:val="en"/>
        </w:rPr>
      </w:pPr>
      <w:r w:rsidRPr="004A6EF2">
        <w:rPr>
          <w:lang w:val="en"/>
        </w:rPr>
        <w:t>Documents proving the source of the specimen/s are required where applicable.</w:t>
      </w:r>
    </w:p>
    <w:p w14:paraId="4F50437A" w14:textId="77777777" w:rsidR="00F46BD8" w:rsidRPr="004A6EF2" w:rsidRDefault="00F46BD8" w:rsidP="00F46BD8">
      <w:pPr>
        <w:numPr>
          <w:ilvl w:val="0"/>
          <w:numId w:val="14"/>
        </w:numPr>
        <w:tabs>
          <w:tab w:val="num" w:pos="426"/>
        </w:tabs>
        <w:rPr>
          <w:lang w:val="en"/>
        </w:rPr>
      </w:pPr>
      <w:r>
        <w:rPr>
          <w:lang w:val="en"/>
        </w:rPr>
        <w:t>The BCA must be held in a controlled environment.</w:t>
      </w:r>
    </w:p>
    <w:p w14:paraId="553979D5" w14:textId="77777777" w:rsidR="00F46BD8" w:rsidRPr="004A6EF2" w:rsidRDefault="00F46BD8" w:rsidP="00F46BD8">
      <w:pPr>
        <w:rPr>
          <w:b/>
          <w:bCs/>
          <w:lang w:val="en"/>
        </w:rPr>
      </w:pPr>
    </w:p>
    <w:p w14:paraId="1903CA68" w14:textId="77777777" w:rsidR="00F46BD8" w:rsidRPr="004A6EF2" w:rsidRDefault="00F46BD8" w:rsidP="00F46BD8">
      <w:pPr>
        <w:rPr>
          <w:b/>
          <w:bCs/>
          <w:lang w:val="en"/>
        </w:rPr>
      </w:pPr>
      <w:r w:rsidRPr="004A6EF2">
        <w:rPr>
          <w:b/>
          <w:bCs/>
          <w:lang w:val="en"/>
        </w:rPr>
        <w:t>Testing permit – renewals</w:t>
      </w:r>
    </w:p>
    <w:p w14:paraId="4178AC15" w14:textId="77777777" w:rsidR="00F46BD8" w:rsidRDefault="00F46BD8" w:rsidP="00F46BD8">
      <w:pPr>
        <w:rPr>
          <w:lang w:val="en"/>
        </w:rPr>
      </w:pPr>
      <w:r w:rsidRPr="004A6EF2">
        <w:rPr>
          <w:lang w:val="en"/>
        </w:rPr>
        <w:t>A testing permit allows multiple consignments of a</w:t>
      </w:r>
      <w:r>
        <w:rPr>
          <w:lang w:val="en"/>
        </w:rPr>
        <w:t>n</w:t>
      </w:r>
      <w:r w:rsidRPr="004A6EF2">
        <w:rPr>
          <w:lang w:val="en"/>
        </w:rPr>
        <w:t xml:space="preserve"> </w:t>
      </w:r>
      <w:r>
        <w:rPr>
          <w:lang w:val="en"/>
        </w:rPr>
        <w:t>organism</w:t>
      </w:r>
      <w:r w:rsidRPr="004A6EF2">
        <w:rPr>
          <w:lang w:val="en"/>
        </w:rPr>
        <w:t xml:space="preserve"> to be imported for testing over a </w:t>
      </w:r>
      <w:proofErr w:type="gramStart"/>
      <w:r w:rsidRPr="004A6EF2">
        <w:rPr>
          <w:lang w:val="en"/>
        </w:rPr>
        <w:t>six month</w:t>
      </w:r>
      <w:proofErr w:type="gramEnd"/>
      <w:r w:rsidRPr="004A6EF2">
        <w:rPr>
          <w:lang w:val="en"/>
        </w:rPr>
        <w:t xml:space="preserve"> period. </w:t>
      </w:r>
      <w:r>
        <w:rPr>
          <w:lang w:val="en"/>
        </w:rPr>
        <w:t xml:space="preserve">If more imports are required after this period, the permit </w:t>
      </w:r>
      <w:r w:rsidRPr="004A6EF2">
        <w:rPr>
          <w:lang w:val="en"/>
        </w:rPr>
        <w:t>must be renewed, requiring a new application and a report updating the progress of testing.</w:t>
      </w:r>
    </w:p>
    <w:p w14:paraId="4D6E733A" w14:textId="77777777" w:rsidR="00CA2CC2" w:rsidRDefault="00CA2CC2" w:rsidP="00F46BD8"/>
    <w:p w14:paraId="21474A7E" w14:textId="77777777" w:rsidR="00F46BD8" w:rsidRDefault="00F46BD8" w:rsidP="00F46BD8"/>
    <w:p w14:paraId="4701961F" w14:textId="77777777" w:rsidR="00F46BD8" w:rsidRDefault="00F46BD8" w:rsidP="00F46BD8">
      <w:pPr>
        <w:pStyle w:val="Heading2"/>
      </w:pPr>
      <w:r>
        <w:t>Step 6: Specificity testing</w:t>
      </w:r>
    </w:p>
    <w:p w14:paraId="22E8EEA4" w14:textId="77777777" w:rsidR="00F46BD8" w:rsidRDefault="00F46BD8" w:rsidP="009431DF">
      <w:pPr>
        <w:pStyle w:val="Heading3"/>
      </w:pPr>
      <w:r>
        <w:t>Responsibility: Proponent</w:t>
      </w:r>
    </w:p>
    <w:p w14:paraId="5D17D913" w14:textId="77777777" w:rsidR="00F46BD8" w:rsidRDefault="00F46BD8" w:rsidP="009431DF">
      <w:pPr>
        <w:pStyle w:val="Heading3"/>
      </w:pPr>
      <w:r>
        <w:t>Approval: none</w:t>
      </w:r>
    </w:p>
    <w:p w14:paraId="76EFA363" w14:textId="77777777" w:rsidR="00F46BD8" w:rsidRDefault="00F46BD8" w:rsidP="00F46BD8">
      <w:r w:rsidRPr="00CB5A9A">
        <w:rPr>
          <w:lang w:val="en"/>
        </w:rPr>
        <w:t>After importing the potential biological control agents, the proponent can undertake host specificity testing under approved biosecurity containment conditions in Australia.</w:t>
      </w:r>
    </w:p>
    <w:p w14:paraId="625C05F9" w14:textId="77777777" w:rsidR="00F46BD8" w:rsidRDefault="00F46BD8" w:rsidP="00F46BD8"/>
    <w:p w14:paraId="7F5E08C8" w14:textId="77777777" w:rsidR="00F46BD8" w:rsidRPr="00363134" w:rsidRDefault="00F46BD8" w:rsidP="00F46BD8">
      <w:pPr>
        <w:pStyle w:val="Heading2"/>
      </w:pPr>
      <w:r>
        <w:lastRenderedPageBreak/>
        <w:t>Step 7: Application to release a biological control agent</w:t>
      </w:r>
      <w:r w:rsidR="00363134" w:rsidRPr="00690E0A">
        <w:rPr>
          <w:lang w:val="en"/>
        </w:rPr>
        <w:t>– Information requirements (Release Package)</w:t>
      </w:r>
    </w:p>
    <w:p w14:paraId="5583CD00" w14:textId="77777777" w:rsidR="00F46BD8" w:rsidRDefault="00F46BD8" w:rsidP="009431DF">
      <w:pPr>
        <w:pStyle w:val="Heading3"/>
      </w:pPr>
      <w:r>
        <w:t>Responsibility: Proponent</w:t>
      </w:r>
    </w:p>
    <w:p w14:paraId="3C5C6C04" w14:textId="77777777" w:rsidR="00F46BD8" w:rsidRDefault="00F46BD8" w:rsidP="009431DF">
      <w:pPr>
        <w:pStyle w:val="Heading3"/>
      </w:pPr>
      <w:r>
        <w:t>Approval: none</w:t>
      </w:r>
    </w:p>
    <w:p w14:paraId="40A8A853" w14:textId="02E10F7A" w:rsidR="00F46BD8" w:rsidRDefault="00F46BD8" w:rsidP="00F46BD8">
      <w:pPr>
        <w:rPr>
          <w:lang w:val="en"/>
        </w:rPr>
      </w:pPr>
      <w:r w:rsidRPr="005843B6">
        <w:rPr>
          <w:lang w:val="en"/>
        </w:rPr>
        <w:t xml:space="preserve">If release of a biological control agent is sought, the proponent must </w:t>
      </w:r>
      <w:proofErr w:type="gramStart"/>
      <w:r w:rsidRPr="005843B6">
        <w:rPr>
          <w:lang w:val="en"/>
        </w:rPr>
        <w:t>submit an application</w:t>
      </w:r>
      <w:proofErr w:type="gramEnd"/>
      <w:r w:rsidRPr="005843B6">
        <w:rPr>
          <w:lang w:val="en"/>
        </w:rPr>
        <w:t xml:space="preserve"> for release to</w:t>
      </w:r>
      <w:r w:rsidR="00DF2C91">
        <w:rPr>
          <w:lang w:val="en"/>
        </w:rPr>
        <w:t xml:space="preserve"> the</w:t>
      </w:r>
      <w:r w:rsidRPr="005843B6">
        <w:rPr>
          <w:lang w:val="en"/>
        </w:rPr>
        <w:t xml:space="preserve"> </w:t>
      </w:r>
      <w:hyperlink r:id="rId16" w:history="1">
        <w:r w:rsidR="005F0F17">
          <w:rPr>
            <w:rStyle w:val="Hyperlink"/>
          </w:rPr>
          <w:t>Department of Agriculture</w:t>
        </w:r>
        <w:r w:rsidR="00521606">
          <w:rPr>
            <w:rStyle w:val="Hyperlink"/>
          </w:rPr>
          <w:t xml:space="preserve">, </w:t>
        </w:r>
        <w:r w:rsidR="0030545E">
          <w:rPr>
            <w:rStyle w:val="Hyperlink"/>
          </w:rPr>
          <w:t>Fisheries and Forestry</w:t>
        </w:r>
        <w:r w:rsidR="005F0F17">
          <w:rPr>
            <w:rStyle w:val="Hyperlink"/>
          </w:rPr>
          <w:t xml:space="preserve"> </w:t>
        </w:r>
      </w:hyperlink>
      <w:r w:rsidR="00690E0A">
        <w:rPr>
          <w:lang w:val="en"/>
        </w:rPr>
        <w:t xml:space="preserve"> – Plant Import Operations Branch</w:t>
      </w:r>
      <w:r w:rsidRPr="005843B6">
        <w:rPr>
          <w:lang w:val="en"/>
        </w:rPr>
        <w:t>.</w:t>
      </w:r>
    </w:p>
    <w:p w14:paraId="214E4DF3" w14:textId="77777777" w:rsidR="00F46BD8" w:rsidRPr="005843B6" w:rsidRDefault="00F46BD8" w:rsidP="00F46BD8">
      <w:pPr>
        <w:rPr>
          <w:lang w:val="en"/>
        </w:rPr>
      </w:pPr>
    </w:p>
    <w:p w14:paraId="541115EE" w14:textId="77777777" w:rsidR="00F46BD8" w:rsidRPr="005843B6" w:rsidRDefault="00F82B99" w:rsidP="00F46BD8">
      <w:pPr>
        <w:rPr>
          <w:lang w:val="en"/>
        </w:rPr>
      </w:pPr>
      <w:r>
        <w:rPr>
          <w:lang w:val="en"/>
        </w:rPr>
        <w:t>The application should comprise of a</w:t>
      </w:r>
      <w:r w:rsidR="00F46BD8" w:rsidRPr="005843B6">
        <w:rPr>
          <w:lang w:val="en"/>
        </w:rPr>
        <w:t>n information package about the proposed biological control agent</w:t>
      </w:r>
      <w:r>
        <w:rPr>
          <w:lang w:val="en"/>
        </w:rPr>
        <w:t>.</w:t>
      </w:r>
      <w:r w:rsidR="00F46BD8" w:rsidRPr="005843B6">
        <w:rPr>
          <w:lang w:val="en"/>
        </w:rPr>
        <w:t xml:space="preserve"> This package should contain details of:</w:t>
      </w:r>
    </w:p>
    <w:p w14:paraId="2E831D36" w14:textId="77777777" w:rsidR="00F46BD8" w:rsidRPr="005843B6" w:rsidRDefault="00F46BD8" w:rsidP="00F46BD8">
      <w:pPr>
        <w:numPr>
          <w:ilvl w:val="0"/>
          <w:numId w:val="15"/>
        </w:numPr>
        <w:rPr>
          <w:lang w:val="en"/>
        </w:rPr>
      </w:pPr>
      <w:r w:rsidRPr="005843B6">
        <w:rPr>
          <w:lang w:val="en"/>
        </w:rPr>
        <w:t>Agent name</w:t>
      </w:r>
      <w:r>
        <w:rPr>
          <w:lang w:val="en"/>
        </w:rPr>
        <w:t xml:space="preserve"> and phylogeny</w:t>
      </w:r>
      <w:r w:rsidRPr="005843B6">
        <w:rPr>
          <w:lang w:val="en"/>
        </w:rPr>
        <w:t xml:space="preserve"> (order, family, genus, species, author, </w:t>
      </w:r>
      <w:proofErr w:type="gramStart"/>
      <w:r w:rsidRPr="005843B6">
        <w:rPr>
          <w:lang w:val="en"/>
        </w:rPr>
        <w:t>date</w:t>
      </w:r>
      <w:proofErr w:type="gramEnd"/>
      <w:r w:rsidRPr="005843B6">
        <w:rPr>
          <w:lang w:val="en"/>
        </w:rPr>
        <w:t xml:space="preserve"> and common name if available)</w:t>
      </w:r>
    </w:p>
    <w:p w14:paraId="77045A9C" w14:textId="77777777" w:rsidR="00F46BD8" w:rsidRPr="005843B6" w:rsidRDefault="00F46BD8" w:rsidP="00F46BD8">
      <w:pPr>
        <w:numPr>
          <w:ilvl w:val="0"/>
          <w:numId w:val="15"/>
        </w:numPr>
        <w:rPr>
          <w:lang w:val="en"/>
        </w:rPr>
      </w:pPr>
      <w:r w:rsidRPr="005843B6">
        <w:rPr>
          <w:lang w:val="en"/>
        </w:rPr>
        <w:t xml:space="preserve">A brief </w:t>
      </w:r>
      <w:r>
        <w:rPr>
          <w:lang w:val="en"/>
        </w:rPr>
        <w:t xml:space="preserve">description of the </w:t>
      </w:r>
      <w:r w:rsidRPr="005843B6">
        <w:rPr>
          <w:lang w:val="en"/>
        </w:rPr>
        <w:t>biology of the agent</w:t>
      </w:r>
    </w:p>
    <w:p w14:paraId="7D150323" w14:textId="77777777" w:rsidR="00F46BD8" w:rsidRPr="005843B6" w:rsidRDefault="00F46BD8" w:rsidP="00F46BD8">
      <w:pPr>
        <w:numPr>
          <w:ilvl w:val="0"/>
          <w:numId w:val="15"/>
        </w:numPr>
        <w:rPr>
          <w:lang w:val="en"/>
        </w:rPr>
      </w:pPr>
      <w:r w:rsidRPr="005843B6">
        <w:rPr>
          <w:lang w:val="en"/>
        </w:rPr>
        <w:t>The native range of the agent</w:t>
      </w:r>
    </w:p>
    <w:p w14:paraId="2A264848" w14:textId="77777777" w:rsidR="00F46BD8" w:rsidRPr="005843B6" w:rsidRDefault="00F46BD8" w:rsidP="00F46BD8">
      <w:pPr>
        <w:numPr>
          <w:ilvl w:val="0"/>
          <w:numId w:val="15"/>
        </w:numPr>
        <w:rPr>
          <w:lang w:val="en"/>
        </w:rPr>
      </w:pPr>
      <w:r>
        <w:rPr>
          <w:lang w:val="en"/>
        </w:rPr>
        <w:t>S</w:t>
      </w:r>
      <w:r w:rsidRPr="005843B6">
        <w:rPr>
          <w:lang w:val="en"/>
        </w:rPr>
        <w:t>pecies</w:t>
      </w:r>
      <w:r>
        <w:rPr>
          <w:lang w:val="en"/>
        </w:rPr>
        <w:t xml:space="preserve"> related</w:t>
      </w:r>
      <w:r w:rsidRPr="005843B6">
        <w:rPr>
          <w:lang w:val="en"/>
        </w:rPr>
        <w:t xml:space="preserve"> to the agent and a summary of their host range</w:t>
      </w:r>
      <w:r>
        <w:rPr>
          <w:lang w:val="en"/>
        </w:rPr>
        <w:t>(s)</w:t>
      </w:r>
    </w:p>
    <w:p w14:paraId="19AFC1A8" w14:textId="77777777" w:rsidR="00F46BD8" w:rsidRPr="005843B6" w:rsidRDefault="00F46BD8" w:rsidP="00F46BD8">
      <w:pPr>
        <w:numPr>
          <w:ilvl w:val="0"/>
          <w:numId w:val="15"/>
        </w:numPr>
        <w:rPr>
          <w:lang w:val="en"/>
        </w:rPr>
      </w:pPr>
      <w:r w:rsidRPr="005843B6">
        <w:rPr>
          <w:lang w:val="en"/>
        </w:rPr>
        <w:t>The proposed source(s) of the agent</w:t>
      </w:r>
    </w:p>
    <w:p w14:paraId="06A51929" w14:textId="77777777" w:rsidR="00F46BD8" w:rsidRPr="005843B6" w:rsidRDefault="00F46BD8" w:rsidP="00F46BD8">
      <w:pPr>
        <w:numPr>
          <w:ilvl w:val="0"/>
          <w:numId w:val="15"/>
        </w:numPr>
        <w:rPr>
          <w:lang w:val="en"/>
        </w:rPr>
      </w:pPr>
      <w:r w:rsidRPr="005843B6">
        <w:rPr>
          <w:lang w:val="en"/>
        </w:rPr>
        <w:t xml:space="preserve">The </w:t>
      </w:r>
      <w:proofErr w:type="gramStart"/>
      <w:r w:rsidRPr="005843B6">
        <w:rPr>
          <w:lang w:val="en"/>
        </w:rPr>
        <w:t>current status</w:t>
      </w:r>
      <w:proofErr w:type="gramEnd"/>
      <w:r w:rsidRPr="005843B6">
        <w:rPr>
          <w:lang w:val="en"/>
        </w:rPr>
        <w:t xml:space="preserve"> of the target species in Australia, including a summary of the economic and environmental losses caused by the target</w:t>
      </w:r>
    </w:p>
    <w:p w14:paraId="06C2E62E" w14:textId="77777777" w:rsidR="00F46BD8" w:rsidRPr="005843B6" w:rsidRDefault="00F46BD8" w:rsidP="00F46BD8">
      <w:pPr>
        <w:numPr>
          <w:ilvl w:val="0"/>
          <w:numId w:val="15"/>
        </w:numPr>
        <w:rPr>
          <w:lang w:val="en"/>
        </w:rPr>
      </w:pPr>
      <w:r w:rsidRPr="005843B6">
        <w:rPr>
          <w:lang w:val="en"/>
        </w:rPr>
        <w:t xml:space="preserve">Whether and when the target species was approved for biological control, and the proposing </w:t>
      </w:r>
      <w:proofErr w:type="spellStart"/>
      <w:r w:rsidRPr="005843B6">
        <w:rPr>
          <w:lang w:val="en"/>
        </w:rPr>
        <w:t>organisation</w:t>
      </w:r>
      <w:proofErr w:type="spellEnd"/>
    </w:p>
    <w:p w14:paraId="7E053398" w14:textId="77777777" w:rsidR="00F46BD8" w:rsidRPr="005843B6" w:rsidRDefault="00F46BD8" w:rsidP="00F46BD8">
      <w:pPr>
        <w:numPr>
          <w:ilvl w:val="0"/>
          <w:numId w:val="15"/>
        </w:numPr>
        <w:rPr>
          <w:lang w:val="en"/>
        </w:rPr>
      </w:pPr>
      <w:r w:rsidRPr="005843B6">
        <w:rPr>
          <w:lang w:val="en"/>
        </w:rPr>
        <w:t>The agent’s potential for control of the target</w:t>
      </w:r>
    </w:p>
    <w:p w14:paraId="289959F6" w14:textId="77777777" w:rsidR="00F46BD8" w:rsidRPr="005843B6" w:rsidRDefault="00F46BD8" w:rsidP="00F46BD8">
      <w:pPr>
        <w:numPr>
          <w:ilvl w:val="0"/>
          <w:numId w:val="15"/>
        </w:numPr>
        <w:rPr>
          <w:lang w:val="en"/>
        </w:rPr>
      </w:pPr>
      <w:r w:rsidRPr="005843B6">
        <w:rPr>
          <w:lang w:val="en"/>
        </w:rPr>
        <w:t>Information on non-target organisms at risk from the agent</w:t>
      </w:r>
    </w:p>
    <w:p w14:paraId="1E1D0311" w14:textId="77777777" w:rsidR="00F46BD8" w:rsidRPr="005843B6" w:rsidRDefault="00F46BD8" w:rsidP="00F46BD8">
      <w:pPr>
        <w:numPr>
          <w:ilvl w:val="0"/>
          <w:numId w:val="15"/>
        </w:numPr>
        <w:rPr>
          <w:lang w:val="en"/>
        </w:rPr>
      </w:pPr>
      <w:r w:rsidRPr="005843B6">
        <w:rPr>
          <w:lang w:val="en"/>
        </w:rPr>
        <w:t>Copies of any references referred to in the application</w:t>
      </w:r>
    </w:p>
    <w:p w14:paraId="5A0B6EB4" w14:textId="77777777" w:rsidR="00F46BD8" w:rsidRPr="005843B6" w:rsidRDefault="00F46BD8" w:rsidP="00F46BD8">
      <w:pPr>
        <w:numPr>
          <w:ilvl w:val="0"/>
          <w:numId w:val="15"/>
        </w:numPr>
        <w:rPr>
          <w:lang w:val="en"/>
        </w:rPr>
      </w:pPr>
      <w:r w:rsidRPr="005843B6">
        <w:rPr>
          <w:lang w:val="en"/>
        </w:rPr>
        <w:t>Information and results on any other similar assessments</w:t>
      </w:r>
      <w:r w:rsidR="009741E8">
        <w:rPr>
          <w:lang w:val="en"/>
        </w:rPr>
        <w:t>, including environmental risk assessments,</w:t>
      </w:r>
      <w:r w:rsidRPr="005843B6">
        <w:rPr>
          <w:lang w:val="en"/>
        </w:rPr>
        <w:t xml:space="preserve"> undertaken on the species</w:t>
      </w:r>
      <w:r w:rsidR="00BE6311">
        <w:rPr>
          <w:lang w:val="en"/>
        </w:rPr>
        <w:t xml:space="preserve"> both in Australia and overseas</w:t>
      </w:r>
    </w:p>
    <w:p w14:paraId="03A2CCD5" w14:textId="77777777" w:rsidR="00F46BD8" w:rsidRPr="005843B6" w:rsidRDefault="00F46BD8" w:rsidP="00F46BD8">
      <w:pPr>
        <w:numPr>
          <w:ilvl w:val="0"/>
          <w:numId w:val="15"/>
        </w:numPr>
        <w:rPr>
          <w:lang w:val="en"/>
        </w:rPr>
      </w:pPr>
      <w:r w:rsidRPr="005843B6">
        <w:rPr>
          <w:lang w:val="en"/>
        </w:rPr>
        <w:t>Information on all other relevant Commonwealth, State and Territory legislative controls of the target species</w:t>
      </w:r>
    </w:p>
    <w:p w14:paraId="1798A7E7" w14:textId="77777777" w:rsidR="00F46BD8" w:rsidRPr="005843B6" w:rsidRDefault="00F46BD8" w:rsidP="00F46BD8">
      <w:pPr>
        <w:numPr>
          <w:ilvl w:val="0"/>
          <w:numId w:val="15"/>
        </w:numPr>
        <w:rPr>
          <w:lang w:val="en"/>
        </w:rPr>
      </w:pPr>
      <w:r w:rsidRPr="005843B6">
        <w:rPr>
          <w:lang w:val="en"/>
        </w:rPr>
        <w:t>Report of host-specificity testing, including:</w:t>
      </w:r>
    </w:p>
    <w:p w14:paraId="566DF5F3" w14:textId="77777777" w:rsidR="00F46BD8" w:rsidRPr="005843B6" w:rsidRDefault="00F46BD8" w:rsidP="00F46BD8">
      <w:pPr>
        <w:numPr>
          <w:ilvl w:val="1"/>
          <w:numId w:val="15"/>
        </w:numPr>
        <w:rPr>
          <w:lang w:val="en"/>
        </w:rPr>
      </w:pPr>
      <w:r w:rsidRPr="005843B6">
        <w:rPr>
          <w:lang w:val="en"/>
        </w:rPr>
        <w:t>Quantified laboratory evaluation of life cycle characteristics, as appropriate, on tested species. Submitted data should include raw data and details of analyses of test results</w:t>
      </w:r>
    </w:p>
    <w:p w14:paraId="53814B7C" w14:textId="77777777" w:rsidR="00F46BD8" w:rsidRPr="005843B6" w:rsidRDefault="00F46BD8" w:rsidP="00F46BD8">
      <w:pPr>
        <w:numPr>
          <w:ilvl w:val="1"/>
          <w:numId w:val="15"/>
        </w:numPr>
        <w:rPr>
          <w:lang w:val="en"/>
        </w:rPr>
      </w:pPr>
      <w:r w:rsidRPr="005843B6">
        <w:rPr>
          <w:lang w:val="en"/>
        </w:rPr>
        <w:t>Testing methods used</w:t>
      </w:r>
    </w:p>
    <w:p w14:paraId="2239B694" w14:textId="77777777" w:rsidR="00F46BD8" w:rsidRPr="005843B6" w:rsidRDefault="00F46BD8" w:rsidP="00F46BD8">
      <w:pPr>
        <w:numPr>
          <w:ilvl w:val="1"/>
          <w:numId w:val="15"/>
        </w:numPr>
        <w:rPr>
          <w:lang w:val="en"/>
        </w:rPr>
      </w:pPr>
      <w:r w:rsidRPr="005843B6">
        <w:rPr>
          <w:lang w:val="en"/>
        </w:rPr>
        <w:t>Overseas host records, including literature and details of any discussions with experts</w:t>
      </w:r>
    </w:p>
    <w:p w14:paraId="1B1E2023" w14:textId="77777777" w:rsidR="00F46BD8" w:rsidRPr="005843B6" w:rsidRDefault="00F46BD8" w:rsidP="00F46BD8">
      <w:pPr>
        <w:numPr>
          <w:ilvl w:val="1"/>
          <w:numId w:val="15"/>
        </w:numPr>
        <w:rPr>
          <w:lang w:val="en"/>
        </w:rPr>
      </w:pPr>
      <w:r>
        <w:rPr>
          <w:lang w:val="en"/>
        </w:rPr>
        <w:t>E</w:t>
      </w:r>
      <w:r w:rsidRPr="005843B6">
        <w:rPr>
          <w:lang w:val="en"/>
        </w:rPr>
        <w:t>valuation</w:t>
      </w:r>
      <w:r>
        <w:rPr>
          <w:lang w:val="en"/>
        </w:rPr>
        <w:t xml:space="preserve"> of risks</w:t>
      </w:r>
      <w:r w:rsidRPr="005843B6">
        <w:rPr>
          <w:lang w:val="en"/>
        </w:rPr>
        <w:t xml:space="preserve"> to non-target species</w:t>
      </w:r>
    </w:p>
    <w:p w14:paraId="6DC3A66B" w14:textId="77777777" w:rsidR="00F46BD8" w:rsidRPr="005843B6" w:rsidRDefault="00F46BD8" w:rsidP="00F46BD8">
      <w:pPr>
        <w:numPr>
          <w:ilvl w:val="1"/>
          <w:numId w:val="15"/>
        </w:numPr>
        <w:rPr>
          <w:lang w:val="en"/>
        </w:rPr>
      </w:pPr>
      <w:r w:rsidRPr="005843B6">
        <w:rPr>
          <w:lang w:val="en"/>
        </w:rPr>
        <w:t xml:space="preserve">Any evidence to reveal laboratory artefacts in </w:t>
      </w:r>
      <w:proofErr w:type="spellStart"/>
      <w:r w:rsidRPr="005843B6">
        <w:rPr>
          <w:lang w:val="en"/>
        </w:rPr>
        <w:t>behaviour</w:t>
      </w:r>
      <w:proofErr w:type="spellEnd"/>
      <w:r w:rsidRPr="005843B6">
        <w:rPr>
          <w:lang w:val="en"/>
        </w:rPr>
        <w:t xml:space="preserve"> or development of the agent</w:t>
      </w:r>
    </w:p>
    <w:p w14:paraId="05D4508F" w14:textId="77777777" w:rsidR="00F46BD8" w:rsidRPr="005843B6" w:rsidRDefault="00F46BD8" w:rsidP="00F46BD8">
      <w:pPr>
        <w:numPr>
          <w:ilvl w:val="0"/>
          <w:numId w:val="15"/>
        </w:numPr>
        <w:rPr>
          <w:lang w:val="en"/>
        </w:rPr>
      </w:pPr>
      <w:r w:rsidRPr="005843B6">
        <w:rPr>
          <w:lang w:val="en"/>
        </w:rPr>
        <w:t>Possible interactions, including conflict</w:t>
      </w:r>
      <w:r>
        <w:rPr>
          <w:lang w:val="en"/>
        </w:rPr>
        <w:t>s</w:t>
      </w:r>
      <w:r w:rsidRPr="005843B6">
        <w:rPr>
          <w:lang w:val="en"/>
        </w:rPr>
        <w:t xml:space="preserve"> with existing biological control programs</w:t>
      </w:r>
    </w:p>
    <w:p w14:paraId="3D2330D3" w14:textId="77777777" w:rsidR="00F46BD8" w:rsidRPr="005843B6" w:rsidRDefault="00F46BD8" w:rsidP="00F46BD8">
      <w:pPr>
        <w:numPr>
          <w:ilvl w:val="0"/>
          <w:numId w:val="15"/>
        </w:numPr>
        <w:rPr>
          <w:lang w:val="en"/>
        </w:rPr>
      </w:pPr>
      <w:r w:rsidRPr="005843B6">
        <w:rPr>
          <w:lang w:val="en"/>
        </w:rPr>
        <w:t xml:space="preserve">Information on where, </w:t>
      </w:r>
      <w:proofErr w:type="gramStart"/>
      <w:r w:rsidRPr="005843B6">
        <w:rPr>
          <w:lang w:val="en"/>
        </w:rPr>
        <w:t>when</w:t>
      </w:r>
      <w:proofErr w:type="gramEnd"/>
      <w:r w:rsidRPr="005843B6">
        <w:rPr>
          <w:lang w:val="en"/>
        </w:rPr>
        <w:t xml:space="preserve"> and how initial releases </w:t>
      </w:r>
      <w:r>
        <w:rPr>
          <w:lang w:val="en"/>
        </w:rPr>
        <w:t>would</w:t>
      </w:r>
      <w:r w:rsidRPr="005843B6">
        <w:rPr>
          <w:lang w:val="en"/>
        </w:rPr>
        <w:t xml:space="preserve"> be made</w:t>
      </w:r>
    </w:p>
    <w:p w14:paraId="0A14F54F" w14:textId="77777777" w:rsidR="00F46BD8" w:rsidRPr="005843B6" w:rsidRDefault="00F46BD8" w:rsidP="00F46BD8">
      <w:pPr>
        <w:numPr>
          <w:ilvl w:val="0"/>
          <w:numId w:val="15"/>
        </w:numPr>
        <w:rPr>
          <w:lang w:val="en"/>
        </w:rPr>
      </w:pPr>
      <w:r w:rsidRPr="005843B6">
        <w:rPr>
          <w:lang w:val="en"/>
        </w:rPr>
        <w:t xml:space="preserve">Information on whether </w:t>
      </w:r>
      <w:r w:rsidR="00903315">
        <w:rPr>
          <w:lang w:val="en"/>
        </w:rPr>
        <w:t>the agent</w:t>
      </w:r>
      <w:r w:rsidRPr="005843B6">
        <w:rPr>
          <w:lang w:val="en"/>
        </w:rPr>
        <w:t xml:space="preserve"> has established populations</w:t>
      </w:r>
      <w:r w:rsidR="00903315" w:rsidRPr="00903315">
        <w:t xml:space="preserve"> in other countries</w:t>
      </w:r>
      <w:r w:rsidR="00903315">
        <w:t xml:space="preserve"> outside its native range</w:t>
      </w:r>
      <w:r w:rsidR="00903315" w:rsidRPr="00903315">
        <w:t>, and if so, details of i</w:t>
      </w:r>
      <w:r w:rsidR="00903315">
        <w:t>ntroduction, spread and any non-</w:t>
      </w:r>
      <w:r w:rsidR="00903315" w:rsidRPr="00903315">
        <w:t>target impacts recorded</w:t>
      </w:r>
      <w:r w:rsidR="00903315">
        <w:t>.</w:t>
      </w:r>
    </w:p>
    <w:p w14:paraId="61138554" w14:textId="77777777" w:rsidR="00F46BD8" w:rsidRPr="005843B6" w:rsidRDefault="00F46BD8" w:rsidP="00F46BD8">
      <w:pPr>
        <w:ind w:left="720"/>
        <w:rPr>
          <w:lang w:val="en"/>
        </w:rPr>
      </w:pPr>
    </w:p>
    <w:p w14:paraId="44EED91B" w14:textId="77777777" w:rsidR="00F46BD8" w:rsidRPr="005843B6" w:rsidRDefault="00F46BD8" w:rsidP="00F46BD8">
      <w:pPr>
        <w:rPr>
          <w:lang w:val="en"/>
        </w:rPr>
      </w:pPr>
      <w:r w:rsidRPr="005843B6">
        <w:rPr>
          <w:lang w:val="en"/>
        </w:rPr>
        <w:t>The above list is provided as a guide, and it is noted that</w:t>
      </w:r>
      <w:r>
        <w:rPr>
          <w:lang w:val="en"/>
        </w:rPr>
        <w:t xml:space="preserve"> </w:t>
      </w:r>
      <w:r w:rsidRPr="005843B6">
        <w:rPr>
          <w:lang w:val="en"/>
        </w:rPr>
        <w:t>in some cases more information will be required. It is also noted that for some targets and agents, not all points will need to be covered. The notes below (see ‘</w:t>
      </w:r>
      <w:hyperlink w:anchor="_Notes_to_data" w:history="1">
        <w:r w:rsidRPr="00B56337">
          <w:rPr>
            <w:rStyle w:val="Hyperlink"/>
            <w:lang w:val="en"/>
          </w:rPr>
          <w:t xml:space="preserve">Notes </w:t>
        </w:r>
        <w:r w:rsidR="00363134">
          <w:rPr>
            <w:rStyle w:val="Hyperlink"/>
            <w:lang w:val="en"/>
          </w:rPr>
          <w:t>on</w:t>
        </w:r>
        <w:r w:rsidRPr="00B56337">
          <w:rPr>
            <w:rStyle w:val="Hyperlink"/>
            <w:lang w:val="en"/>
          </w:rPr>
          <w:t xml:space="preserve"> data package requirements</w:t>
        </w:r>
      </w:hyperlink>
      <w:r w:rsidRPr="005843B6">
        <w:rPr>
          <w:lang w:val="en"/>
        </w:rPr>
        <w:t>’) provide guidance on materials that should be supplied in relation to the numbered items above.</w:t>
      </w:r>
    </w:p>
    <w:p w14:paraId="1A0BC8BD" w14:textId="77777777" w:rsidR="00F46BD8" w:rsidRDefault="00F46BD8" w:rsidP="00F46BD8"/>
    <w:p w14:paraId="5120ABAA" w14:textId="77777777" w:rsidR="00F46BD8" w:rsidRDefault="00F46BD8" w:rsidP="00F46BD8"/>
    <w:p w14:paraId="6D666AA7" w14:textId="77777777" w:rsidR="00F46BD8" w:rsidRDefault="00F46BD8" w:rsidP="00F46BD8">
      <w:pPr>
        <w:pStyle w:val="Heading2"/>
      </w:pPr>
      <w:r>
        <w:lastRenderedPageBreak/>
        <w:t>Step 8: Assessment of release package</w:t>
      </w:r>
    </w:p>
    <w:p w14:paraId="0D1676F7" w14:textId="56722DE3" w:rsidR="00F46BD8" w:rsidRDefault="00F46BD8" w:rsidP="009431DF">
      <w:pPr>
        <w:pStyle w:val="Heading3"/>
      </w:pPr>
      <w:r>
        <w:t xml:space="preserve">Responsibility: </w:t>
      </w:r>
      <w:r w:rsidR="00521606" w:rsidRPr="00521606">
        <w:rPr>
          <w:lang w:val="en"/>
        </w:rPr>
        <w:t xml:space="preserve">Department of Agriculture, </w:t>
      </w:r>
      <w:r w:rsidR="00561B0E">
        <w:rPr>
          <w:lang w:val="en"/>
        </w:rPr>
        <w:t>Fisheries and Forestry</w:t>
      </w:r>
    </w:p>
    <w:p w14:paraId="31DEA398" w14:textId="0AF7E92C" w:rsidR="00F46BD8" w:rsidRDefault="00F46BD8" w:rsidP="009431DF">
      <w:pPr>
        <w:pStyle w:val="Heading3"/>
      </w:pPr>
      <w:r>
        <w:t xml:space="preserve">Approval: </w:t>
      </w:r>
      <w:r w:rsidR="00521606" w:rsidRPr="00521606">
        <w:rPr>
          <w:lang w:val="en"/>
        </w:rPr>
        <w:t xml:space="preserve">Department of Agriculture, </w:t>
      </w:r>
      <w:r w:rsidR="00561B0E">
        <w:rPr>
          <w:lang w:val="en"/>
        </w:rPr>
        <w:t>Fisheries and Forestry</w:t>
      </w:r>
    </w:p>
    <w:p w14:paraId="4536CB18" w14:textId="77777777" w:rsidR="00F46BD8" w:rsidRDefault="00F46BD8" w:rsidP="00F46BD8">
      <w:pPr>
        <w:rPr>
          <w:lang w:val="en"/>
        </w:rPr>
      </w:pPr>
      <w:r w:rsidRPr="0071375B">
        <w:rPr>
          <w:lang w:val="en"/>
        </w:rPr>
        <w:t xml:space="preserve">After the application and the information package are received, the department will conduct a risk analysis in accordance with the </w:t>
      </w:r>
      <w:hyperlink r:id="rId17" w:history="1">
        <w:r w:rsidRPr="0071375B">
          <w:rPr>
            <w:rStyle w:val="Hyperlink"/>
            <w:lang w:val="en"/>
          </w:rPr>
          <w:t>BIRA guidelines</w:t>
        </w:r>
      </w:hyperlink>
      <w:r w:rsidRPr="0071375B">
        <w:rPr>
          <w:lang w:val="en"/>
        </w:rPr>
        <w:t xml:space="preserve">. </w:t>
      </w:r>
    </w:p>
    <w:p w14:paraId="621A3F7E" w14:textId="77777777" w:rsidR="00F46BD8" w:rsidRPr="0071375B" w:rsidRDefault="00F46BD8" w:rsidP="00F46BD8">
      <w:pPr>
        <w:rPr>
          <w:lang w:val="en"/>
        </w:rPr>
      </w:pPr>
    </w:p>
    <w:p w14:paraId="2402B492" w14:textId="77777777" w:rsidR="00F46BD8" w:rsidRDefault="00F46BD8" w:rsidP="00F46BD8">
      <w:pPr>
        <w:rPr>
          <w:lang w:val="en"/>
        </w:rPr>
      </w:pPr>
      <w:r w:rsidRPr="0071375B">
        <w:rPr>
          <w:lang w:val="en"/>
        </w:rPr>
        <w:t xml:space="preserve">A preliminary draft risk analysis report will be distributed to state and territory departments of primary industry and the Commonwealth Scientific and Industrial Research </w:t>
      </w:r>
      <w:proofErr w:type="spellStart"/>
      <w:r w:rsidRPr="0071375B">
        <w:rPr>
          <w:lang w:val="en"/>
        </w:rPr>
        <w:t>Organisation</w:t>
      </w:r>
      <w:proofErr w:type="spellEnd"/>
      <w:r w:rsidRPr="0071375B">
        <w:rPr>
          <w:lang w:val="en"/>
        </w:rPr>
        <w:t xml:space="preserve"> (CSIRO) through the Plant Health Committee (PHC). Comments received via this consultation process will be incorporated into the draft risk analysis report.</w:t>
      </w:r>
    </w:p>
    <w:p w14:paraId="16D5F8D1" w14:textId="77777777" w:rsidR="00F46BD8" w:rsidRPr="0071375B" w:rsidRDefault="00F46BD8" w:rsidP="00F46BD8">
      <w:pPr>
        <w:rPr>
          <w:lang w:val="en"/>
        </w:rPr>
      </w:pPr>
    </w:p>
    <w:p w14:paraId="29B7311C" w14:textId="251FFAB0" w:rsidR="00F46BD8" w:rsidRDefault="00F46BD8" w:rsidP="00F46BD8">
      <w:pPr>
        <w:rPr>
          <w:lang w:val="en"/>
        </w:rPr>
      </w:pPr>
      <w:r w:rsidRPr="0071375B">
        <w:rPr>
          <w:lang w:val="en"/>
        </w:rPr>
        <w:t xml:space="preserve">A draft report will be published on the </w:t>
      </w:r>
      <w:r w:rsidR="00A57C0E">
        <w:rPr>
          <w:lang w:val="en"/>
        </w:rPr>
        <w:t>department’s</w:t>
      </w:r>
      <w:r w:rsidR="00C50AE3" w:rsidRPr="00C50AE3">
        <w:rPr>
          <w:lang w:val="en"/>
        </w:rPr>
        <w:t xml:space="preserve"> </w:t>
      </w:r>
      <w:r w:rsidRPr="0071375B">
        <w:rPr>
          <w:lang w:val="en"/>
        </w:rPr>
        <w:t>website for public comment and will be distributed to registered stakeholders. Comments must be submitted within 30 days. The department will consider comments and will produce a final report.</w:t>
      </w:r>
    </w:p>
    <w:p w14:paraId="73E3C813" w14:textId="77777777" w:rsidR="00F46BD8" w:rsidRPr="0071375B" w:rsidRDefault="00F46BD8" w:rsidP="00F46BD8">
      <w:pPr>
        <w:rPr>
          <w:lang w:val="en"/>
        </w:rPr>
      </w:pPr>
    </w:p>
    <w:p w14:paraId="047F76FE" w14:textId="4B4F2CA0" w:rsidR="00F46BD8" w:rsidRDefault="00F46BD8" w:rsidP="00F46BD8">
      <w:r w:rsidRPr="0071375B">
        <w:rPr>
          <w:lang w:val="en"/>
        </w:rPr>
        <w:t xml:space="preserve">The </w:t>
      </w:r>
      <w:r w:rsidR="00FC4400" w:rsidRPr="00FC4400">
        <w:rPr>
          <w:lang w:val="en"/>
        </w:rPr>
        <w:t>Department of Climate Change, Energy, the Environment and Water (DCCEEW)</w:t>
      </w:r>
      <w:r w:rsidR="00D50A6B">
        <w:rPr>
          <w:lang w:val="en"/>
        </w:rPr>
        <w:t xml:space="preserve"> </w:t>
      </w:r>
      <w:r w:rsidRPr="0071375B">
        <w:rPr>
          <w:lang w:val="en"/>
        </w:rPr>
        <w:t>also has an approval process for the import and release of biological control agents</w:t>
      </w:r>
      <w:r>
        <w:rPr>
          <w:lang w:val="en"/>
        </w:rPr>
        <w:t xml:space="preserve"> that are animals</w:t>
      </w:r>
      <w:r w:rsidRPr="0071375B">
        <w:rPr>
          <w:lang w:val="en"/>
        </w:rPr>
        <w:t xml:space="preserve"> under the </w:t>
      </w:r>
      <w:r w:rsidRPr="0071375B">
        <w:rPr>
          <w:i/>
          <w:iCs/>
          <w:lang w:val="en"/>
        </w:rPr>
        <w:t>Environment Protection and Biodiversity Conservation Act 1999</w:t>
      </w:r>
      <w:r w:rsidRPr="0071375B">
        <w:rPr>
          <w:lang w:val="en"/>
        </w:rPr>
        <w:t xml:space="preserve"> (EPBC Act). Under Section 303EE (4) of the EPBC Act, a </w:t>
      </w:r>
      <w:r w:rsidR="00C50AE3" w:rsidRPr="00C50AE3">
        <w:rPr>
          <w:lang w:val="en"/>
        </w:rPr>
        <w:t xml:space="preserve">Department of Agriculture, </w:t>
      </w:r>
      <w:r w:rsidR="00561B0E">
        <w:rPr>
          <w:lang w:val="en"/>
        </w:rPr>
        <w:t>Fisheries and Forestry</w:t>
      </w:r>
      <w:r w:rsidR="00C50AE3" w:rsidRPr="00C50AE3">
        <w:rPr>
          <w:lang w:val="en"/>
        </w:rPr>
        <w:t xml:space="preserve"> </w:t>
      </w:r>
      <w:r w:rsidRPr="0071375B">
        <w:rPr>
          <w:lang w:val="en"/>
        </w:rPr>
        <w:t xml:space="preserve">final risk analysis report may be used by the responsible Minister in </w:t>
      </w:r>
      <w:proofErr w:type="gramStart"/>
      <w:r w:rsidRPr="0071375B">
        <w:rPr>
          <w:lang w:val="en"/>
        </w:rPr>
        <w:t>making a determination</w:t>
      </w:r>
      <w:proofErr w:type="gramEnd"/>
      <w:r w:rsidRPr="0071375B">
        <w:rPr>
          <w:lang w:val="en"/>
        </w:rPr>
        <w:t xml:space="preserve"> to include the </w:t>
      </w:r>
      <w:r>
        <w:rPr>
          <w:lang w:val="en"/>
        </w:rPr>
        <w:t>species</w:t>
      </w:r>
      <w:r w:rsidRPr="0071375B">
        <w:rPr>
          <w:lang w:val="en"/>
        </w:rPr>
        <w:t xml:space="preserve"> on the List of Specimens taken to be Suitable for Live Import (the Live Import List). </w:t>
      </w:r>
      <w:r w:rsidR="007A7A6F" w:rsidRPr="007A7A6F">
        <w:rPr>
          <w:lang w:val="en"/>
        </w:rPr>
        <w:t xml:space="preserve">The </w:t>
      </w:r>
      <w:r w:rsidR="007A7A6F">
        <w:rPr>
          <w:lang w:val="en"/>
        </w:rPr>
        <w:t>department</w:t>
      </w:r>
      <w:r w:rsidR="007A7A6F" w:rsidRPr="007A7A6F">
        <w:rPr>
          <w:lang w:val="en"/>
        </w:rPr>
        <w:t xml:space="preserve"> will consult with </w:t>
      </w:r>
      <w:r w:rsidR="007A7A6F">
        <w:rPr>
          <w:lang w:val="en"/>
        </w:rPr>
        <w:t>DCCEEW</w:t>
      </w:r>
      <w:r w:rsidR="007A7A6F" w:rsidRPr="007A7A6F">
        <w:rPr>
          <w:lang w:val="en"/>
        </w:rPr>
        <w:t xml:space="preserve"> throughout the process and prior to the release of the final risk analysis report.</w:t>
      </w:r>
    </w:p>
    <w:p w14:paraId="2904ABF1" w14:textId="77777777" w:rsidR="00F46BD8" w:rsidRDefault="00F46BD8" w:rsidP="00F46BD8"/>
    <w:p w14:paraId="334502D6" w14:textId="77777777" w:rsidR="00CA2CC2" w:rsidRDefault="00CA2CC2" w:rsidP="00F46BD8"/>
    <w:p w14:paraId="798A8DC0" w14:textId="77777777" w:rsidR="00F46BD8" w:rsidRDefault="00F46BD8" w:rsidP="00F46BD8">
      <w:pPr>
        <w:pStyle w:val="Heading2"/>
      </w:pPr>
      <w:r>
        <w:t>Step 9: Release conditions/requirements</w:t>
      </w:r>
    </w:p>
    <w:p w14:paraId="536CFFED" w14:textId="26267486" w:rsidR="00F46BD8" w:rsidRDefault="00F46BD8" w:rsidP="009431DF">
      <w:pPr>
        <w:pStyle w:val="Heading3"/>
      </w:pPr>
      <w:r>
        <w:t xml:space="preserve">Responsibility: </w:t>
      </w:r>
      <w:r w:rsidR="00C50AE3" w:rsidRPr="00C50AE3">
        <w:rPr>
          <w:lang w:val="en"/>
        </w:rPr>
        <w:t xml:space="preserve">Department of Agriculture, </w:t>
      </w:r>
      <w:r w:rsidR="00561B0E">
        <w:rPr>
          <w:lang w:val="en"/>
        </w:rPr>
        <w:t>Fisheries and Forestry</w:t>
      </w:r>
    </w:p>
    <w:p w14:paraId="17A306A2" w14:textId="4F3E85D9" w:rsidR="00F46BD8" w:rsidRDefault="00F46BD8" w:rsidP="009431DF">
      <w:pPr>
        <w:pStyle w:val="Heading3"/>
      </w:pPr>
      <w:r>
        <w:t xml:space="preserve">Approval: </w:t>
      </w:r>
      <w:r w:rsidR="00C50AE3" w:rsidRPr="00C50AE3">
        <w:rPr>
          <w:lang w:val="en"/>
        </w:rPr>
        <w:t xml:space="preserve">Department of Agriculture, </w:t>
      </w:r>
      <w:r w:rsidR="00561B0E">
        <w:rPr>
          <w:lang w:val="en"/>
        </w:rPr>
        <w:t>Fisheries and Forestry</w:t>
      </w:r>
    </w:p>
    <w:p w14:paraId="64423F07" w14:textId="77777777" w:rsidR="00F46BD8" w:rsidRDefault="00F46BD8" w:rsidP="00F46BD8">
      <w:pPr>
        <w:rPr>
          <w:lang w:val="en"/>
        </w:rPr>
      </w:pPr>
      <w:r w:rsidRPr="008C3612">
        <w:rPr>
          <w:lang w:val="en"/>
        </w:rPr>
        <w:t>Following the risk analysis process, if the department recommends approval for release, a letter will be sent to the applicant providing conditions of release.</w:t>
      </w:r>
    </w:p>
    <w:p w14:paraId="5C78E900" w14:textId="77777777" w:rsidR="00F46BD8" w:rsidRPr="008C3612" w:rsidRDefault="00F46BD8" w:rsidP="00F46BD8">
      <w:pPr>
        <w:rPr>
          <w:lang w:val="en"/>
        </w:rPr>
      </w:pPr>
    </w:p>
    <w:p w14:paraId="258F8FB3" w14:textId="77777777" w:rsidR="00F46BD8" w:rsidRDefault="004A5178" w:rsidP="00F46BD8">
      <w:pPr>
        <w:rPr>
          <w:lang w:val="en"/>
        </w:rPr>
      </w:pPr>
      <w:r>
        <w:rPr>
          <w:lang w:val="en"/>
        </w:rPr>
        <w:t>Additional voucher specimens</w:t>
      </w:r>
      <w:r w:rsidR="00F46BD8" w:rsidRPr="008C3612">
        <w:rPr>
          <w:lang w:val="en"/>
        </w:rPr>
        <w:t xml:space="preserve"> must be lodged with the Australian National Insect Collection or an Australian State/Territory agricultural collection or herbarium, labelled with the following information:</w:t>
      </w:r>
    </w:p>
    <w:p w14:paraId="0F8892AF" w14:textId="77777777" w:rsidR="00F46BD8" w:rsidRDefault="00F46BD8" w:rsidP="00F46BD8"/>
    <w:p w14:paraId="056FF016" w14:textId="77777777" w:rsidR="00F46BD8" w:rsidRPr="002B0EE9" w:rsidRDefault="00F46BD8" w:rsidP="00F46BD8">
      <w:pPr>
        <w:numPr>
          <w:ilvl w:val="0"/>
          <w:numId w:val="14"/>
        </w:numPr>
        <w:tabs>
          <w:tab w:val="num" w:pos="426"/>
        </w:tabs>
        <w:rPr>
          <w:lang w:val="en"/>
        </w:rPr>
      </w:pPr>
      <w:r w:rsidRPr="002B0EE9">
        <w:rPr>
          <w:lang w:val="en"/>
        </w:rPr>
        <w:t>Reference numbers for undescribed species</w:t>
      </w:r>
    </w:p>
    <w:p w14:paraId="325A2B6C" w14:textId="77777777" w:rsidR="00F46BD8" w:rsidRPr="002B0EE9" w:rsidRDefault="00F46BD8" w:rsidP="00F46BD8">
      <w:pPr>
        <w:numPr>
          <w:ilvl w:val="0"/>
          <w:numId w:val="14"/>
        </w:numPr>
        <w:tabs>
          <w:tab w:val="num" w:pos="426"/>
        </w:tabs>
        <w:rPr>
          <w:lang w:val="en"/>
        </w:rPr>
      </w:pPr>
      <w:r w:rsidRPr="002B0EE9">
        <w:rPr>
          <w:lang w:val="en"/>
        </w:rPr>
        <w:t>Country of origin</w:t>
      </w:r>
    </w:p>
    <w:p w14:paraId="4840A740" w14:textId="77777777" w:rsidR="00F46BD8" w:rsidRPr="002B0EE9" w:rsidRDefault="00F46BD8" w:rsidP="00F46BD8">
      <w:pPr>
        <w:numPr>
          <w:ilvl w:val="0"/>
          <w:numId w:val="14"/>
        </w:numPr>
        <w:tabs>
          <w:tab w:val="num" w:pos="426"/>
        </w:tabs>
        <w:rPr>
          <w:lang w:val="en"/>
        </w:rPr>
      </w:pPr>
      <w:r w:rsidRPr="002B0EE9">
        <w:rPr>
          <w:lang w:val="en"/>
        </w:rPr>
        <w:t>Host</w:t>
      </w:r>
    </w:p>
    <w:p w14:paraId="735D13FE" w14:textId="77777777" w:rsidR="00F46BD8" w:rsidRPr="002B0EE9" w:rsidRDefault="00F46BD8" w:rsidP="00F46BD8">
      <w:pPr>
        <w:numPr>
          <w:ilvl w:val="0"/>
          <w:numId w:val="14"/>
        </w:numPr>
        <w:tabs>
          <w:tab w:val="num" w:pos="426"/>
        </w:tabs>
        <w:rPr>
          <w:lang w:val="en"/>
        </w:rPr>
      </w:pPr>
      <w:r w:rsidRPr="002B0EE9">
        <w:rPr>
          <w:lang w:val="en"/>
        </w:rPr>
        <w:t>Date collected</w:t>
      </w:r>
    </w:p>
    <w:p w14:paraId="54D4FDFE" w14:textId="77777777" w:rsidR="00F46BD8" w:rsidRPr="002B0EE9" w:rsidRDefault="00F46BD8" w:rsidP="00F46BD8">
      <w:pPr>
        <w:numPr>
          <w:ilvl w:val="0"/>
          <w:numId w:val="14"/>
        </w:numPr>
        <w:tabs>
          <w:tab w:val="num" w:pos="426"/>
        </w:tabs>
        <w:rPr>
          <w:lang w:val="en"/>
        </w:rPr>
      </w:pPr>
      <w:r w:rsidRPr="002B0EE9">
        <w:rPr>
          <w:lang w:val="en"/>
        </w:rPr>
        <w:t>Collection location</w:t>
      </w:r>
    </w:p>
    <w:p w14:paraId="0A20E9E5" w14:textId="77777777" w:rsidR="00F46BD8" w:rsidRPr="002B0EE9" w:rsidRDefault="00F46BD8" w:rsidP="00F46BD8">
      <w:pPr>
        <w:numPr>
          <w:ilvl w:val="0"/>
          <w:numId w:val="14"/>
        </w:numPr>
        <w:tabs>
          <w:tab w:val="num" w:pos="426"/>
        </w:tabs>
        <w:rPr>
          <w:lang w:val="en"/>
        </w:rPr>
      </w:pPr>
      <w:r w:rsidRPr="002B0EE9">
        <w:rPr>
          <w:lang w:val="en"/>
        </w:rPr>
        <w:t>Target species</w:t>
      </w:r>
    </w:p>
    <w:p w14:paraId="2BB9A9E5" w14:textId="77777777" w:rsidR="00F46BD8" w:rsidRPr="002B0EE9" w:rsidRDefault="00F46BD8" w:rsidP="00F46BD8">
      <w:pPr>
        <w:numPr>
          <w:ilvl w:val="0"/>
          <w:numId w:val="14"/>
        </w:numPr>
        <w:tabs>
          <w:tab w:val="num" w:pos="426"/>
        </w:tabs>
        <w:rPr>
          <w:lang w:val="en"/>
        </w:rPr>
      </w:pPr>
      <w:r w:rsidRPr="002B0EE9">
        <w:rPr>
          <w:lang w:val="en"/>
        </w:rPr>
        <w:t>Source of identification</w:t>
      </w:r>
    </w:p>
    <w:p w14:paraId="0CB77669" w14:textId="77777777" w:rsidR="00F46BD8" w:rsidRPr="008C3612" w:rsidRDefault="00F46BD8" w:rsidP="00F46BD8">
      <w:pPr>
        <w:numPr>
          <w:ilvl w:val="0"/>
          <w:numId w:val="14"/>
        </w:numPr>
        <w:tabs>
          <w:tab w:val="num" w:pos="426"/>
        </w:tabs>
        <w:rPr>
          <w:lang w:val="en" w:eastAsia="en-AU"/>
        </w:rPr>
      </w:pPr>
      <w:r w:rsidRPr="002B0EE9">
        <w:rPr>
          <w:lang w:val="en"/>
        </w:rPr>
        <w:t>Contact officer for biological control program</w:t>
      </w:r>
    </w:p>
    <w:p w14:paraId="754640CE" w14:textId="77777777" w:rsidR="00F46BD8" w:rsidRDefault="00F46BD8" w:rsidP="00F46BD8"/>
    <w:p w14:paraId="2331148D" w14:textId="77777777" w:rsidR="00F46BD8" w:rsidRDefault="00F46BD8" w:rsidP="00F46BD8">
      <w:pPr>
        <w:pStyle w:val="Heading2"/>
      </w:pPr>
      <w:r>
        <w:lastRenderedPageBreak/>
        <w:t>Step 10: Amending the live import list for biological control agents that are animals</w:t>
      </w:r>
    </w:p>
    <w:p w14:paraId="2CEE267D" w14:textId="052F9CEF" w:rsidR="00F46BD8" w:rsidRDefault="00F46BD8" w:rsidP="009431DF">
      <w:pPr>
        <w:pStyle w:val="Heading3"/>
      </w:pPr>
      <w:r>
        <w:t xml:space="preserve">Responsibility: </w:t>
      </w:r>
      <w:r w:rsidR="009431DF" w:rsidRPr="009431DF">
        <w:rPr>
          <w:lang w:val="en"/>
        </w:rPr>
        <w:t>Department of Climate Change, Energy, the Environment and Water</w:t>
      </w:r>
    </w:p>
    <w:p w14:paraId="474744E7" w14:textId="17FE0C4E" w:rsidR="00F46BD8" w:rsidRDefault="00F46BD8" w:rsidP="009431DF">
      <w:pPr>
        <w:pStyle w:val="Heading3"/>
      </w:pPr>
      <w:r>
        <w:t xml:space="preserve">Approval: </w:t>
      </w:r>
      <w:r w:rsidR="009431DF" w:rsidRPr="009431DF">
        <w:rPr>
          <w:lang w:val="en"/>
        </w:rPr>
        <w:t>Department of Climate Change, Energy, the Environment and Water</w:t>
      </w:r>
    </w:p>
    <w:p w14:paraId="142B344D" w14:textId="38F4A2D3" w:rsidR="00F46BD8" w:rsidRDefault="00C50AE3" w:rsidP="00F46BD8">
      <w:pPr>
        <w:rPr>
          <w:lang w:val="en"/>
        </w:rPr>
      </w:pPr>
      <w:r>
        <w:rPr>
          <w:lang w:val="en"/>
        </w:rPr>
        <w:t xml:space="preserve">If </w:t>
      </w:r>
      <w:r w:rsidR="00DC5FBD">
        <w:rPr>
          <w:lang w:val="en"/>
        </w:rPr>
        <w:t>DCCEEW is satisfied with the findings of</w:t>
      </w:r>
      <w:r>
        <w:rPr>
          <w:lang w:val="en"/>
        </w:rPr>
        <w:t xml:space="preserve"> the risk analysis</w:t>
      </w:r>
      <w:r w:rsidR="00DC5FBD">
        <w:rPr>
          <w:lang w:val="en"/>
        </w:rPr>
        <w:t xml:space="preserve"> produced by the Department of Agriculture, Fisheries and Forestry</w:t>
      </w:r>
      <w:r w:rsidR="00F46BD8" w:rsidRPr="005558F1">
        <w:rPr>
          <w:lang w:val="en"/>
        </w:rPr>
        <w:t>, a recommendation will be made to the Minister for the Envir</w:t>
      </w:r>
      <w:r w:rsidR="00F46BD8">
        <w:rPr>
          <w:lang w:val="en"/>
        </w:rPr>
        <w:t>onment</w:t>
      </w:r>
      <w:r w:rsidR="00896E38">
        <w:rPr>
          <w:lang w:val="en"/>
        </w:rPr>
        <w:t xml:space="preserve"> and Water</w:t>
      </w:r>
      <w:r w:rsidR="00F46BD8">
        <w:rPr>
          <w:lang w:val="en"/>
        </w:rPr>
        <w:t xml:space="preserve"> to amend the Live Import L</w:t>
      </w:r>
      <w:r w:rsidR="00F46BD8" w:rsidRPr="005558F1">
        <w:rPr>
          <w:lang w:val="en"/>
        </w:rPr>
        <w:t xml:space="preserve">ist to include the biological control </w:t>
      </w:r>
      <w:r w:rsidR="00F46BD8">
        <w:rPr>
          <w:lang w:val="en"/>
        </w:rPr>
        <w:t xml:space="preserve">agent </w:t>
      </w:r>
      <w:r w:rsidR="00F46BD8" w:rsidRPr="005558F1">
        <w:rPr>
          <w:lang w:val="en"/>
        </w:rPr>
        <w:t>species.</w:t>
      </w:r>
    </w:p>
    <w:p w14:paraId="58823467" w14:textId="77777777" w:rsidR="00F46BD8" w:rsidRPr="005558F1" w:rsidRDefault="00F46BD8" w:rsidP="00F46BD8">
      <w:pPr>
        <w:rPr>
          <w:lang w:val="en"/>
        </w:rPr>
      </w:pPr>
    </w:p>
    <w:p w14:paraId="162149BC" w14:textId="658582FC" w:rsidR="00F46BD8" w:rsidRDefault="00F46BD8" w:rsidP="00F46BD8">
      <w:pPr>
        <w:rPr>
          <w:lang w:val="en"/>
        </w:rPr>
      </w:pPr>
      <w:r w:rsidRPr="005558F1">
        <w:rPr>
          <w:lang w:val="en"/>
        </w:rPr>
        <w:t xml:space="preserve">The </w:t>
      </w:r>
      <w:r w:rsidR="009431DF" w:rsidRPr="009431DF">
        <w:rPr>
          <w:lang w:val="en"/>
        </w:rPr>
        <w:t>Department of Climate Change, Energy, the Environment and Water</w:t>
      </w:r>
      <w:r w:rsidR="009431DF">
        <w:rPr>
          <w:lang w:val="en"/>
        </w:rPr>
        <w:t xml:space="preserve"> (DCCEEW)</w:t>
      </w:r>
      <w:r w:rsidR="00E002FC" w:rsidRPr="00E002FC">
        <w:rPr>
          <w:lang w:val="en"/>
        </w:rPr>
        <w:t xml:space="preserve"> </w:t>
      </w:r>
      <w:r w:rsidRPr="005558F1">
        <w:rPr>
          <w:lang w:val="en"/>
        </w:rPr>
        <w:t xml:space="preserve">is responsible under the EPBC Act for assessing the environmental impact associated with proposals to import live species. Should </w:t>
      </w:r>
      <w:r w:rsidR="009431DF">
        <w:rPr>
          <w:lang w:val="en"/>
        </w:rPr>
        <w:t>DCCEEW</w:t>
      </w:r>
      <w:r w:rsidR="00594D02" w:rsidRPr="00594D02">
        <w:rPr>
          <w:lang w:val="en"/>
        </w:rPr>
        <w:t xml:space="preserve"> </w:t>
      </w:r>
      <w:r w:rsidRPr="005558F1">
        <w:rPr>
          <w:lang w:val="en"/>
        </w:rPr>
        <w:t>require more extensive information to meet the requirements of the EPBC Act, the applicant must provide this.</w:t>
      </w:r>
    </w:p>
    <w:p w14:paraId="16165D82" w14:textId="77777777" w:rsidR="00F46BD8" w:rsidRPr="005558F1" w:rsidRDefault="00F46BD8" w:rsidP="00F46BD8">
      <w:pPr>
        <w:rPr>
          <w:lang w:val="en"/>
        </w:rPr>
      </w:pPr>
    </w:p>
    <w:p w14:paraId="730DFE25" w14:textId="7911EA52" w:rsidR="00F46BD8" w:rsidRDefault="00F46BD8" w:rsidP="00F46BD8">
      <w:pPr>
        <w:rPr>
          <w:lang w:val="en"/>
        </w:rPr>
      </w:pPr>
      <w:r w:rsidRPr="005558F1">
        <w:rPr>
          <w:lang w:val="en"/>
        </w:rPr>
        <w:t>If the Minister for the Environment</w:t>
      </w:r>
      <w:r w:rsidR="00896E38">
        <w:rPr>
          <w:lang w:val="en"/>
        </w:rPr>
        <w:t xml:space="preserve"> and Water</w:t>
      </w:r>
      <w:r w:rsidRPr="005558F1">
        <w:rPr>
          <w:lang w:val="en"/>
        </w:rPr>
        <w:t xml:space="preserve"> approves the </w:t>
      </w:r>
      <w:proofErr w:type="gramStart"/>
      <w:r w:rsidRPr="005558F1">
        <w:rPr>
          <w:lang w:val="en"/>
        </w:rPr>
        <w:t>proposal</w:t>
      </w:r>
      <w:proofErr w:type="gramEnd"/>
      <w:r w:rsidRPr="005558F1">
        <w:rPr>
          <w:lang w:val="en"/>
        </w:rPr>
        <w:t xml:space="preserve"> then the species will be added to</w:t>
      </w:r>
      <w:r w:rsidR="00354E11">
        <w:rPr>
          <w:lang w:val="en"/>
        </w:rPr>
        <w:t xml:space="preserve"> Part 1 of the Live Import L</w:t>
      </w:r>
      <w:r w:rsidRPr="005558F1">
        <w:rPr>
          <w:lang w:val="en"/>
        </w:rPr>
        <w:t>ist. Th</w:t>
      </w:r>
      <w:r>
        <w:rPr>
          <w:lang w:val="en"/>
        </w:rPr>
        <w:t xml:space="preserve">is </w:t>
      </w:r>
      <w:proofErr w:type="spellStart"/>
      <w:r w:rsidRPr="005558F1">
        <w:rPr>
          <w:lang w:val="en"/>
        </w:rPr>
        <w:t>authorise</w:t>
      </w:r>
      <w:r>
        <w:rPr>
          <w:lang w:val="en"/>
        </w:rPr>
        <w:t>s</w:t>
      </w:r>
      <w:proofErr w:type="spellEnd"/>
      <w:r>
        <w:rPr>
          <w:lang w:val="en"/>
        </w:rPr>
        <w:t xml:space="preserve"> the </w:t>
      </w:r>
      <w:r w:rsidRPr="005558F1">
        <w:rPr>
          <w:lang w:val="en"/>
        </w:rPr>
        <w:t xml:space="preserve">release of </w:t>
      </w:r>
      <w:r>
        <w:rPr>
          <w:lang w:val="en"/>
        </w:rPr>
        <w:t xml:space="preserve">the </w:t>
      </w:r>
      <w:r w:rsidRPr="005558F1">
        <w:rPr>
          <w:lang w:val="en"/>
        </w:rPr>
        <w:t>specimens imported into biosecurity containment under a testing permit</w:t>
      </w:r>
      <w:r w:rsidR="00354E11">
        <w:rPr>
          <w:lang w:val="en"/>
        </w:rPr>
        <w:t xml:space="preserve"> subject to the conditions of release from the </w:t>
      </w:r>
      <w:r w:rsidR="00855F32">
        <w:rPr>
          <w:lang w:val="en"/>
        </w:rPr>
        <w:t>department</w:t>
      </w:r>
      <w:r w:rsidR="00594D02" w:rsidRPr="00594D02">
        <w:rPr>
          <w:lang w:val="en"/>
        </w:rPr>
        <w:t xml:space="preserve"> </w:t>
      </w:r>
      <w:r w:rsidR="00354E11">
        <w:rPr>
          <w:lang w:val="en"/>
        </w:rPr>
        <w:t>(Step 9)</w:t>
      </w:r>
      <w:r w:rsidRPr="005558F1">
        <w:rPr>
          <w:lang w:val="en"/>
        </w:rPr>
        <w:t>.</w:t>
      </w:r>
    </w:p>
    <w:p w14:paraId="7ADBBAF0" w14:textId="77777777" w:rsidR="00B56337" w:rsidRDefault="00B56337" w:rsidP="00F46BD8">
      <w:pPr>
        <w:rPr>
          <w:lang w:val="en"/>
        </w:rPr>
      </w:pPr>
    </w:p>
    <w:p w14:paraId="5A9F7FCC" w14:textId="77777777" w:rsidR="00F46BD8" w:rsidRDefault="00F46BD8" w:rsidP="00F46BD8">
      <w:pPr>
        <w:rPr>
          <w:lang w:val="en"/>
        </w:rPr>
      </w:pPr>
    </w:p>
    <w:p w14:paraId="33F6A3A1" w14:textId="77777777" w:rsidR="00F46BD8" w:rsidRDefault="00F46BD8" w:rsidP="00B56337">
      <w:pPr>
        <w:pStyle w:val="Heading2"/>
      </w:pPr>
      <w:bookmarkStart w:id="1" w:name="_Notes_to_data"/>
      <w:bookmarkEnd w:id="1"/>
      <w:r w:rsidRPr="00B71164">
        <w:t xml:space="preserve">Notes </w:t>
      </w:r>
      <w:r w:rsidR="00363134">
        <w:t xml:space="preserve">on </w:t>
      </w:r>
      <w:r w:rsidRPr="00B71164">
        <w:t>data package requirements (Step 7)</w:t>
      </w:r>
    </w:p>
    <w:p w14:paraId="17F02E42" w14:textId="77777777" w:rsidR="00F46BD8" w:rsidRDefault="00F46BD8" w:rsidP="00F46BD8">
      <w:r w:rsidRPr="00B71164">
        <w:t xml:space="preserve">Recognising that each application for release of a biological control agent will be of unique character, prescriptive directives are not and cannot be provided </w:t>
      </w:r>
      <w:proofErr w:type="gramStart"/>
      <w:r w:rsidRPr="00B71164">
        <w:t>in regard to</w:t>
      </w:r>
      <w:proofErr w:type="gramEnd"/>
      <w:r w:rsidRPr="00B71164">
        <w:t xml:space="preserve"> the content of data packages provided with applications. The following notes are intended to provide some additional insight into processes for development of suitable data packages, and of considerations that reviewers will seek and potentially take into consideration in decision-making.</w:t>
      </w:r>
    </w:p>
    <w:p w14:paraId="742B5A7D" w14:textId="77777777" w:rsidR="00F46BD8" w:rsidRPr="00B71164" w:rsidRDefault="00F46BD8" w:rsidP="00F46BD8"/>
    <w:p w14:paraId="3E3B564F" w14:textId="77777777" w:rsidR="00F46BD8" w:rsidRDefault="00F46BD8" w:rsidP="00F46BD8">
      <w:pPr>
        <w:ind w:left="1276" w:hanging="1276"/>
      </w:pPr>
      <w:r w:rsidRPr="00B71164">
        <w:t xml:space="preserve">For Item 6: </w:t>
      </w:r>
      <w:r w:rsidRPr="00B71164">
        <w:tab/>
        <w:t>Target pest species identification should include order, family, genus, species, author, date, synonyms and changes in nomenclatural combinations, and common name(s) if available.</w:t>
      </w:r>
    </w:p>
    <w:p w14:paraId="056AF9EE" w14:textId="77777777" w:rsidR="00F46BD8" w:rsidRPr="00B71164" w:rsidRDefault="00F46BD8" w:rsidP="00F46BD8">
      <w:pPr>
        <w:ind w:left="1276" w:hanging="1276"/>
      </w:pPr>
    </w:p>
    <w:p w14:paraId="7402E225" w14:textId="77777777" w:rsidR="00F46BD8" w:rsidRDefault="00F46BD8" w:rsidP="00F46BD8">
      <w:pPr>
        <w:ind w:left="1276" w:hanging="1276"/>
      </w:pPr>
      <w:r w:rsidRPr="00B71164">
        <w:t>For Item 7:</w:t>
      </w:r>
      <w:r w:rsidRPr="00B71164">
        <w:tab/>
        <w:t>If the target species is a weed</w:t>
      </w:r>
      <w:r w:rsidR="00363134">
        <w:t xml:space="preserve"> </w:t>
      </w:r>
      <w:r w:rsidRPr="00B71164">
        <w:t>– declaration of weed status and legislation under which this was made or body by which it was made (including whether approved as a target for biological control</w:t>
      </w:r>
      <w:proofErr w:type="gramStart"/>
      <w:r w:rsidRPr="00B71164">
        <w:t>);</w:t>
      </w:r>
      <w:proofErr w:type="gramEnd"/>
    </w:p>
    <w:p w14:paraId="2DAA989C" w14:textId="77777777" w:rsidR="00F46BD8" w:rsidRPr="00B71164" w:rsidRDefault="00F46BD8" w:rsidP="00F46BD8">
      <w:pPr>
        <w:ind w:left="1276" w:hanging="1276"/>
      </w:pPr>
    </w:p>
    <w:p w14:paraId="04AD5332" w14:textId="77777777" w:rsidR="00F46BD8" w:rsidRDefault="00F46BD8" w:rsidP="00F46BD8">
      <w:pPr>
        <w:ind w:left="1276"/>
      </w:pPr>
      <w:r w:rsidRPr="00B71164">
        <w:t>If the target species is an invertebrate pest – declaration of invertebrate pest status and legislation under which this was made or body by which it was made (including whether approved as a target for biological control).</w:t>
      </w:r>
    </w:p>
    <w:p w14:paraId="085D5353" w14:textId="77777777" w:rsidR="00F46BD8" w:rsidRPr="00B71164" w:rsidRDefault="00F46BD8" w:rsidP="00F46BD8"/>
    <w:p w14:paraId="7F52466E" w14:textId="77777777" w:rsidR="00F46BD8" w:rsidRDefault="00F46BD8" w:rsidP="00F46BD8">
      <w:pPr>
        <w:ind w:left="1276"/>
      </w:pPr>
      <w:r w:rsidRPr="00B71164">
        <w:t>Note that applications will not be considered unless target approval has been agreed.</w:t>
      </w:r>
    </w:p>
    <w:p w14:paraId="1264DB68" w14:textId="77777777" w:rsidR="00F46BD8" w:rsidRPr="00B71164" w:rsidRDefault="00F46BD8" w:rsidP="00F46BD8">
      <w:pPr>
        <w:ind w:left="1276"/>
      </w:pPr>
    </w:p>
    <w:p w14:paraId="4241D88F" w14:textId="77777777" w:rsidR="00F46BD8" w:rsidRDefault="00F46BD8" w:rsidP="00F46BD8">
      <w:r w:rsidRPr="00B71164">
        <w:t>For Item 13.</w:t>
      </w:r>
      <w:r w:rsidRPr="00B71164">
        <w:tab/>
        <w:t>Data and information on host specificity testing should include:</w:t>
      </w:r>
    </w:p>
    <w:p w14:paraId="731DAD21" w14:textId="77777777" w:rsidR="00F46BD8" w:rsidRPr="00B71164" w:rsidRDefault="00F46BD8" w:rsidP="00F46BD8"/>
    <w:p w14:paraId="5487BA42" w14:textId="77777777" w:rsidR="00F46BD8" w:rsidRDefault="00F46BD8" w:rsidP="00F46BD8">
      <w:pPr>
        <w:numPr>
          <w:ilvl w:val="0"/>
          <w:numId w:val="17"/>
        </w:numPr>
        <w:ind w:left="426"/>
      </w:pPr>
      <w:r w:rsidRPr="00B71164">
        <w:t>Overview of the scope of testing, including</w:t>
      </w:r>
    </w:p>
    <w:p w14:paraId="760145C6" w14:textId="77777777" w:rsidR="00F46BD8" w:rsidRPr="00B71164" w:rsidRDefault="00F46BD8" w:rsidP="00F46BD8">
      <w:pPr>
        <w:ind w:left="66"/>
      </w:pPr>
    </w:p>
    <w:p w14:paraId="29DEA7EE" w14:textId="77777777" w:rsidR="00F46BD8" w:rsidRPr="00B71164" w:rsidRDefault="00F46BD8" w:rsidP="00F46BD8">
      <w:pPr>
        <w:numPr>
          <w:ilvl w:val="1"/>
          <w:numId w:val="17"/>
        </w:numPr>
      </w:pPr>
      <w:r w:rsidRPr="00B71164">
        <w:t>a list of the non-target plant/arthropod species that were tested (with scientific names, including author, year and changes in combination and synonyms</w:t>
      </w:r>
      <w:proofErr w:type="gramStart"/>
      <w:r w:rsidRPr="00B71164">
        <w:t>);</w:t>
      </w:r>
      <w:proofErr w:type="gramEnd"/>
    </w:p>
    <w:p w14:paraId="5DDD179F" w14:textId="77777777" w:rsidR="00F46BD8" w:rsidRDefault="00F46BD8" w:rsidP="00F46BD8">
      <w:pPr>
        <w:numPr>
          <w:ilvl w:val="1"/>
          <w:numId w:val="17"/>
        </w:numPr>
      </w:pPr>
      <w:r w:rsidRPr="00B71164">
        <w:t xml:space="preserve">a description of the phylogenetic relationship of those species to the target species, </w:t>
      </w:r>
      <w:r w:rsidR="00824878">
        <w:t>aligned with</w:t>
      </w:r>
      <w:r w:rsidR="00363134">
        <w:t xml:space="preserve"> </w:t>
      </w:r>
      <w:r w:rsidR="000C2100">
        <w:t>the most recent</w:t>
      </w:r>
      <w:r w:rsidR="00363134">
        <w:t xml:space="preserve"> appropriately peer-reviewed </w:t>
      </w:r>
      <w:r w:rsidR="000C2100">
        <w:t xml:space="preserve">published </w:t>
      </w:r>
      <w:r w:rsidR="00363134">
        <w:t>phylogeny</w:t>
      </w:r>
      <w:r w:rsidR="000C2100">
        <w:t>. T</w:t>
      </w:r>
      <w:r w:rsidRPr="00B71164">
        <w:t>he basis on which the non-target species were selected for testing</w:t>
      </w:r>
      <w:r w:rsidR="000C2100">
        <w:t xml:space="preserve">, </w:t>
      </w:r>
      <w:r w:rsidR="000C2100">
        <w:lastRenderedPageBreak/>
        <w:t>could, in addition to phylogenetic relatedness, include biogeographic overlap and ecological similarity (</w:t>
      </w:r>
      <w:proofErr w:type="spellStart"/>
      <w:r w:rsidR="000C2100">
        <w:t>Briese</w:t>
      </w:r>
      <w:proofErr w:type="spellEnd"/>
      <w:r w:rsidR="000C2100">
        <w:t xml:space="preserve"> 2005). </w:t>
      </w:r>
    </w:p>
    <w:p w14:paraId="05E01784" w14:textId="77777777" w:rsidR="00F46BD8" w:rsidRPr="00B71164" w:rsidRDefault="00F46BD8" w:rsidP="00F46BD8">
      <w:pPr>
        <w:ind w:left="1080"/>
      </w:pPr>
    </w:p>
    <w:p w14:paraId="00F2D3E3" w14:textId="77777777" w:rsidR="00F46BD8" w:rsidRDefault="00F46BD8" w:rsidP="00F46BD8">
      <w:pPr>
        <w:ind w:left="426"/>
      </w:pPr>
      <w:r w:rsidRPr="00B71164">
        <w:t>Selection of non-target species for testing should consider relevant agricultural, amenity and environmentally significant species (see also below).</w:t>
      </w:r>
    </w:p>
    <w:p w14:paraId="7EB75007" w14:textId="77777777" w:rsidR="00F46BD8" w:rsidRPr="00B71164" w:rsidRDefault="00F46BD8" w:rsidP="00F46BD8"/>
    <w:p w14:paraId="59860EF5" w14:textId="77777777" w:rsidR="00F46BD8" w:rsidRDefault="00F46BD8" w:rsidP="00F46BD8">
      <w:pPr>
        <w:numPr>
          <w:ilvl w:val="0"/>
          <w:numId w:val="17"/>
        </w:numPr>
      </w:pPr>
      <w:r w:rsidRPr="00B71164">
        <w:t>Details and description of testing methodology and results for target and non-target species.  This should include:</w:t>
      </w:r>
    </w:p>
    <w:p w14:paraId="06F8C079" w14:textId="77777777" w:rsidR="00F46BD8" w:rsidRPr="00B71164" w:rsidRDefault="00F46BD8" w:rsidP="00F46BD8">
      <w:pPr>
        <w:ind w:left="720"/>
      </w:pPr>
    </w:p>
    <w:p w14:paraId="0FFC91EA" w14:textId="77777777" w:rsidR="00F46BD8" w:rsidRDefault="00F46BD8" w:rsidP="00F46BD8">
      <w:pPr>
        <w:numPr>
          <w:ilvl w:val="1"/>
          <w:numId w:val="17"/>
        </w:numPr>
      </w:pPr>
      <w:r w:rsidRPr="00B71164">
        <w:t>Description of the methodology/</w:t>
      </w:r>
      <w:proofErr w:type="spellStart"/>
      <w:r w:rsidRPr="00B71164">
        <w:t>ies</w:t>
      </w:r>
      <w:proofErr w:type="spellEnd"/>
      <w:r w:rsidRPr="00B71164">
        <w:t xml:space="preserve"> that was/were used, including the rationale behind methods selection</w:t>
      </w:r>
      <w:r w:rsidR="004A4701">
        <w:t xml:space="preserve"> see, for example, </w:t>
      </w:r>
      <w:r w:rsidR="000C2100">
        <w:t xml:space="preserve">Sheppard et al. </w:t>
      </w:r>
      <w:r w:rsidR="004A4701">
        <w:t>(</w:t>
      </w:r>
      <w:r w:rsidR="000C2100">
        <w:t>2005</w:t>
      </w:r>
      <w:r w:rsidR="004A4701">
        <w:t>)</w:t>
      </w:r>
      <w:r w:rsidRPr="00B71164">
        <w:t>.</w:t>
      </w:r>
    </w:p>
    <w:p w14:paraId="67767B13" w14:textId="77777777" w:rsidR="00F46BD8" w:rsidRPr="00B71164" w:rsidRDefault="00F46BD8" w:rsidP="00F46BD8">
      <w:pPr>
        <w:ind w:left="1440"/>
      </w:pPr>
    </w:p>
    <w:p w14:paraId="475C632A" w14:textId="77777777" w:rsidR="00F46BD8" w:rsidRPr="00B71164" w:rsidRDefault="00F46BD8" w:rsidP="00F46BD8">
      <w:pPr>
        <w:numPr>
          <w:ilvl w:val="3"/>
          <w:numId w:val="20"/>
        </w:numPr>
      </w:pPr>
      <w:r w:rsidRPr="00B71164">
        <w:t>Indicate whether the target species was present during tests (</w:t>
      </w:r>
      <w:proofErr w:type="gramStart"/>
      <w:r w:rsidRPr="00B71164">
        <w:t>i.e.</w:t>
      </w:r>
      <w:proofErr w:type="gramEnd"/>
      <w:r w:rsidRPr="00B71164">
        <w:t xml:space="preserve"> whether these were ‘choice’</w:t>
      </w:r>
      <w:r w:rsidR="000C2100">
        <w:t xml:space="preserve">, </w:t>
      </w:r>
      <w:r w:rsidR="004A4701">
        <w:t>‘</w:t>
      </w:r>
      <w:r w:rsidR="000C2100">
        <w:t>choice minus target</w:t>
      </w:r>
      <w:r w:rsidR="004A4701">
        <w:t>’</w:t>
      </w:r>
      <w:r w:rsidR="000C2100">
        <w:t xml:space="preserve">, </w:t>
      </w:r>
      <w:r w:rsidRPr="00B71164">
        <w:t>or ‘no-choice’ experiments);</w:t>
      </w:r>
    </w:p>
    <w:p w14:paraId="3E55253D" w14:textId="77777777" w:rsidR="00F46BD8" w:rsidRPr="00B71164" w:rsidRDefault="00F46BD8" w:rsidP="00F46BD8">
      <w:pPr>
        <w:numPr>
          <w:ilvl w:val="3"/>
          <w:numId w:val="20"/>
        </w:numPr>
      </w:pPr>
      <w:r w:rsidRPr="00B71164">
        <w:t>For plant trials, indicate whether whole plants or parts of a plant were used in the experiments.  General preference is for tests using whole plants.</w:t>
      </w:r>
    </w:p>
    <w:p w14:paraId="63826CF9" w14:textId="77777777" w:rsidR="000C2100" w:rsidRDefault="000C2100" w:rsidP="00F46BD8">
      <w:pPr>
        <w:numPr>
          <w:ilvl w:val="3"/>
          <w:numId w:val="20"/>
        </w:numPr>
      </w:pPr>
      <w:r>
        <w:t xml:space="preserve">Stipulate the control treatment in each </w:t>
      </w:r>
      <w:proofErr w:type="gramStart"/>
      <w:r>
        <w:t>test</w:t>
      </w:r>
      <w:r w:rsidR="004A4701">
        <w:t>,</w:t>
      </w:r>
      <w:r>
        <w:t xml:space="preserve"> and</w:t>
      </w:r>
      <w:proofErr w:type="gramEnd"/>
      <w:r>
        <w:t xml:space="preserve"> include this in the results.</w:t>
      </w:r>
    </w:p>
    <w:p w14:paraId="1D9B882B" w14:textId="77777777" w:rsidR="00F46BD8" w:rsidRPr="00B71164" w:rsidRDefault="00F46BD8" w:rsidP="00F46BD8">
      <w:pPr>
        <w:numPr>
          <w:ilvl w:val="3"/>
          <w:numId w:val="20"/>
        </w:numPr>
      </w:pPr>
      <w:r w:rsidRPr="00B71164">
        <w:t xml:space="preserve">Stipulate how long the biological control agent was left with the off-target </w:t>
      </w:r>
      <w:r>
        <w:t xml:space="preserve">test </w:t>
      </w:r>
      <w:r w:rsidRPr="00B71164">
        <w:t>material (for arthropods was it until death?</w:t>
      </w:r>
      <w:proofErr w:type="gramStart"/>
      <w:r w:rsidRPr="00B71164">
        <w:t>);</w:t>
      </w:r>
      <w:proofErr w:type="gramEnd"/>
    </w:p>
    <w:p w14:paraId="72C388D3" w14:textId="77777777" w:rsidR="00F46BD8" w:rsidRPr="00B71164" w:rsidRDefault="00F46BD8" w:rsidP="00F46BD8">
      <w:pPr>
        <w:numPr>
          <w:ilvl w:val="3"/>
          <w:numId w:val="20"/>
        </w:numPr>
      </w:pPr>
      <w:r w:rsidRPr="00B71164">
        <w:t xml:space="preserve">Stipulate the life stage that was used to infect/infest the </w:t>
      </w:r>
      <w:proofErr w:type="gramStart"/>
      <w:r w:rsidRPr="00B71164">
        <w:t>off-target</w:t>
      </w:r>
      <w:proofErr w:type="gramEnd"/>
      <w:r w:rsidRPr="00B71164">
        <w:t xml:space="preserve"> material;</w:t>
      </w:r>
    </w:p>
    <w:p w14:paraId="5264F120" w14:textId="77777777" w:rsidR="00F46BD8" w:rsidRPr="00B71164" w:rsidRDefault="00F46BD8" w:rsidP="00F46BD8">
      <w:pPr>
        <w:numPr>
          <w:ilvl w:val="3"/>
          <w:numId w:val="20"/>
        </w:numPr>
      </w:pPr>
      <w:r w:rsidRPr="00B71164">
        <w:t>Identify any handling issues with the BCA that may mask a true result (for example, for very small insects are they likely to be damaged during transfer?</w:t>
      </w:r>
      <w:proofErr w:type="gramStart"/>
      <w:r w:rsidRPr="00B71164">
        <w:t>);</w:t>
      </w:r>
      <w:proofErr w:type="gramEnd"/>
    </w:p>
    <w:p w14:paraId="058336D0" w14:textId="77777777" w:rsidR="00F46BD8" w:rsidRDefault="00F46BD8" w:rsidP="00F46BD8">
      <w:pPr>
        <w:numPr>
          <w:ilvl w:val="3"/>
          <w:numId w:val="20"/>
        </w:numPr>
      </w:pPr>
      <w:r w:rsidRPr="00B71164">
        <w:t>Describe and where possible quantify any infection/infestation that occurred, and levels of damage and effect observed.</w:t>
      </w:r>
    </w:p>
    <w:p w14:paraId="15DA8968" w14:textId="77777777" w:rsidR="00F46BD8" w:rsidRPr="00B71164" w:rsidRDefault="00F46BD8" w:rsidP="00F46BD8">
      <w:pPr>
        <w:ind w:left="2880"/>
      </w:pPr>
    </w:p>
    <w:p w14:paraId="7BD604F6" w14:textId="77777777" w:rsidR="00F46BD8" w:rsidRDefault="00F46BD8" w:rsidP="00F46BD8">
      <w:pPr>
        <w:numPr>
          <w:ilvl w:val="1"/>
          <w:numId w:val="17"/>
        </w:numPr>
      </w:pPr>
      <w:r w:rsidRPr="00B71164">
        <w:t>Details of the number of replicates for each species and each methodology used.</w:t>
      </w:r>
    </w:p>
    <w:p w14:paraId="5C895BAF" w14:textId="77777777" w:rsidR="00F46BD8" w:rsidRPr="00B71164" w:rsidRDefault="00F46BD8" w:rsidP="00F46BD8">
      <w:pPr>
        <w:ind w:left="1440"/>
      </w:pPr>
    </w:p>
    <w:p w14:paraId="1C8F2E67" w14:textId="77777777" w:rsidR="00F46BD8" w:rsidRPr="00B71164" w:rsidRDefault="00F46BD8" w:rsidP="00F46BD8">
      <w:pPr>
        <w:numPr>
          <w:ilvl w:val="3"/>
          <w:numId w:val="19"/>
        </w:numPr>
      </w:pPr>
      <w:r w:rsidRPr="00B71164">
        <w:t>For plant trials each replicate test should use a different mother plant (</w:t>
      </w:r>
      <w:proofErr w:type="spellStart"/>
      <w:r w:rsidRPr="00B71164">
        <w:t>ie</w:t>
      </w:r>
      <w:proofErr w:type="spellEnd"/>
      <w:r w:rsidRPr="00B71164">
        <w:t>, tests should provide true experimental replication); multiple replicate subjects should not be derived from the same mother stock (</w:t>
      </w:r>
      <w:proofErr w:type="spellStart"/>
      <w:r w:rsidRPr="00B71164">
        <w:t>ie</w:t>
      </w:r>
      <w:proofErr w:type="spellEnd"/>
      <w:r w:rsidRPr="00B71164">
        <w:t xml:space="preserve">, not represent pseudo-replication).  Pseudo-replication should always be avoided – for a more general discussion see </w:t>
      </w:r>
      <w:hyperlink r:id="rId18" w:history="1">
        <w:r w:rsidRPr="00B71164">
          <w:rPr>
            <w:rStyle w:val="Hyperlink"/>
          </w:rPr>
          <w:t>B3.NZ/testing</w:t>
        </w:r>
      </w:hyperlink>
      <w:r w:rsidRPr="00B71164">
        <w:t>.</w:t>
      </w:r>
    </w:p>
    <w:p w14:paraId="3BF3F97D" w14:textId="77777777" w:rsidR="00F46BD8" w:rsidRPr="00B71164" w:rsidRDefault="00F46BD8" w:rsidP="00F46BD8">
      <w:pPr>
        <w:numPr>
          <w:ilvl w:val="3"/>
          <w:numId w:val="19"/>
        </w:numPr>
      </w:pPr>
      <w:r w:rsidRPr="00B71164">
        <w:t>For native species, state the geographic origin of test subjects where possible; this should adequately reflect the genetic diversity within the species. For ornamental species, state the sources and geographical origin as available. For agricultural species, state the sources and origin of varieties or cultivars.</w:t>
      </w:r>
    </w:p>
    <w:p w14:paraId="19B7029C" w14:textId="77777777" w:rsidR="00F46BD8" w:rsidRPr="00B71164" w:rsidRDefault="00F46BD8" w:rsidP="00F46BD8">
      <w:pPr>
        <w:ind w:left="1446"/>
      </w:pPr>
    </w:p>
    <w:p w14:paraId="1CEBD81E" w14:textId="77777777" w:rsidR="00F46BD8" w:rsidRDefault="00F46BD8" w:rsidP="00F46BD8">
      <w:pPr>
        <w:ind w:left="1446"/>
      </w:pPr>
      <w:r w:rsidRPr="00B71164">
        <w:t xml:space="preserve">Adequate levels of replication </w:t>
      </w:r>
      <w:r w:rsidR="00675738">
        <w:t xml:space="preserve">with appropriate control treatments </w:t>
      </w:r>
      <w:r w:rsidRPr="00B71164">
        <w:t xml:space="preserve">should always be used; this is a key element that reviewers of any application will consider. It is not possible to stipulate precise numbers for any element of any application; self-evidently, tests on larger numbers of subjects will be more highly regarded than those on very small numbers. It is also to be expected that species of critical importance </w:t>
      </w:r>
      <w:r w:rsidR="007547BF">
        <w:t>(</w:t>
      </w:r>
      <w:r w:rsidR="004A4701">
        <w:t xml:space="preserve">for example, </w:t>
      </w:r>
      <w:r w:rsidR="00675738">
        <w:t xml:space="preserve">closely related to the </w:t>
      </w:r>
      <w:r w:rsidR="004A4701">
        <w:t xml:space="preserve">target species, or non-target native species, or species of </w:t>
      </w:r>
      <w:r w:rsidR="00675738">
        <w:t>high economic importance</w:t>
      </w:r>
      <w:r w:rsidR="007547BF">
        <w:t>)</w:t>
      </w:r>
      <w:r w:rsidR="00675738">
        <w:t xml:space="preserve"> </w:t>
      </w:r>
      <w:r w:rsidRPr="00B71164">
        <w:t>to the application will be more extensively tested than those of a less critical nature.</w:t>
      </w:r>
    </w:p>
    <w:p w14:paraId="1ECEA847" w14:textId="77777777" w:rsidR="00F46BD8" w:rsidRPr="00B71164" w:rsidRDefault="00F46BD8" w:rsidP="00F46BD8">
      <w:pPr>
        <w:ind w:left="1446"/>
      </w:pPr>
    </w:p>
    <w:p w14:paraId="791A7A2A" w14:textId="77777777" w:rsidR="00F46BD8" w:rsidRDefault="00F46BD8" w:rsidP="00F46BD8">
      <w:pPr>
        <w:numPr>
          <w:ilvl w:val="1"/>
          <w:numId w:val="17"/>
        </w:numPr>
      </w:pPr>
      <w:r w:rsidRPr="00B71164">
        <w:t>Indication of whether BCA replication/reproduction was observed.</w:t>
      </w:r>
    </w:p>
    <w:p w14:paraId="07CD9D50" w14:textId="77777777" w:rsidR="00F46BD8" w:rsidRPr="00B71164" w:rsidRDefault="00F46BD8" w:rsidP="00F46BD8">
      <w:pPr>
        <w:ind w:left="1440"/>
      </w:pPr>
    </w:p>
    <w:p w14:paraId="7618C9DF" w14:textId="77777777" w:rsidR="00F46BD8" w:rsidRPr="00B71164" w:rsidRDefault="00F46BD8" w:rsidP="00F46BD8">
      <w:pPr>
        <w:numPr>
          <w:ilvl w:val="5"/>
          <w:numId w:val="21"/>
        </w:numPr>
        <w:ind w:left="2127"/>
      </w:pPr>
      <w:r w:rsidRPr="00B71164">
        <w:t>Stipulate the progeny life stage observed, how long they survived</w:t>
      </w:r>
      <w:r w:rsidR="00A12932">
        <w:t>,</w:t>
      </w:r>
      <w:r w:rsidRPr="00B71164">
        <w:t xml:space="preserve"> whether they </w:t>
      </w:r>
      <w:proofErr w:type="gramStart"/>
      <w:r w:rsidRPr="00B71164">
        <w:t>reproduced</w:t>
      </w:r>
      <w:proofErr w:type="gramEnd"/>
      <w:r w:rsidR="00675738">
        <w:t xml:space="preserve"> and number of offspring produced</w:t>
      </w:r>
      <w:r w:rsidRPr="00B71164">
        <w:t>.</w:t>
      </w:r>
    </w:p>
    <w:p w14:paraId="3005589D" w14:textId="77777777" w:rsidR="00F46BD8" w:rsidRDefault="00F46BD8" w:rsidP="00F46BD8">
      <w:pPr>
        <w:numPr>
          <w:ilvl w:val="5"/>
          <w:numId w:val="21"/>
        </w:numPr>
        <w:ind w:left="2127" w:hanging="284"/>
      </w:pPr>
      <w:r w:rsidRPr="00B71164">
        <w:t>Indicate whether any damage to the test plants was observed from progeny</w:t>
      </w:r>
      <w:r w:rsidR="00A12932">
        <w:t>,</w:t>
      </w:r>
      <w:r w:rsidR="00675738">
        <w:t xml:space="preserve"> if appropriate</w:t>
      </w:r>
      <w:r w:rsidRPr="00B71164">
        <w:t>.</w:t>
      </w:r>
    </w:p>
    <w:p w14:paraId="58254864" w14:textId="77777777" w:rsidR="00F46BD8" w:rsidRPr="00B71164" w:rsidRDefault="00F46BD8" w:rsidP="00F46BD8">
      <w:pPr>
        <w:ind w:left="2127"/>
      </w:pPr>
    </w:p>
    <w:p w14:paraId="2956F780" w14:textId="77777777" w:rsidR="00F46BD8" w:rsidRDefault="00F46BD8" w:rsidP="00F46BD8">
      <w:pPr>
        <w:numPr>
          <w:ilvl w:val="0"/>
          <w:numId w:val="17"/>
        </w:numPr>
      </w:pPr>
      <w:r w:rsidRPr="00B71164">
        <w:t>Data for each experiment.</w:t>
      </w:r>
    </w:p>
    <w:p w14:paraId="0861B4CF" w14:textId="77777777" w:rsidR="00F46BD8" w:rsidRPr="00B71164" w:rsidRDefault="00F46BD8" w:rsidP="00F46BD8">
      <w:pPr>
        <w:ind w:left="720"/>
      </w:pPr>
    </w:p>
    <w:p w14:paraId="27620B5E" w14:textId="77777777" w:rsidR="00F46BD8" w:rsidRDefault="00F46BD8" w:rsidP="00F46BD8">
      <w:pPr>
        <w:numPr>
          <w:ilvl w:val="1"/>
          <w:numId w:val="17"/>
        </w:numPr>
      </w:pPr>
      <w:r w:rsidRPr="00B71164">
        <w:t>Provide electronic records of collated data and observations for each test.</w:t>
      </w:r>
    </w:p>
    <w:p w14:paraId="775AE864" w14:textId="77777777" w:rsidR="00F46BD8" w:rsidRPr="00B71164" w:rsidRDefault="00F46BD8" w:rsidP="00F46BD8">
      <w:pPr>
        <w:ind w:left="1440"/>
      </w:pPr>
    </w:p>
    <w:p w14:paraId="75923CF6" w14:textId="77777777" w:rsidR="00F46BD8" w:rsidRDefault="00F46BD8" w:rsidP="00F46BD8">
      <w:pPr>
        <w:numPr>
          <w:ilvl w:val="2"/>
          <w:numId w:val="17"/>
        </w:numPr>
      </w:pPr>
      <w:r w:rsidRPr="00B71164">
        <w:t>Include a summary of all data, including any statistical analysis.</w:t>
      </w:r>
    </w:p>
    <w:p w14:paraId="0639944B" w14:textId="77777777" w:rsidR="00F46BD8" w:rsidRPr="00B71164" w:rsidRDefault="00F46BD8" w:rsidP="00F46BD8">
      <w:pPr>
        <w:ind w:left="2160"/>
      </w:pPr>
    </w:p>
    <w:p w14:paraId="69FABC83" w14:textId="77777777" w:rsidR="00F46BD8" w:rsidRDefault="00F46BD8" w:rsidP="00F46BD8">
      <w:pPr>
        <w:numPr>
          <w:ilvl w:val="0"/>
          <w:numId w:val="17"/>
        </w:numPr>
      </w:pPr>
      <w:r w:rsidRPr="00B71164">
        <w:t>Other supporting data</w:t>
      </w:r>
    </w:p>
    <w:p w14:paraId="531EE16E" w14:textId="77777777" w:rsidR="00F46BD8" w:rsidRPr="00B71164" w:rsidRDefault="00F46BD8" w:rsidP="00F46BD8">
      <w:pPr>
        <w:ind w:left="720"/>
      </w:pPr>
    </w:p>
    <w:p w14:paraId="62BB0BC1" w14:textId="77777777" w:rsidR="00F46BD8" w:rsidRDefault="00F46BD8" w:rsidP="00F46BD8">
      <w:pPr>
        <w:numPr>
          <w:ilvl w:val="0"/>
          <w:numId w:val="18"/>
        </w:numPr>
      </w:pPr>
      <w:r w:rsidRPr="00B71164">
        <w:t>State whether the methodology used in the application is similar or equivalent to that previously used in Australia or described in published literature</w:t>
      </w:r>
      <w:r w:rsidR="00E43550">
        <w:t>,</w:t>
      </w:r>
      <w:r w:rsidR="00675738">
        <w:t xml:space="preserve"> with consideration of </w:t>
      </w:r>
      <w:r w:rsidR="00E43550">
        <w:t>any recognised</w:t>
      </w:r>
      <w:r w:rsidR="00675738">
        <w:t xml:space="preserve"> weaknesses in </w:t>
      </w:r>
      <w:r w:rsidR="00E43550">
        <w:t>the methodology used</w:t>
      </w:r>
      <w:r w:rsidRPr="00B71164">
        <w:t>.</w:t>
      </w:r>
    </w:p>
    <w:p w14:paraId="3CBEE04D" w14:textId="77777777" w:rsidR="00F46BD8" w:rsidRPr="00B71164" w:rsidRDefault="00F46BD8" w:rsidP="00F46BD8">
      <w:pPr>
        <w:ind w:left="1446"/>
      </w:pPr>
    </w:p>
    <w:p w14:paraId="01AFC71D" w14:textId="77777777" w:rsidR="00F46BD8" w:rsidRPr="00B71164" w:rsidRDefault="00F46BD8" w:rsidP="00F46BD8">
      <w:pPr>
        <w:numPr>
          <w:ilvl w:val="0"/>
          <w:numId w:val="18"/>
        </w:numPr>
      </w:pPr>
      <w:r w:rsidRPr="00B71164">
        <w:t xml:space="preserve">If the BCA has been used overseas, identify results of any active surveys to examine non-target effects, and/or any other available information. Evidence may include references such as publication, </w:t>
      </w:r>
      <w:r>
        <w:t>‘</w:t>
      </w:r>
      <w:r w:rsidRPr="00B71164">
        <w:t>grey literature</w:t>
      </w:r>
      <w:r>
        <w:t>’</w:t>
      </w:r>
      <w:r w:rsidRPr="00B71164">
        <w:t>, agency reports, etc.</w:t>
      </w:r>
    </w:p>
    <w:p w14:paraId="4F764E8B" w14:textId="77777777" w:rsidR="00F46BD8" w:rsidRDefault="00F46BD8" w:rsidP="00F46BD8"/>
    <w:p w14:paraId="08B00E62" w14:textId="77777777" w:rsidR="00F46BD8" w:rsidRPr="00B71164" w:rsidRDefault="00F46BD8" w:rsidP="00F46BD8">
      <w:pPr>
        <w:ind w:left="709"/>
      </w:pPr>
      <w:r w:rsidRPr="00B71164">
        <w:t>Note: if there is reliance on overseas data, details of tests will need to be provided as per Australian data requirements.</w:t>
      </w:r>
    </w:p>
    <w:p w14:paraId="65246E96" w14:textId="77777777" w:rsidR="00F46BD8" w:rsidRPr="00B71164" w:rsidRDefault="00F46BD8" w:rsidP="00F46BD8"/>
    <w:p w14:paraId="41B3580B" w14:textId="77777777" w:rsidR="00E43550" w:rsidRDefault="00E43550" w:rsidP="00F46BD8">
      <w:pPr>
        <w:rPr>
          <w:b/>
        </w:rPr>
      </w:pPr>
    </w:p>
    <w:p w14:paraId="184578E3" w14:textId="77777777" w:rsidR="00E43550" w:rsidRDefault="00E43550" w:rsidP="00F46BD8">
      <w:pPr>
        <w:rPr>
          <w:b/>
        </w:rPr>
      </w:pPr>
    </w:p>
    <w:p w14:paraId="3C3B5C9B" w14:textId="77777777" w:rsidR="00F46BD8" w:rsidRDefault="00F46BD8" w:rsidP="00F46BD8">
      <w:pPr>
        <w:rPr>
          <w:b/>
        </w:rPr>
      </w:pPr>
      <w:r w:rsidRPr="00B71164">
        <w:rPr>
          <w:b/>
        </w:rPr>
        <w:t>References</w:t>
      </w:r>
    </w:p>
    <w:p w14:paraId="4C5C6C5E" w14:textId="77777777" w:rsidR="00F46BD8" w:rsidRPr="00B71164" w:rsidRDefault="00F46BD8" w:rsidP="00F46BD8">
      <w:pPr>
        <w:rPr>
          <w:b/>
        </w:rPr>
      </w:pPr>
    </w:p>
    <w:p w14:paraId="10B6259F" w14:textId="7D7A1F67" w:rsidR="00BB6DF5" w:rsidRPr="00BB6DF5" w:rsidRDefault="00BB6DF5" w:rsidP="00BB6DF5">
      <w:r>
        <w:t>Barratt, B</w:t>
      </w:r>
      <w:r w:rsidRPr="00BB6DF5">
        <w:t>I</w:t>
      </w:r>
      <w:r>
        <w:t>P, Berndt, L</w:t>
      </w:r>
      <w:r w:rsidRPr="00BB6DF5">
        <w:t>A, Dodd</w:t>
      </w:r>
      <w:r>
        <w:t>,</w:t>
      </w:r>
      <w:r w:rsidRPr="00BB6DF5">
        <w:t xml:space="preserve"> SL, Ferguson</w:t>
      </w:r>
      <w:r>
        <w:t>,</w:t>
      </w:r>
      <w:r w:rsidRPr="00BB6DF5">
        <w:t xml:space="preserve"> CM, Hill</w:t>
      </w:r>
      <w:r>
        <w:t>,</w:t>
      </w:r>
      <w:r w:rsidRPr="00BB6DF5">
        <w:t xml:space="preserve"> RL, Kean</w:t>
      </w:r>
      <w:r>
        <w:t>,</w:t>
      </w:r>
      <w:r w:rsidRPr="00BB6DF5">
        <w:t xml:space="preserve"> JM, </w:t>
      </w:r>
      <w:proofErr w:type="spellStart"/>
      <w:r w:rsidRPr="00BB6DF5">
        <w:t>Teulon</w:t>
      </w:r>
      <w:proofErr w:type="spellEnd"/>
      <w:r>
        <w:t>,</w:t>
      </w:r>
      <w:r w:rsidRPr="00BB6DF5">
        <w:t xml:space="preserve"> DAJ </w:t>
      </w:r>
      <w:r>
        <w:t>&amp;</w:t>
      </w:r>
      <w:r w:rsidRPr="00BB6DF5">
        <w:t xml:space="preserve"> Withers</w:t>
      </w:r>
      <w:r>
        <w:t>,</w:t>
      </w:r>
      <w:r w:rsidRPr="00BB6DF5">
        <w:t xml:space="preserve"> TM 2007</w:t>
      </w:r>
      <w:r>
        <w:t>,</w:t>
      </w:r>
      <w:r w:rsidRPr="00BB6DF5">
        <w:t xml:space="preserve"> </w:t>
      </w:r>
      <w:r>
        <w:t>‘</w:t>
      </w:r>
      <w:r w:rsidRPr="00BB6DF5">
        <w:t>BIREA - Biocontrol Information Resource for EPA applicants</w:t>
      </w:r>
      <w:r>
        <w:t>’,</w:t>
      </w:r>
      <w:r w:rsidRPr="00BB6DF5">
        <w:t xml:space="preserve"> </w:t>
      </w:r>
      <w:hyperlink r:id="rId19" w:history="1">
        <w:r w:rsidR="004C68DE" w:rsidRPr="007474C0">
          <w:rPr>
            <w:rStyle w:val="Hyperlink"/>
          </w:rPr>
          <w:t>http://b3.net.nz/birea/index.php</w:t>
        </w:r>
      </w:hyperlink>
      <w:r w:rsidRPr="00BB6DF5">
        <w:t xml:space="preserve"> (accessed </w:t>
      </w:r>
      <w:r w:rsidR="009431DF">
        <w:t>August</w:t>
      </w:r>
      <w:r w:rsidR="009431DF" w:rsidRPr="00BB6DF5">
        <w:t xml:space="preserve"> </w:t>
      </w:r>
      <w:r w:rsidRPr="00BB6DF5">
        <w:t>202</w:t>
      </w:r>
      <w:r w:rsidR="009431DF">
        <w:t>2</w:t>
      </w:r>
      <w:r w:rsidRPr="00BB6DF5">
        <w:t>).</w:t>
      </w:r>
    </w:p>
    <w:p w14:paraId="36CE0593" w14:textId="77777777" w:rsidR="00F46BD8" w:rsidRPr="00B71164" w:rsidRDefault="00F46BD8" w:rsidP="00F46BD8"/>
    <w:p w14:paraId="18B8B6D1" w14:textId="77777777" w:rsidR="00F46BD8" w:rsidRDefault="00F46BD8" w:rsidP="00F46BD8">
      <w:proofErr w:type="spellStart"/>
      <w:r w:rsidRPr="00B71164">
        <w:t>Briese</w:t>
      </w:r>
      <w:proofErr w:type="spellEnd"/>
      <w:r w:rsidRPr="00B71164">
        <w:t xml:space="preserve">, DT 2003, ‘The centrifugal phylogenetic method used to select plants for host-specificity testing of weed biological control agents: Can and should it be modernised?’ in HS Jacob &amp; DT </w:t>
      </w:r>
      <w:proofErr w:type="spellStart"/>
      <w:r w:rsidRPr="00B71164">
        <w:t>Briese</w:t>
      </w:r>
      <w:proofErr w:type="spellEnd"/>
      <w:r w:rsidRPr="00B71164">
        <w:t xml:space="preserve"> (Eds), </w:t>
      </w:r>
      <w:r w:rsidRPr="00B71164">
        <w:rPr>
          <w:i/>
        </w:rPr>
        <w:t>Improving the selection, testing and evaluation of weed biocontrol agents</w:t>
      </w:r>
      <w:r w:rsidRPr="00B71164">
        <w:t>, CRC for Australian Weed Management Technical Series no. 7, Adelaide, Australia.</w:t>
      </w:r>
    </w:p>
    <w:p w14:paraId="014A1E50" w14:textId="77777777" w:rsidR="00F46BD8" w:rsidRPr="00B71164" w:rsidRDefault="00F46BD8" w:rsidP="00F46BD8"/>
    <w:p w14:paraId="137980E3" w14:textId="77777777" w:rsidR="000C2100" w:rsidRDefault="000C2100" w:rsidP="00F46BD8">
      <w:proofErr w:type="spellStart"/>
      <w:r w:rsidRPr="000C2100">
        <w:t>Briese</w:t>
      </w:r>
      <w:proofErr w:type="spellEnd"/>
      <w:r w:rsidR="00E43550">
        <w:t>, DT</w:t>
      </w:r>
      <w:r w:rsidRPr="000C2100">
        <w:t xml:space="preserve"> 2005</w:t>
      </w:r>
      <w:r w:rsidR="00E43550">
        <w:t>,</w:t>
      </w:r>
      <w:r w:rsidRPr="000C2100">
        <w:t xml:space="preserve"> </w:t>
      </w:r>
      <w:r w:rsidR="00E43550">
        <w:t>‘</w:t>
      </w:r>
      <w:r w:rsidRPr="000C2100">
        <w:t>Translating host-specificity test results into the real world: the need to harmonize the yin and yang of current testing procedures</w:t>
      </w:r>
      <w:r w:rsidR="00E43550">
        <w:t>’,</w:t>
      </w:r>
      <w:r w:rsidRPr="000C2100">
        <w:t xml:space="preserve"> </w:t>
      </w:r>
      <w:r w:rsidRPr="00E43550">
        <w:rPr>
          <w:i/>
        </w:rPr>
        <w:t>Biological Control</w:t>
      </w:r>
      <w:r w:rsidRPr="000C2100">
        <w:t xml:space="preserve"> </w:t>
      </w:r>
      <w:r w:rsidR="00E43550">
        <w:t xml:space="preserve">vol. </w:t>
      </w:r>
      <w:r w:rsidRPr="000C2100">
        <w:t xml:space="preserve">35(3), </w:t>
      </w:r>
      <w:r w:rsidR="00E43550">
        <w:t xml:space="preserve">pp. </w:t>
      </w:r>
      <w:r w:rsidRPr="000C2100">
        <w:t>208-214.</w:t>
      </w:r>
    </w:p>
    <w:p w14:paraId="3752432F" w14:textId="77777777" w:rsidR="000C2100" w:rsidRDefault="000C2100" w:rsidP="00F46BD8"/>
    <w:p w14:paraId="69E82253" w14:textId="77777777" w:rsidR="00F46BD8" w:rsidRDefault="00F46BD8" w:rsidP="00F46BD8">
      <w:r w:rsidRPr="00B71164">
        <w:t xml:space="preserve">Sheppard, AW, Van </w:t>
      </w:r>
      <w:proofErr w:type="spellStart"/>
      <w:r w:rsidRPr="00B71164">
        <w:t>Klinken</w:t>
      </w:r>
      <w:proofErr w:type="spellEnd"/>
      <w:r w:rsidRPr="00B71164">
        <w:t xml:space="preserve">, RD &amp; Heard, TA 2005, ‘Scientific advances in the analysis of direct risks of weed biological control agents to nontarget plants’, </w:t>
      </w:r>
      <w:r w:rsidRPr="00B71164">
        <w:rPr>
          <w:i/>
        </w:rPr>
        <w:t>Biological Control,</w:t>
      </w:r>
      <w:r w:rsidRPr="00B71164">
        <w:t xml:space="preserve"> vol. 35, pp. 215–226.</w:t>
      </w:r>
    </w:p>
    <w:p w14:paraId="0979ADD0" w14:textId="77777777" w:rsidR="00F46BD8" w:rsidRPr="00B71164" w:rsidRDefault="00F46BD8" w:rsidP="00F46BD8"/>
    <w:p w14:paraId="1C0DA802" w14:textId="77777777" w:rsidR="00F46BD8" w:rsidRPr="00B71164" w:rsidRDefault="00F46BD8" w:rsidP="00F46BD8">
      <w:proofErr w:type="spellStart"/>
      <w:r w:rsidRPr="00B71164">
        <w:t>Wapshere</w:t>
      </w:r>
      <w:proofErr w:type="spellEnd"/>
      <w:r w:rsidRPr="00B71164">
        <w:t xml:space="preserve">, AJ 1974, ‘A strategy for evaluating the safety of organisms for biological weed control’, </w:t>
      </w:r>
      <w:r w:rsidRPr="00B71164">
        <w:rPr>
          <w:i/>
        </w:rPr>
        <w:t>Annals of Applied Biology,</w:t>
      </w:r>
      <w:r w:rsidRPr="00B71164">
        <w:t xml:space="preserve"> vol. 77, pp. 201–211.</w:t>
      </w:r>
    </w:p>
    <w:p w14:paraId="52F304FB" w14:textId="77777777" w:rsidR="00F46BD8" w:rsidRDefault="00F46BD8" w:rsidP="00F46BD8"/>
    <w:sectPr w:rsidR="00F46BD8" w:rsidSect="00F46BD8">
      <w:headerReference w:type="even" r:id="rId20"/>
      <w:headerReference w:type="first" r:id="rId21"/>
      <w:footerReference w:type="first" r:id="rId22"/>
      <w:pgSz w:w="11906" w:h="16838"/>
      <w:pgMar w:top="1440" w:right="1418" w:bottom="1440"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8BB5" w14:textId="77777777" w:rsidR="00BB5310" w:rsidRDefault="00BB5310" w:rsidP="00F46BD8">
      <w:r>
        <w:separator/>
      </w:r>
    </w:p>
  </w:endnote>
  <w:endnote w:type="continuationSeparator" w:id="0">
    <w:p w14:paraId="50218D24" w14:textId="77777777" w:rsidR="00BB5310" w:rsidRDefault="00BB5310" w:rsidP="00F4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90A5" w14:textId="77777777" w:rsidR="00F46BD8" w:rsidRDefault="00F46BD8">
    <w:pPr>
      <w:pStyle w:val="Footer"/>
    </w:pPr>
    <w:r>
      <w:fldChar w:fldCharType="begin"/>
    </w:r>
    <w:r>
      <w:instrText xml:space="preserve"> PAGE   \* MERGEFORMAT </w:instrText>
    </w:r>
    <w:r>
      <w:fldChar w:fldCharType="separate"/>
    </w:r>
    <w:r w:rsidR="00847AB8">
      <w:rPr>
        <w:noProof/>
      </w:rPr>
      <w:t>1</w:t>
    </w:r>
    <w:r>
      <w:fldChar w:fldCharType="end"/>
    </w:r>
  </w:p>
  <w:p w14:paraId="44CFE428" w14:textId="77777777" w:rsidR="00F46BD8" w:rsidRDefault="00F46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EA1F" w14:textId="77777777" w:rsidR="00BB5310" w:rsidRDefault="00BB5310" w:rsidP="00F46BD8">
      <w:r>
        <w:separator/>
      </w:r>
    </w:p>
  </w:footnote>
  <w:footnote w:type="continuationSeparator" w:id="0">
    <w:p w14:paraId="785F8BE5" w14:textId="77777777" w:rsidR="00BB5310" w:rsidRDefault="00BB5310" w:rsidP="00F46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6C74" w14:textId="570F17B8" w:rsidR="00F46BD8" w:rsidRDefault="00F46BD8" w:rsidP="00F46BD8">
    <w:pPr>
      <w:pStyle w:val="Classification"/>
    </w:pPr>
    <w:r>
      <w:fldChar w:fldCharType="begin"/>
    </w:r>
    <w:r>
      <w:instrText xml:space="preserve"> DOCPROPERTY SecurityClassification \* MERGEFORMAT </w:instrText>
    </w:r>
    <w:r>
      <w:fldChar w:fldCharType="separate"/>
    </w:r>
    <w:r w:rsidR="007A6919">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CE03" w14:textId="325453AF" w:rsidR="00F46BD8" w:rsidRDefault="002F3E53" w:rsidP="00F46BD8">
    <w:pPr>
      <w:pStyle w:val="Header"/>
      <w:jc w:val="left"/>
    </w:pPr>
    <w:r>
      <w:rPr>
        <w:b w:val="0"/>
        <w:noProof/>
      </w:rPr>
      <w:pict w14:anchorId="36A35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Department of Agriculture, Fisheries and Forestry" style="width:155.65pt;height:45.15pt;visibility:visible;mso-wrap-style:square">
          <v:imagedata r:id="rId1" o:title="Department of Agriculture, Fisheries and Forestr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2" w15:restartNumberingAfterBreak="0">
    <w:nsid w:val="1F397A8E"/>
    <w:multiLevelType w:val="hybridMultilevel"/>
    <w:tmpl w:val="E606042E"/>
    <w:lvl w:ilvl="0" w:tplc="E30C012A">
      <w:start w:val="1"/>
      <w:numFmt w:val="decimal"/>
      <w:lvlText w:val="%1."/>
      <w:lvlJc w:val="left"/>
      <w:pPr>
        <w:ind w:left="720" w:hanging="360"/>
      </w:pPr>
    </w:lvl>
    <w:lvl w:ilvl="1" w:tplc="1A5A52CC">
      <w:start w:val="1"/>
      <w:numFmt w:val="lowerLetter"/>
      <w:lvlText w:val="%2."/>
      <w:lvlJc w:val="left"/>
      <w:pPr>
        <w:ind w:left="1070" w:hanging="360"/>
      </w:pPr>
    </w:lvl>
    <w:lvl w:ilvl="2" w:tplc="C4D6EDA4" w:tentative="1">
      <w:start w:val="1"/>
      <w:numFmt w:val="lowerRoman"/>
      <w:lvlText w:val="%3."/>
      <w:lvlJc w:val="right"/>
      <w:pPr>
        <w:ind w:left="2160" w:hanging="180"/>
      </w:pPr>
    </w:lvl>
    <w:lvl w:ilvl="3" w:tplc="6276E4D4" w:tentative="1">
      <w:start w:val="1"/>
      <w:numFmt w:val="decimal"/>
      <w:lvlText w:val="%4."/>
      <w:lvlJc w:val="left"/>
      <w:pPr>
        <w:ind w:left="2880" w:hanging="360"/>
      </w:pPr>
    </w:lvl>
    <w:lvl w:ilvl="4" w:tplc="5A82AC38" w:tentative="1">
      <w:start w:val="1"/>
      <w:numFmt w:val="lowerLetter"/>
      <w:lvlText w:val="%5."/>
      <w:lvlJc w:val="left"/>
      <w:pPr>
        <w:ind w:left="3600" w:hanging="360"/>
      </w:pPr>
    </w:lvl>
    <w:lvl w:ilvl="5" w:tplc="81180626" w:tentative="1">
      <w:start w:val="1"/>
      <w:numFmt w:val="lowerRoman"/>
      <w:lvlText w:val="%6."/>
      <w:lvlJc w:val="right"/>
      <w:pPr>
        <w:ind w:left="4320" w:hanging="180"/>
      </w:pPr>
    </w:lvl>
    <w:lvl w:ilvl="6" w:tplc="20F0FFAC" w:tentative="1">
      <w:start w:val="1"/>
      <w:numFmt w:val="decimal"/>
      <w:lvlText w:val="%7."/>
      <w:lvlJc w:val="left"/>
      <w:pPr>
        <w:ind w:left="5040" w:hanging="360"/>
      </w:pPr>
    </w:lvl>
    <w:lvl w:ilvl="7" w:tplc="FF669D2A" w:tentative="1">
      <w:start w:val="1"/>
      <w:numFmt w:val="lowerLetter"/>
      <w:lvlText w:val="%8."/>
      <w:lvlJc w:val="left"/>
      <w:pPr>
        <w:ind w:left="5760" w:hanging="360"/>
      </w:pPr>
    </w:lvl>
    <w:lvl w:ilvl="8" w:tplc="FC9EBBF2" w:tentative="1">
      <w:start w:val="1"/>
      <w:numFmt w:val="lowerRoman"/>
      <w:lvlText w:val="%9."/>
      <w:lvlJc w:val="right"/>
      <w:pPr>
        <w:ind w:left="6480" w:hanging="180"/>
      </w:pPr>
    </w:lvl>
  </w:abstractNum>
  <w:abstractNum w:abstractNumId="3" w15:restartNumberingAfterBreak="0">
    <w:nsid w:val="1F745BC2"/>
    <w:multiLevelType w:val="multilevel"/>
    <w:tmpl w:val="E5E89F92"/>
    <w:numStyleLink w:val="BulletList"/>
  </w:abstractNum>
  <w:abstractNum w:abstractNumId="4" w15:restartNumberingAfterBreak="0">
    <w:nsid w:val="21637CDE"/>
    <w:multiLevelType w:val="hybridMultilevel"/>
    <w:tmpl w:val="2656F8D2"/>
    <w:lvl w:ilvl="0" w:tplc="C6B6E842">
      <w:start w:val="1"/>
      <w:numFmt w:val="decimal"/>
      <w:lvlText w:val="%1."/>
      <w:lvlJc w:val="left"/>
      <w:pPr>
        <w:ind w:left="720" w:hanging="360"/>
      </w:pPr>
      <w:rPr>
        <w:rFonts w:hint="default"/>
      </w:rPr>
    </w:lvl>
    <w:lvl w:ilvl="1" w:tplc="D3922D8E">
      <w:start w:val="1"/>
      <w:numFmt w:val="lowerLetter"/>
      <w:lvlText w:val="%2)"/>
      <w:lvlJc w:val="left"/>
      <w:pPr>
        <w:ind w:left="1440" w:hanging="360"/>
      </w:pPr>
      <w:rPr>
        <w:rFonts w:hint="default"/>
      </w:rPr>
    </w:lvl>
    <w:lvl w:ilvl="2" w:tplc="02A26D0A">
      <w:start w:val="1"/>
      <w:numFmt w:val="lowerLetter"/>
      <w:lvlText w:val="%3)"/>
      <w:lvlJc w:val="left"/>
      <w:pPr>
        <w:ind w:left="2160" w:hanging="360"/>
      </w:pPr>
      <w:rPr>
        <w:rFonts w:hint="default"/>
      </w:rPr>
    </w:lvl>
    <w:lvl w:ilvl="3" w:tplc="8BE8E666">
      <w:start w:val="1"/>
      <w:numFmt w:val="bullet"/>
      <w:lvlText w:val=""/>
      <w:lvlJc w:val="left"/>
      <w:pPr>
        <w:ind w:left="2880" w:hanging="360"/>
      </w:pPr>
      <w:rPr>
        <w:rFonts w:ascii="Symbol" w:hAnsi="Symbol" w:hint="default"/>
      </w:rPr>
    </w:lvl>
    <w:lvl w:ilvl="4" w:tplc="830E49B0">
      <w:start w:val="1"/>
      <w:numFmt w:val="lowerRoman"/>
      <w:lvlText w:val="%5."/>
      <w:lvlJc w:val="right"/>
      <w:pPr>
        <w:ind w:left="3600" w:hanging="360"/>
      </w:pPr>
      <w:rPr>
        <w:rFonts w:hint="default"/>
      </w:rPr>
    </w:lvl>
    <w:lvl w:ilvl="5" w:tplc="38269A8E">
      <w:start w:val="1"/>
      <w:numFmt w:val="lowerRoman"/>
      <w:lvlText w:val="%6."/>
      <w:lvlJc w:val="right"/>
      <w:pPr>
        <w:ind w:left="4320" w:hanging="360"/>
      </w:pPr>
      <w:rPr>
        <w:rFonts w:hint="default"/>
      </w:rPr>
    </w:lvl>
    <w:lvl w:ilvl="6" w:tplc="A0CAEAD8" w:tentative="1">
      <w:start w:val="1"/>
      <w:numFmt w:val="bullet"/>
      <w:lvlText w:val=""/>
      <w:lvlJc w:val="left"/>
      <w:pPr>
        <w:ind w:left="5040" w:hanging="360"/>
      </w:pPr>
      <w:rPr>
        <w:rFonts w:ascii="Symbol" w:hAnsi="Symbol" w:hint="default"/>
      </w:rPr>
    </w:lvl>
    <w:lvl w:ilvl="7" w:tplc="2258FE10" w:tentative="1">
      <w:start w:val="1"/>
      <w:numFmt w:val="bullet"/>
      <w:lvlText w:val="o"/>
      <w:lvlJc w:val="left"/>
      <w:pPr>
        <w:ind w:left="5760" w:hanging="360"/>
      </w:pPr>
      <w:rPr>
        <w:rFonts w:ascii="Courier New" w:hAnsi="Courier New" w:cs="Courier New" w:hint="default"/>
      </w:rPr>
    </w:lvl>
    <w:lvl w:ilvl="8" w:tplc="335CAD7A" w:tentative="1">
      <w:start w:val="1"/>
      <w:numFmt w:val="bullet"/>
      <w:lvlText w:val=""/>
      <w:lvlJc w:val="left"/>
      <w:pPr>
        <w:ind w:left="6480" w:hanging="360"/>
      </w:pPr>
      <w:rPr>
        <w:rFonts w:ascii="Wingdings" w:hAnsi="Wingdings" w:hint="default"/>
      </w:rPr>
    </w:lvl>
  </w:abstractNum>
  <w:abstractNum w:abstractNumId="5" w15:restartNumberingAfterBreak="0">
    <w:nsid w:val="24452ECD"/>
    <w:multiLevelType w:val="hybridMultilevel"/>
    <w:tmpl w:val="99888FC6"/>
    <w:lvl w:ilvl="0" w:tplc="DC4C1418">
      <w:start w:val="1"/>
      <w:numFmt w:val="decimal"/>
      <w:lvlText w:val="%1."/>
      <w:lvlJc w:val="left"/>
      <w:pPr>
        <w:ind w:left="720" w:hanging="360"/>
      </w:pPr>
      <w:rPr>
        <w:rFonts w:hint="default"/>
      </w:rPr>
    </w:lvl>
    <w:lvl w:ilvl="1" w:tplc="2F6A3B5A">
      <w:start w:val="1"/>
      <w:numFmt w:val="lowerLetter"/>
      <w:lvlText w:val="%2)"/>
      <w:lvlJc w:val="left"/>
      <w:pPr>
        <w:ind w:left="1440" w:hanging="360"/>
      </w:pPr>
      <w:rPr>
        <w:rFonts w:hint="default"/>
      </w:rPr>
    </w:lvl>
    <w:lvl w:ilvl="2" w:tplc="7764DB44">
      <w:start w:val="1"/>
      <w:numFmt w:val="lowerLetter"/>
      <w:lvlText w:val="%3)"/>
      <w:lvlJc w:val="left"/>
      <w:pPr>
        <w:ind w:left="2160" w:hanging="360"/>
      </w:pPr>
      <w:rPr>
        <w:rFonts w:hint="default"/>
      </w:rPr>
    </w:lvl>
    <w:lvl w:ilvl="3" w:tplc="39E0B148">
      <w:start w:val="1"/>
      <w:numFmt w:val="lowerRoman"/>
      <w:lvlText w:val="%4."/>
      <w:lvlJc w:val="right"/>
      <w:pPr>
        <w:ind w:left="2880" w:hanging="360"/>
      </w:pPr>
      <w:rPr>
        <w:rFonts w:hint="default"/>
      </w:rPr>
    </w:lvl>
    <w:lvl w:ilvl="4" w:tplc="B322BA9E">
      <w:start w:val="1"/>
      <w:numFmt w:val="bullet"/>
      <w:lvlText w:val="o"/>
      <w:lvlJc w:val="left"/>
      <w:pPr>
        <w:ind w:left="3600" w:hanging="360"/>
      </w:pPr>
      <w:rPr>
        <w:rFonts w:ascii="Courier New" w:hAnsi="Courier New" w:cs="Courier New" w:hint="default"/>
      </w:rPr>
    </w:lvl>
    <w:lvl w:ilvl="5" w:tplc="C0EA8D96">
      <w:start w:val="1"/>
      <w:numFmt w:val="bullet"/>
      <w:lvlText w:val=""/>
      <w:lvlJc w:val="left"/>
      <w:pPr>
        <w:ind w:left="4320" w:hanging="360"/>
      </w:pPr>
      <w:rPr>
        <w:rFonts w:ascii="Wingdings" w:hAnsi="Wingdings" w:hint="default"/>
      </w:rPr>
    </w:lvl>
    <w:lvl w:ilvl="6" w:tplc="30EE997E" w:tentative="1">
      <w:start w:val="1"/>
      <w:numFmt w:val="bullet"/>
      <w:lvlText w:val=""/>
      <w:lvlJc w:val="left"/>
      <w:pPr>
        <w:ind w:left="5040" w:hanging="360"/>
      </w:pPr>
      <w:rPr>
        <w:rFonts w:ascii="Symbol" w:hAnsi="Symbol" w:hint="default"/>
      </w:rPr>
    </w:lvl>
    <w:lvl w:ilvl="7" w:tplc="FC30863E" w:tentative="1">
      <w:start w:val="1"/>
      <w:numFmt w:val="bullet"/>
      <w:lvlText w:val="o"/>
      <w:lvlJc w:val="left"/>
      <w:pPr>
        <w:ind w:left="5760" w:hanging="360"/>
      </w:pPr>
      <w:rPr>
        <w:rFonts w:ascii="Courier New" w:hAnsi="Courier New" w:cs="Courier New" w:hint="default"/>
      </w:rPr>
    </w:lvl>
    <w:lvl w:ilvl="8" w:tplc="72606A76" w:tentative="1">
      <w:start w:val="1"/>
      <w:numFmt w:val="bullet"/>
      <w:lvlText w:val=""/>
      <w:lvlJc w:val="left"/>
      <w:pPr>
        <w:ind w:left="6480" w:hanging="360"/>
      </w:pPr>
      <w:rPr>
        <w:rFonts w:ascii="Wingdings" w:hAnsi="Wingdings" w:hint="default"/>
      </w:rPr>
    </w:lvl>
  </w:abstractNum>
  <w:abstractNum w:abstractNumId="6" w15:restartNumberingAfterBreak="0">
    <w:nsid w:val="2BF57EED"/>
    <w:multiLevelType w:val="hybridMultilevel"/>
    <w:tmpl w:val="272AD4CE"/>
    <w:lvl w:ilvl="0" w:tplc="99EA34D6">
      <w:start w:val="1"/>
      <w:numFmt w:val="decimal"/>
      <w:lvlText w:val="%1."/>
      <w:lvlJc w:val="left"/>
      <w:pPr>
        <w:ind w:left="720" w:hanging="360"/>
      </w:pPr>
      <w:rPr>
        <w:rFonts w:hint="default"/>
      </w:rPr>
    </w:lvl>
    <w:lvl w:ilvl="1" w:tplc="456EEBFA">
      <w:start w:val="1"/>
      <w:numFmt w:val="lowerLetter"/>
      <w:lvlText w:val="%2)"/>
      <w:lvlJc w:val="left"/>
      <w:pPr>
        <w:ind w:left="1440" w:hanging="360"/>
      </w:pPr>
      <w:rPr>
        <w:rFonts w:hint="default"/>
      </w:rPr>
    </w:lvl>
    <w:lvl w:ilvl="2" w:tplc="969A07C6">
      <w:start w:val="1"/>
      <w:numFmt w:val="lowerRoman"/>
      <w:lvlText w:val="%3."/>
      <w:lvlJc w:val="right"/>
      <w:pPr>
        <w:ind w:left="2160" w:hanging="360"/>
      </w:pPr>
      <w:rPr>
        <w:rFonts w:hint="default"/>
      </w:rPr>
    </w:lvl>
    <w:lvl w:ilvl="3" w:tplc="9634B7FA">
      <w:start w:val="1"/>
      <w:numFmt w:val="bullet"/>
      <w:lvlText w:val=""/>
      <w:lvlJc w:val="left"/>
      <w:pPr>
        <w:ind w:left="2880" w:hanging="360"/>
      </w:pPr>
      <w:rPr>
        <w:rFonts w:ascii="Symbol" w:hAnsi="Symbol" w:hint="default"/>
      </w:rPr>
    </w:lvl>
    <w:lvl w:ilvl="4" w:tplc="719C0726">
      <w:start w:val="1"/>
      <w:numFmt w:val="lowerRoman"/>
      <w:lvlText w:val="%5."/>
      <w:lvlJc w:val="right"/>
      <w:pPr>
        <w:ind w:left="3600" w:hanging="360"/>
      </w:pPr>
      <w:rPr>
        <w:rFonts w:hint="default"/>
      </w:rPr>
    </w:lvl>
    <w:lvl w:ilvl="5" w:tplc="7F86C76C">
      <w:start w:val="1"/>
      <w:numFmt w:val="bullet"/>
      <w:lvlText w:val=""/>
      <w:lvlJc w:val="left"/>
      <w:pPr>
        <w:ind w:left="4320" w:hanging="360"/>
      </w:pPr>
      <w:rPr>
        <w:rFonts w:ascii="Wingdings" w:hAnsi="Wingdings" w:hint="default"/>
      </w:rPr>
    </w:lvl>
    <w:lvl w:ilvl="6" w:tplc="0F603E32" w:tentative="1">
      <w:start w:val="1"/>
      <w:numFmt w:val="bullet"/>
      <w:lvlText w:val=""/>
      <w:lvlJc w:val="left"/>
      <w:pPr>
        <w:ind w:left="5040" w:hanging="360"/>
      </w:pPr>
      <w:rPr>
        <w:rFonts w:ascii="Symbol" w:hAnsi="Symbol" w:hint="default"/>
      </w:rPr>
    </w:lvl>
    <w:lvl w:ilvl="7" w:tplc="6A385C98" w:tentative="1">
      <w:start w:val="1"/>
      <w:numFmt w:val="bullet"/>
      <w:lvlText w:val="o"/>
      <w:lvlJc w:val="left"/>
      <w:pPr>
        <w:ind w:left="5760" w:hanging="360"/>
      </w:pPr>
      <w:rPr>
        <w:rFonts w:ascii="Courier New" w:hAnsi="Courier New" w:cs="Courier New" w:hint="default"/>
      </w:rPr>
    </w:lvl>
    <w:lvl w:ilvl="8" w:tplc="9A123074" w:tentative="1">
      <w:start w:val="1"/>
      <w:numFmt w:val="bullet"/>
      <w:lvlText w:val=""/>
      <w:lvlJc w:val="left"/>
      <w:pPr>
        <w:ind w:left="6480" w:hanging="360"/>
      </w:pPr>
      <w:rPr>
        <w:rFonts w:ascii="Wingdings" w:hAnsi="Wingdings" w:hint="default"/>
      </w:rPr>
    </w:lvl>
  </w:abstractNum>
  <w:abstractNum w:abstractNumId="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AE6327"/>
    <w:multiLevelType w:val="multilevel"/>
    <w:tmpl w:val="2680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33847"/>
    <w:multiLevelType w:val="multilevel"/>
    <w:tmpl w:val="9058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D1E8C"/>
    <w:multiLevelType w:val="hybridMultilevel"/>
    <w:tmpl w:val="1AFEF894"/>
    <w:lvl w:ilvl="0" w:tplc="7DEC2ACC">
      <w:start w:val="1"/>
      <w:numFmt w:val="lowerLetter"/>
      <w:lvlText w:val="%1)"/>
      <w:lvlJc w:val="left"/>
      <w:pPr>
        <w:ind w:left="1446" w:hanging="360"/>
      </w:pPr>
      <w:rPr>
        <w:rFonts w:hint="default"/>
      </w:rPr>
    </w:lvl>
    <w:lvl w:ilvl="1" w:tplc="25661446" w:tentative="1">
      <w:start w:val="1"/>
      <w:numFmt w:val="bullet"/>
      <w:lvlText w:val="o"/>
      <w:lvlJc w:val="left"/>
      <w:pPr>
        <w:ind w:left="2166" w:hanging="360"/>
      </w:pPr>
      <w:rPr>
        <w:rFonts w:ascii="Courier New" w:hAnsi="Courier New" w:cs="Courier New" w:hint="default"/>
      </w:rPr>
    </w:lvl>
    <w:lvl w:ilvl="2" w:tplc="1AF2289C" w:tentative="1">
      <w:start w:val="1"/>
      <w:numFmt w:val="bullet"/>
      <w:lvlText w:val=""/>
      <w:lvlJc w:val="left"/>
      <w:pPr>
        <w:ind w:left="2886" w:hanging="360"/>
      </w:pPr>
      <w:rPr>
        <w:rFonts w:ascii="Wingdings" w:hAnsi="Wingdings" w:hint="default"/>
      </w:rPr>
    </w:lvl>
    <w:lvl w:ilvl="3" w:tplc="2D32313A" w:tentative="1">
      <w:start w:val="1"/>
      <w:numFmt w:val="bullet"/>
      <w:lvlText w:val=""/>
      <w:lvlJc w:val="left"/>
      <w:pPr>
        <w:ind w:left="3606" w:hanging="360"/>
      </w:pPr>
      <w:rPr>
        <w:rFonts w:ascii="Symbol" w:hAnsi="Symbol" w:hint="default"/>
      </w:rPr>
    </w:lvl>
    <w:lvl w:ilvl="4" w:tplc="C6B22C08" w:tentative="1">
      <w:start w:val="1"/>
      <w:numFmt w:val="bullet"/>
      <w:lvlText w:val="o"/>
      <w:lvlJc w:val="left"/>
      <w:pPr>
        <w:ind w:left="4326" w:hanging="360"/>
      </w:pPr>
      <w:rPr>
        <w:rFonts w:ascii="Courier New" w:hAnsi="Courier New" w:cs="Courier New" w:hint="default"/>
      </w:rPr>
    </w:lvl>
    <w:lvl w:ilvl="5" w:tplc="9306D006" w:tentative="1">
      <w:start w:val="1"/>
      <w:numFmt w:val="bullet"/>
      <w:lvlText w:val=""/>
      <w:lvlJc w:val="left"/>
      <w:pPr>
        <w:ind w:left="5046" w:hanging="360"/>
      </w:pPr>
      <w:rPr>
        <w:rFonts w:ascii="Wingdings" w:hAnsi="Wingdings" w:hint="default"/>
      </w:rPr>
    </w:lvl>
    <w:lvl w:ilvl="6" w:tplc="F13E9C46" w:tentative="1">
      <w:start w:val="1"/>
      <w:numFmt w:val="bullet"/>
      <w:lvlText w:val=""/>
      <w:lvlJc w:val="left"/>
      <w:pPr>
        <w:ind w:left="5766" w:hanging="360"/>
      </w:pPr>
      <w:rPr>
        <w:rFonts w:ascii="Symbol" w:hAnsi="Symbol" w:hint="default"/>
      </w:rPr>
    </w:lvl>
    <w:lvl w:ilvl="7" w:tplc="A5F8A40E" w:tentative="1">
      <w:start w:val="1"/>
      <w:numFmt w:val="bullet"/>
      <w:lvlText w:val="o"/>
      <w:lvlJc w:val="left"/>
      <w:pPr>
        <w:ind w:left="6486" w:hanging="360"/>
      </w:pPr>
      <w:rPr>
        <w:rFonts w:ascii="Courier New" w:hAnsi="Courier New" w:cs="Courier New" w:hint="default"/>
      </w:rPr>
    </w:lvl>
    <w:lvl w:ilvl="8" w:tplc="16FADE0C" w:tentative="1">
      <w:start w:val="1"/>
      <w:numFmt w:val="bullet"/>
      <w:lvlText w:val=""/>
      <w:lvlJc w:val="left"/>
      <w:pPr>
        <w:ind w:left="7206" w:hanging="360"/>
      </w:pPr>
      <w:rPr>
        <w:rFonts w:ascii="Wingdings" w:hAnsi="Wingdings" w:hint="default"/>
      </w:rPr>
    </w:lvl>
  </w:abstractNum>
  <w:abstractNum w:abstractNumId="12" w15:restartNumberingAfterBreak="0">
    <w:nsid w:val="53FB0C15"/>
    <w:multiLevelType w:val="hybridMultilevel"/>
    <w:tmpl w:val="5B38F23C"/>
    <w:lvl w:ilvl="0" w:tplc="8D988124">
      <w:start w:val="1"/>
      <w:numFmt w:val="decimal"/>
      <w:lvlText w:val="%1."/>
      <w:lvlJc w:val="left"/>
      <w:pPr>
        <w:ind w:left="720" w:hanging="360"/>
      </w:pPr>
      <w:rPr>
        <w:rFonts w:hint="default"/>
      </w:rPr>
    </w:lvl>
    <w:lvl w:ilvl="1" w:tplc="E5C40C8A">
      <w:start w:val="1"/>
      <w:numFmt w:val="lowerLetter"/>
      <w:lvlText w:val="%2)"/>
      <w:lvlJc w:val="left"/>
      <w:pPr>
        <w:ind w:left="1440" w:hanging="360"/>
      </w:pPr>
      <w:rPr>
        <w:rFonts w:hint="default"/>
      </w:rPr>
    </w:lvl>
    <w:lvl w:ilvl="2" w:tplc="53265138">
      <w:start w:val="1"/>
      <w:numFmt w:val="lowerLetter"/>
      <w:lvlText w:val="%3)"/>
      <w:lvlJc w:val="left"/>
      <w:pPr>
        <w:ind w:left="2160" w:hanging="360"/>
      </w:pPr>
      <w:rPr>
        <w:rFonts w:hint="default"/>
      </w:rPr>
    </w:lvl>
    <w:lvl w:ilvl="3" w:tplc="531E1866">
      <w:start w:val="1"/>
      <w:numFmt w:val="lowerRoman"/>
      <w:lvlText w:val="%4."/>
      <w:lvlJc w:val="right"/>
      <w:pPr>
        <w:ind w:left="2880" w:hanging="360"/>
      </w:pPr>
      <w:rPr>
        <w:rFonts w:hint="default"/>
      </w:rPr>
    </w:lvl>
    <w:lvl w:ilvl="4" w:tplc="5E8C9E72">
      <w:start w:val="1"/>
      <w:numFmt w:val="bullet"/>
      <w:lvlText w:val="o"/>
      <w:lvlJc w:val="left"/>
      <w:pPr>
        <w:ind w:left="3600" w:hanging="360"/>
      </w:pPr>
      <w:rPr>
        <w:rFonts w:ascii="Courier New" w:hAnsi="Courier New" w:cs="Courier New" w:hint="default"/>
      </w:rPr>
    </w:lvl>
    <w:lvl w:ilvl="5" w:tplc="2760FBEC">
      <w:start w:val="1"/>
      <w:numFmt w:val="bullet"/>
      <w:lvlText w:val=""/>
      <w:lvlJc w:val="left"/>
      <w:pPr>
        <w:ind w:left="4320" w:hanging="360"/>
      </w:pPr>
      <w:rPr>
        <w:rFonts w:ascii="Wingdings" w:hAnsi="Wingdings" w:hint="default"/>
      </w:rPr>
    </w:lvl>
    <w:lvl w:ilvl="6" w:tplc="483CB2EE" w:tentative="1">
      <w:start w:val="1"/>
      <w:numFmt w:val="bullet"/>
      <w:lvlText w:val=""/>
      <w:lvlJc w:val="left"/>
      <w:pPr>
        <w:ind w:left="5040" w:hanging="360"/>
      </w:pPr>
      <w:rPr>
        <w:rFonts w:ascii="Symbol" w:hAnsi="Symbol" w:hint="default"/>
      </w:rPr>
    </w:lvl>
    <w:lvl w:ilvl="7" w:tplc="C6CC3652" w:tentative="1">
      <w:start w:val="1"/>
      <w:numFmt w:val="bullet"/>
      <w:lvlText w:val="o"/>
      <w:lvlJc w:val="left"/>
      <w:pPr>
        <w:ind w:left="5760" w:hanging="360"/>
      </w:pPr>
      <w:rPr>
        <w:rFonts w:ascii="Courier New" w:hAnsi="Courier New" w:cs="Courier New" w:hint="default"/>
      </w:rPr>
    </w:lvl>
    <w:lvl w:ilvl="8" w:tplc="65642730" w:tentative="1">
      <w:start w:val="1"/>
      <w:numFmt w:val="bullet"/>
      <w:lvlText w:val=""/>
      <w:lvlJc w:val="left"/>
      <w:pPr>
        <w:ind w:left="6480" w:hanging="360"/>
      </w:pPr>
      <w:rPr>
        <w:rFonts w:ascii="Wingdings" w:hAnsi="Wingdings" w:hint="default"/>
      </w:rPr>
    </w:lvl>
  </w:abstractNum>
  <w:abstractNum w:abstractNumId="13" w15:restartNumberingAfterBreak="0">
    <w:nsid w:val="59914873"/>
    <w:multiLevelType w:val="multilevel"/>
    <w:tmpl w:val="2AB0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456429"/>
    <w:multiLevelType w:val="multilevel"/>
    <w:tmpl w:val="B5E0C928"/>
    <w:lvl w:ilvl="0">
      <w:start w:val="1"/>
      <w:numFmt w:val="decimal"/>
      <w:pStyle w:val="ListNumber"/>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66773707"/>
    <w:multiLevelType w:val="hybridMultilevel"/>
    <w:tmpl w:val="CC20672A"/>
    <w:lvl w:ilvl="0" w:tplc="F190BA40">
      <w:start w:val="1"/>
      <w:numFmt w:val="decimal"/>
      <w:lvlText w:val="%1."/>
      <w:lvlJc w:val="left"/>
      <w:pPr>
        <w:ind w:left="720" w:hanging="360"/>
      </w:pPr>
    </w:lvl>
    <w:lvl w:ilvl="1" w:tplc="9C26EE52">
      <w:start w:val="1"/>
      <w:numFmt w:val="lowerLetter"/>
      <w:lvlText w:val="%2."/>
      <w:lvlJc w:val="left"/>
      <w:pPr>
        <w:ind w:left="1440" w:hanging="360"/>
      </w:pPr>
    </w:lvl>
    <w:lvl w:ilvl="2" w:tplc="865E4A56" w:tentative="1">
      <w:start w:val="1"/>
      <w:numFmt w:val="lowerRoman"/>
      <w:lvlText w:val="%3."/>
      <w:lvlJc w:val="right"/>
      <w:pPr>
        <w:ind w:left="2160" w:hanging="180"/>
      </w:pPr>
    </w:lvl>
    <w:lvl w:ilvl="3" w:tplc="335CA71A" w:tentative="1">
      <w:start w:val="1"/>
      <w:numFmt w:val="decimal"/>
      <w:lvlText w:val="%4."/>
      <w:lvlJc w:val="left"/>
      <w:pPr>
        <w:ind w:left="2880" w:hanging="360"/>
      </w:pPr>
    </w:lvl>
    <w:lvl w:ilvl="4" w:tplc="2F88EBC2" w:tentative="1">
      <w:start w:val="1"/>
      <w:numFmt w:val="lowerLetter"/>
      <w:lvlText w:val="%5."/>
      <w:lvlJc w:val="left"/>
      <w:pPr>
        <w:ind w:left="3600" w:hanging="360"/>
      </w:pPr>
    </w:lvl>
    <w:lvl w:ilvl="5" w:tplc="351CDC5E" w:tentative="1">
      <w:start w:val="1"/>
      <w:numFmt w:val="lowerRoman"/>
      <w:lvlText w:val="%6."/>
      <w:lvlJc w:val="right"/>
      <w:pPr>
        <w:ind w:left="4320" w:hanging="180"/>
      </w:pPr>
    </w:lvl>
    <w:lvl w:ilvl="6" w:tplc="BB38E238" w:tentative="1">
      <w:start w:val="1"/>
      <w:numFmt w:val="decimal"/>
      <w:lvlText w:val="%7."/>
      <w:lvlJc w:val="left"/>
      <w:pPr>
        <w:ind w:left="5040" w:hanging="360"/>
      </w:pPr>
    </w:lvl>
    <w:lvl w:ilvl="7" w:tplc="0D20C4F0" w:tentative="1">
      <w:start w:val="1"/>
      <w:numFmt w:val="lowerLetter"/>
      <w:lvlText w:val="%8."/>
      <w:lvlJc w:val="left"/>
      <w:pPr>
        <w:ind w:left="5760" w:hanging="360"/>
      </w:pPr>
    </w:lvl>
    <w:lvl w:ilvl="8" w:tplc="C018E386" w:tentative="1">
      <w:start w:val="1"/>
      <w:numFmt w:val="lowerRoman"/>
      <w:lvlText w:val="%9."/>
      <w:lvlJc w:val="right"/>
      <w:pPr>
        <w:ind w:left="6480" w:hanging="180"/>
      </w:pPr>
    </w:lvl>
  </w:abstractNum>
  <w:abstractNum w:abstractNumId="16"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5C7C61"/>
    <w:multiLevelType w:val="hybridMultilevel"/>
    <w:tmpl w:val="D58E68B2"/>
    <w:lvl w:ilvl="0" w:tplc="1334FE1A">
      <w:start w:val="1"/>
      <w:numFmt w:val="decimal"/>
      <w:lvlText w:val="%1."/>
      <w:lvlJc w:val="left"/>
      <w:pPr>
        <w:ind w:left="720" w:hanging="360"/>
      </w:pPr>
    </w:lvl>
    <w:lvl w:ilvl="1" w:tplc="B5A87060">
      <w:start w:val="1"/>
      <w:numFmt w:val="lowerLetter"/>
      <w:lvlText w:val="%2."/>
      <w:lvlJc w:val="left"/>
      <w:pPr>
        <w:ind w:left="1440" w:hanging="360"/>
      </w:pPr>
    </w:lvl>
    <w:lvl w:ilvl="2" w:tplc="6D42F116">
      <w:start w:val="1"/>
      <w:numFmt w:val="lowerRoman"/>
      <w:lvlText w:val="%3."/>
      <w:lvlJc w:val="right"/>
      <w:pPr>
        <w:ind w:left="2160" w:hanging="180"/>
      </w:pPr>
    </w:lvl>
    <w:lvl w:ilvl="3" w:tplc="746831C6" w:tentative="1">
      <w:start w:val="1"/>
      <w:numFmt w:val="decimal"/>
      <w:lvlText w:val="%4."/>
      <w:lvlJc w:val="left"/>
      <w:pPr>
        <w:ind w:left="2880" w:hanging="360"/>
      </w:pPr>
    </w:lvl>
    <w:lvl w:ilvl="4" w:tplc="EC44A482" w:tentative="1">
      <w:start w:val="1"/>
      <w:numFmt w:val="lowerLetter"/>
      <w:lvlText w:val="%5."/>
      <w:lvlJc w:val="left"/>
      <w:pPr>
        <w:ind w:left="3600" w:hanging="360"/>
      </w:pPr>
    </w:lvl>
    <w:lvl w:ilvl="5" w:tplc="B600BBFC" w:tentative="1">
      <w:start w:val="1"/>
      <w:numFmt w:val="lowerRoman"/>
      <w:lvlText w:val="%6."/>
      <w:lvlJc w:val="right"/>
      <w:pPr>
        <w:ind w:left="4320" w:hanging="180"/>
      </w:pPr>
    </w:lvl>
    <w:lvl w:ilvl="6" w:tplc="6CB6DB4C" w:tentative="1">
      <w:start w:val="1"/>
      <w:numFmt w:val="decimal"/>
      <w:lvlText w:val="%7."/>
      <w:lvlJc w:val="left"/>
      <w:pPr>
        <w:ind w:left="5040" w:hanging="360"/>
      </w:pPr>
    </w:lvl>
    <w:lvl w:ilvl="7" w:tplc="7D0241F2" w:tentative="1">
      <w:start w:val="1"/>
      <w:numFmt w:val="lowerLetter"/>
      <w:lvlText w:val="%8."/>
      <w:lvlJc w:val="left"/>
      <w:pPr>
        <w:ind w:left="5760" w:hanging="360"/>
      </w:pPr>
    </w:lvl>
    <w:lvl w:ilvl="8" w:tplc="387EB9C6" w:tentative="1">
      <w:start w:val="1"/>
      <w:numFmt w:val="lowerRoman"/>
      <w:lvlText w:val="%9."/>
      <w:lvlJc w:val="right"/>
      <w:pPr>
        <w:ind w:left="6480" w:hanging="180"/>
      </w:pPr>
    </w:lvl>
  </w:abstractNum>
  <w:abstractNum w:abstractNumId="18"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1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435401594">
    <w:abstractNumId w:val="19"/>
  </w:num>
  <w:num w:numId="2" w16cid:durableId="821504721">
    <w:abstractNumId w:val="0"/>
  </w:num>
  <w:num w:numId="3" w16cid:durableId="1494908878">
    <w:abstractNumId w:val="17"/>
  </w:num>
  <w:num w:numId="4" w16cid:durableId="887031592">
    <w:abstractNumId w:val="16"/>
  </w:num>
  <w:num w:numId="5" w16cid:durableId="153449000">
    <w:abstractNumId w:val="8"/>
  </w:num>
  <w:num w:numId="6" w16cid:durableId="843907940">
    <w:abstractNumId w:val="7"/>
  </w:num>
  <w:num w:numId="7" w16cid:durableId="1257978572">
    <w:abstractNumId w:val="14"/>
  </w:num>
  <w:num w:numId="8" w16cid:durableId="1249313091">
    <w:abstractNumId w:val="3"/>
  </w:num>
  <w:num w:numId="9" w16cid:durableId="990862162">
    <w:abstractNumId w:val="1"/>
  </w:num>
  <w:num w:numId="10" w16cid:durableId="100687464">
    <w:abstractNumId w:val="18"/>
  </w:num>
  <w:num w:numId="11" w16cid:durableId="99098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3220806">
    <w:abstractNumId w:val="15"/>
  </w:num>
  <w:num w:numId="13" w16cid:durableId="2095078895">
    <w:abstractNumId w:val="10"/>
  </w:num>
  <w:num w:numId="14" w16cid:durableId="196818362">
    <w:abstractNumId w:val="13"/>
  </w:num>
  <w:num w:numId="15" w16cid:durableId="1419867447">
    <w:abstractNumId w:val="2"/>
  </w:num>
  <w:num w:numId="16" w16cid:durableId="430972097">
    <w:abstractNumId w:val="9"/>
  </w:num>
  <w:num w:numId="17" w16cid:durableId="1593123855">
    <w:abstractNumId w:val="6"/>
  </w:num>
  <w:num w:numId="18" w16cid:durableId="733508451">
    <w:abstractNumId w:val="11"/>
  </w:num>
  <w:num w:numId="19" w16cid:durableId="1011375340">
    <w:abstractNumId w:val="12"/>
  </w:num>
  <w:num w:numId="20" w16cid:durableId="1407608645">
    <w:abstractNumId w:val="5"/>
  </w:num>
  <w:num w:numId="21" w16cid:durableId="59679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SortMethod w:val="0000"/>
  <w:doNotTrackMoves/>
  <w:defaultTabStop w:val="720"/>
  <w:drawingGridHorizontalSpacing w:val="110"/>
  <w:displayHorizontalDrawingGridEvery w:val="2"/>
  <w:displayVerticalDrawingGridEvery w:val="2"/>
  <w:characterSpacingControl w:val="doNotCompress"/>
  <w:hdrShapeDefaults>
    <o:shapedefaults v:ext="edit" spidmax="194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0571E"/>
    <w:rsid w:val="00012546"/>
    <w:rsid w:val="00015441"/>
    <w:rsid w:val="00025D07"/>
    <w:rsid w:val="00032939"/>
    <w:rsid w:val="000369D8"/>
    <w:rsid w:val="00073EDE"/>
    <w:rsid w:val="00084904"/>
    <w:rsid w:val="000B64ED"/>
    <w:rsid w:val="000C2100"/>
    <w:rsid w:val="000E08AF"/>
    <w:rsid w:val="000E1CCF"/>
    <w:rsid w:val="000E5B62"/>
    <w:rsid w:val="00101C97"/>
    <w:rsid w:val="00176009"/>
    <w:rsid w:val="001A0B2E"/>
    <w:rsid w:val="001B1BB3"/>
    <w:rsid w:val="001E14FE"/>
    <w:rsid w:val="00283F20"/>
    <w:rsid w:val="0028636B"/>
    <w:rsid w:val="0029466A"/>
    <w:rsid w:val="002A4C29"/>
    <w:rsid w:val="002C6073"/>
    <w:rsid w:val="002E2B86"/>
    <w:rsid w:val="002F4E0E"/>
    <w:rsid w:val="0030545E"/>
    <w:rsid w:val="0031235A"/>
    <w:rsid w:val="00317373"/>
    <w:rsid w:val="003217E5"/>
    <w:rsid w:val="00345AA8"/>
    <w:rsid w:val="00346A0F"/>
    <w:rsid w:val="00354E11"/>
    <w:rsid w:val="00363134"/>
    <w:rsid w:val="00370628"/>
    <w:rsid w:val="003A145A"/>
    <w:rsid w:val="003A5EA1"/>
    <w:rsid w:val="003C604B"/>
    <w:rsid w:val="003D71E5"/>
    <w:rsid w:val="004260F9"/>
    <w:rsid w:val="00453044"/>
    <w:rsid w:val="004878DE"/>
    <w:rsid w:val="00490B00"/>
    <w:rsid w:val="004A4701"/>
    <w:rsid w:val="004A5178"/>
    <w:rsid w:val="004C68DE"/>
    <w:rsid w:val="004E2598"/>
    <w:rsid w:val="004E3012"/>
    <w:rsid w:val="004F1C29"/>
    <w:rsid w:val="005100A1"/>
    <w:rsid w:val="00511E05"/>
    <w:rsid w:val="00521606"/>
    <w:rsid w:val="0053290B"/>
    <w:rsid w:val="00544AC2"/>
    <w:rsid w:val="00545667"/>
    <w:rsid w:val="00561B0E"/>
    <w:rsid w:val="0058755F"/>
    <w:rsid w:val="00594D02"/>
    <w:rsid w:val="005B0144"/>
    <w:rsid w:val="005C3833"/>
    <w:rsid w:val="005D44A9"/>
    <w:rsid w:val="005F0F17"/>
    <w:rsid w:val="005F5348"/>
    <w:rsid w:val="006049E9"/>
    <w:rsid w:val="00642203"/>
    <w:rsid w:val="006422BC"/>
    <w:rsid w:val="0064678B"/>
    <w:rsid w:val="00651DE6"/>
    <w:rsid w:val="00675738"/>
    <w:rsid w:val="00690E0A"/>
    <w:rsid w:val="006F2E38"/>
    <w:rsid w:val="00720A10"/>
    <w:rsid w:val="007547BF"/>
    <w:rsid w:val="0076288C"/>
    <w:rsid w:val="00763BB6"/>
    <w:rsid w:val="00767CB5"/>
    <w:rsid w:val="00796A7D"/>
    <w:rsid w:val="007A6919"/>
    <w:rsid w:val="007A7A6F"/>
    <w:rsid w:val="007F32F5"/>
    <w:rsid w:val="007F4CEA"/>
    <w:rsid w:val="00801CDC"/>
    <w:rsid w:val="00824878"/>
    <w:rsid w:val="00847AB8"/>
    <w:rsid w:val="00854E0F"/>
    <w:rsid w:val="00855F32"/>
    <w:rsid w:val="0087081B"/>
    <w:rsid w:val="00896E38"/>
    <w:rsid w:val="008A6A16"/>
    <w:rsid w:val="008D3295"/>
    <w:rsid w:val="008E528C"/>
    <w:rsid w:val="008E6D87"/>
    <w:rsid w:val="00903315"/>
    <w:rsid w:val="009431DF"/>
    <w:rsid w:val="009565F3"/>
    <w:rsid w:val="009741E8"/>
    <w:rsid w:val="00993B6D"/>
    <w:rsid w:val="009D17EF"/>
    <w:rsid w:val="009F28A2"/>
    <w:rsid w:val="00A06434"/>
    <w:rsid w:val="00A1004C"/>
    <w:rsid w:val="00A12932"/>
    <w:rsid w:val="00A13E4A"/>
    <w:rsid w:val="00A53B99"/>
    <w:rsid w:val="00A54548"/>
    <w:rsid w:val="00A57C0E"/>
    <w:rsid w:val="00A83035"/>
    <w:rsid w:val="00A954BE"/>
    <w:rsid w:val="00AC661A"/>
    <w:rsid w:val="00AE4923"/>
    <w:rsid w:val="00AF2B7F"/>
    <w:rsid w:val="00B03B9F"/>
    <w:rsid w:val="00B12120"/>
    <w:rsid w:val="00B45852"/>
    <w:rsid w:val="00B56337"/>
    <w:rsid w:val="00BB5310"/>
    <w:rsid w:val="00BB6DF5"/>
    <w:rsid w:val="00BE6311"/>
    <w:rsid w:val="00C50AE3"/>
    <w:rsid w:val="00C70836"/>
    <w:rsid w:val="00C81C8B"/>
    <w:rsid w:val="00C921B4"/>
    <w:rsid w:val="00CA2CC2"/>
    <w:rsid w:val="00CD3066"/>
    <w:rsid w:val="00CE56CF"/>
    <w:rsid w:val="00CF3E21"/>
    <w:rsid w:val="00D00E63"/>
    <w:rsid w:val="00D0571E"/>
    <w:rsid w:val="00D12A6E"/>
    <w:rsid w:val="00D455A4"/>
    <w:rsid w:val="00D50A6B"/>
    <w:rsid w:val="00D80F72"/>
    <w:rsid w:val="00DC5FBD"/>
    <w:rsid w:val="00DC605B"/>
    <w:rsid w:val="00DF2C91"/>
    <w:rsid w:val="00E002FC"/>
    <w:rsid w:val="00E04ED9"/>
    <w:rsid w:val="00E205FE"/>
    <w:rsid w:val="00E43550"/>
    <w:rsid w:val="00E4723E"/>
    <w:rsid w:val="00EB45DA"/>
    <w:rsid w:val="00F13FD3"/>
    <w:rsid w:val="00F46BD8"/>
    <w:rsid w:val="00F741D5"/>
    <w:rsid w:val="00F810AC"/>
    <w:rsid w:val="00F82B99"/>
    <w:rsid w:val="00FC4400"/>
    <w:rsid w:val="00FF50C8"/>
    <w:rsid w:val="00FF62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shapelayout>
  </w:shapeDefaults>
  <w:decimalSymbol w:val="."/>
  <w:listSeparator w:val=","/>
  <w14:docId w14:val="1D94D77A"/>
  <w15:chartTrackingRefBased/>
  <w15:docId w15:val="{3904753A-F5D9-4DA5-8EDD-CC161724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A63"/>
    <w:rPr>
      <w:rFonts w:ascii="Cambria" w:hAnsi="Cambria"/>
      <w:sz w:val="22"/>
      <w:szCs w:val="22"/>
      <w:lang w:eastAsia="en-US"/>
    </w:rPr>
  </w:style>
  <w:style w:type="paragraph" w:styleId="Heading1">
    <w:name w:val="heading 1"/>
    <w:next w:val="Normal"/>
    <w:link w:val="Heading1Char"/>
    <w:autoRedefine/>
    <w:uiPriority w:val="9"/>
    <w:qFormat/>
    <w:rsid w:val="005D44A9"/>
    <w:pPr>
      <w:keepNext/>
      <w:spacing w:after="200"/>
      <w:outlineLvl w:val="0"/>
    </w:pPr>
    <w:rPr>
      <w:rFonts w:ascii="Calibri" w:hAnsi="Calibri" w:cs="Arial"/>
      <w:b/>
      <w:caps/>
      <w:sz w:val="24"/>
      <w:szCs w:val="22"/>
      <w:lang w:eastAsia="en-US"/>
    </w:rPr>
  </w:style>
  <w:style w:type="paragraph" w:styleId="Heading2">
    <w:name w:val="heading 2"/>
    <w:basedOn w:val="Normal"/>
    <w:next w:val="Normal"/>
    <w:link w:val="Heading2Char"/>
    <w:autoRedefine/>
    <w:uiPriority w:val="9"/>
    <w:qFormat/>
    <w:rsid w:val="00721885"/>
    <w:pPr>
      <w:keepNext/>
      <w:spacing w:after="200"/>
      <w:outlineLvl w:val="1"/>
    </w:pPr>
    <w:rPr>
      <w:rFonts w:cs="Arial"/>
      <w:b/>
    </w:rPr>
  </w:style>
  <w:style w:type="paragraph" w:styleId="Heading3">
    <w:name w:val="heading 3"/>
    <w:basedOn w:val="Normal"/>
    <w:next w:val="Normal"/>
    <w:link w:val="Heading3Char"/>
    <w:autoRedefine/>
    <w:uiPriority w:val="9"/>
    <w:qFormat/>
    <w:rsid w:val="009431DF"/>
    <w:pPr>
      <w:keepNext/>
      <w:spacing w:after="200"/>
      <w:outlineLvl w:val="2"/>
    </w:pPr>
    <w:rPr>
      <w:rFonts w:cs="Arial"/>
      <w:b/>
      <w:i/>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link w:val="Heading1"/>
    <w:uiPriority w:val="9"/>
    <w:rsid w:val="005D44A9"/>
    <w:rPr>
      <w:rFonts w:ascii="Calibri" w:hAnsi="Calibri" w:cs="Arial"/>
      <w:b/>
      <w:caps/>
      <w:sz w:val="24"/>
      <w:szCs w:val="22"/>
      <w:lang w:eastAsia="en-US"/>
    </w:rPr>
  </w:style>
  <w:style w:type="character" w:customStyle="1" w:styleId="Heading2Char">
    <w:name w:val="Heading 2 Char"/>
    <w:link w:val="Heading2"/>
    <w:uiPriority w:val="9"/>
    <w:rsid w:val="00721885"/>
    <w:rPr>
      <w:rFonts w:ascii="Cambria" w:hAnsi="Cambria" w:cs="Arial"/>
      <w:b/>
      <w:lang w:eastAsia="en-US"/>
    </w:rPr>
  </w:style>
  <w:style w:type="character" w:customStyle="1" w:styleId="Heading3Char">
    <w:name w:val="Heading 3 Char"/>
    <w:link w:val="Heading3"/>
    <w:uiPriority w:val="9"/>
    <w:rsid w:val="009431DF"/>
    <w:rPr>
      <w:rFonts w:ascii="Cambria" w:hAnsi="Cambria" w:cs="Arial"/>
      <w:b/>
      <w:i/>
      <w:sz w:val="22"/>
      <w:szCs w:val="22"/>
      <w:lang w:eastAsia="en-US"/>
    </w:rPr>
  </w:style>
  <w:style w:type="character" w:customStyle="1" w:styleId="Heading4Char">
    <w:name w:val="Heading 4 Char"/>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B012C5"/>
    <w:pPr>
      <w:numPr>
        <w:numId w:val="8"/>
      </w:numPr>
      <w:spacing w:after="200"/>
      <w:ind w:left="851" w:hanging="567"/>
      <w:contextualSpacing/>
    </w:pPr>
  </w:style>
  <w:style w:type="paragraph" w:styleId="ListBullet2">
    <w:name w:val="List Bullet 2"/>
    <w:basedOn w:val="Normal"/>
    <w:autoRedefine/>
    <w:uiPriority w:val="99"/>
    <w:unhideWhenUsed/>
    <w:rsid w:val="00721885"/>
    <w:pPr>
      <w:numPr>
        <w:ilvl w:val="1"/>
        <w:numId w:val="8"/>
      </w:numPr>
      <w:spacing w:after="200"/>
      <w:ind w:left="738" w:hanging="369"/>
    </w:pPr>
  </w:style>
  <w:style w:type="paragraph" w:styleId="ListBullet3">
    <w:name w:val="List Bullet 3"/>
    <w:basedOn w:val="Normal"/>
    <w:autoRedefine/>
    <w:uiPriority w:val="99"/>
    <w:unhideWhenUsed/>
    <w:rsid w:val="00160AD3"/>
    <w:pPr>
      <w:numPr>
        <w:ilvl w:val="2"/>
        <w:numId w:val="8"/>
      </w:numPr>
      <w:spacing w:after="200"/>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Paragraph">
    <w:name w:val="List Paragraph"/>
    <w:basedOn w:val="Normal"/>
    <w:uiPriority w:val="34"/>
    <w:qFormat/>
    <w:rsid w:val="003556BD"/>
    <w:pPr>
      <w:numPr>
        <w:numId w:val="6"/>
      </w:numPr>
    </w:pPr>
  </w:style>
  <w:style w:type="character" w:styleId="BookTitle">
    <w:name w:val="Book Title"/>
    <w:uiPriority w:val="33"/>
    <w:qFormat/>
    <w:rsid w:val="00383020"/>
    <w:rPr>
      <w:bCs/>
      <w:i/>
      <w:smallCaps/>
      <w:spacing w:val="5"/>
    </w:rPr>
  </w:style>
  <w:style w:type="paragraph" w:styleId="ListNumber">
    <w:name w:val="List Number"/>
    <w:basedOn w:val="Normal"/>
    <w:autoRedefine/>
    <w:uiPriority w:val="99"/>
    <w:qFormat/>
    <w:rsid w:val="00721885"/>
    <w:pPr>
      <w:numPr>
        <w:numId w:val="7"/>
      </w:numPr>
      <w:spacing w:after="200"/>
    </w:pPr>
  </w:style>
  <w:style w:type="paragraph" w:styleId="ListNumber2">
    <w:name w:val="List Number 2"/>
    <w:basedOn w:val="Normal"/>
    <w:autoRedefine/>
    <w:uiPriority w:val="99"/>
    <w:rsid w:val="00C33BC1"/>
    <w:pPr>
      <w:numPr>
        <w:ilvl w:val="1"/>
        <w:numId w:val="7"/>
      </w:numPr>
      <w:spacing w:after="200" w:line="276" w:lineRule="auto"/>
    </w:pPr>
  </w:style>
  <w:style w:type="paragraph" w:styleId="ListNumber3">
    <w:name w:val="List Number 3"/>
    <w:basedOn w:val="Normal"/>
    <w:autoRedefine/>
    <w:uiPriority w:val="99"/>
    <w:rsid w:val="00160AD3"/>
    <w:pPr>
      <w:numPr>
        <w:ilvl w:val="2"/>
        <w:numId w:val="7"/>
      </w:numPr>
      <w:spacing w:after="200"/>
      <w:ind w:left="1106"/>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ngleLine">
    <w:name w:val="Single Line"/>
    <w:basedOn w:val="Normal"/>
    <w:rsid w:val="0018112F"/>
    <w:rPr>
      <w:rFonts w:ascii="Calibri" w:eastAsia="Times New Roman" w:hAnsi="Calibri"/>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16FB8"/>
    <w:rPr>
      <w:color w:val="0000FF"/>
      <w:u w:val="single"/>
    </w:rPr>
  </w:style>
  <w:style w:type="character" w:styleId="FollowedHyperlink">
    <w:name w:val="FollowedHyperlink"/>
    <w:uiPriority w:val="99"/>
    <w:semiHidden/>
    <w:unhideWhenUsed/>
    <w:rsid w:val="00916FB8"/>
    <w:rPr>
      <w:color w:val="800080"/>
      <w:u w:val="single"/>
    </w:rPr>
  </w:style>
  <w:style w:type="character" w:styleId="CommentReference">
    <w:name w:val="annotation reference"/>
    <w:uiPriority w:val="99"/>
    <w:semiHidden/>
    <w:unhideWhenUsed/>
    <w:rsid w:val="00ED1C9F"/>
    <w:rPr>
      <w:sz w:val="16"/>
      <w:szCs w:val="16"/>
    </w:rPr>
  </w:style>
  <w:style w:type="paragraph" w:styleId="CommentText">
    <w:name w:val="annotation text"/>
    <w:basedOn w:val="Normal"/>
    <w:link w:val="CommentTextChar"/>
    <w:uiPriority w:val="99"/>
    <w:semiHidden/>
    <w:unhideWhenUsed/>
    <w:rsid w:val="00ED1C9F"/>
    <w:rPr>
      <w:sz w:val="20"/>
      <w:szCs w:val="20"/>
    </w:rPr>
  </w:style>
  <w:style w:type="character" w:customStyle="1" w:styleId="CommentTextChar">
    <w:name w:val="Comment Text Char"/>
    <w:link w:val="CommentText"/>
    <w:uiPriority w:val="99"/>
    <w:semiHidden/>
    <w:rsid w:val="00ED1C9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D1C9F"/>
    <w:rPr>
      <w:b/>
      <w:bCs/>
    </w:rPr>
  </w:style>
  <w:style w:type="character" w:customStyle="1" w:styleId="CommentSubjectChar">
    <w:name w:val="Comment Subject Char"/>
    <w:link w:val="CommentSubject"/>
    <w:uiPriority w:val="99"/>
    <w:semiHidden/>
    <w:rsid w:val="00ED1C9F"/>
    <w:rPr>
      <w:rFonts w:ascii="Cambria" w:hAnsi="Cambria"/>
      <w:b/>
      <w:bCs/>
      <w:lang w:eastAsia="en-US"/>
    </w:rPr>
  </w:style>
  <w:style w:type="paragraph" w:styleId="Revision">
    <w:name w:val="Revision"/>
    <w:hidden/>
    <w:uiPriority w:val="99"/>
    <w:semiHidden/>
    <w:rsid w:val="001A0B2E"/>
    <w:rPr>
      <w:rFonts w:ascii="Cambria" w:hAnsi="Cambria"/>
      <w:sz w:val="22"/>
      <w:szCs w:val="22"/>
      <w:lang w:eastAsia="en-US"/>
    </w:rPr>
  </w:style>
  <w:style w:type="character" w:styleId="UnresolvedMention">
    <w:name w:val="Unresolved Mention"/>
    <w:basedOn w:val="DefaultParagraphFont"/>
    <w:uiPriority w:val="99"/>
    <w:semiHidden/>
    <w:unhideWhenUsed/>
    <w:rsid w:val="002A4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367160">
      <w:bodyDiv w:val="1"/>
      <w:marLeft w:val="0"/>
      <w:marRight w:val="0"/>
      <w:marTop w:val="0"/>
      <w:marBottom w:val="0"/>
      <w:divBdr>
        <w:top w:val="none" w:sz="0" w:space="0" w:color="auto"/>
        <w:left w:val="none" w:sz="0" w:space="0" w:color="auto"/>
        <w:bottom w:val="none" w:sz="0" w:space="0" w:color="auto"/>
        <w:right w:val="none" w:sz="0" w:space="0" w:color="auto"/>
      </w:divBdr>
    </w:div>
    <w:div w:id="844049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law.gov.au/Series/F2006B01053" TargetMode="External"/><Relationship Id="rId18" Type="http://schemas.openxmlformats.org/officeDocument/2006/relationships/hyperlink" Target="http://b3.net.nz/birea/index.php?page=testing"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bicon.agriculture.gov.au/BiconWeb4.0" TargetMode="External"/><Relationship Id="rId17" Type="http://schemas.openxmlformats.org/officeDocument/2006/relationships/hyperlink" Target="http://www.agriculture.gov.au/biosecurity/risk-analysis/guidelines" TargetMode="External"/><Relationship Id="rId2" Type="http://schemas.openxmlformats.org/officeDocument/2006/relationships/customXml" Target="../customXml/item2.xml"/><Relationship Id="rId16" Type="http://schemas.openxmlformats.org/officeDocument/2006/relationships/hyperlink" Target="mailto:imports@agriculture.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mports@agriculture.gov.a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nlineservices.environment.gov.au/" TargetMode="External"/><Relationship Id="rId23" Type="http://schemas.openxmlformats.org/officeDocument/2006/relationships/fontTable" Target="fontTable.xml"/><Relationship Id="rId10" Type="http://schemas.openxmlformats.org/officeDocument/2006/relationships/hyperlink" Target="mailto:phc@agriculture.gov.au" TargetMode="External"/><Relationship Id="rId19" Type="http://schemas.openxmlformats.org/officeDocument/2006/relationships/hyperlink" Target="http://b3.net.nz/birea/index.php" TargetMode="External"/><Relationship Id="rId4" Type="http://schemas.openxmlformats.org/officeDocument/2006/relationships/styles" Target="styles.xml"/><Relationship Id="rId9" Type="http://schemas.openxmlformats.org/officeDocument/2006/relationships/hyperlink" Target="mailto:eic@agriculture.gov.au" TargetMode="External"/><Relationship Id="rId14" Type="http://schemas.openxmlformats.org/officeDocument/2006/relationships/hyperlink" Target="https://www.dcceew.gov.au/environment/wildlife-trade/live-import-list"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B73DB-99B0-4FB9-B153-BFB976FD565E}">
  <ds:schemaRefs>
    <ds:schemaRef ds:uri="http://schemas.microsoft.com/sharepoint/v3/contenttype/forms"/>
  </ds:schemaRefs>
</ds:datastoreItem>
</file>

<file path=customXml/itemProps2.xml><?xml version="1.0" encoding="utf-8"?>
<ds:datastoreItem xmlns:ds="http://schemas.openxmlformats.org/officeDocument/2006/customXml" ds:itemID="{A1952CF4-D05F-43B1-8BC1-82BF8BF73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3111</Words>
  <Characters>17737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Revised guidelines for the introduction of exotic biological control agents for the control of weeds and plant pests</vt:lpstr>
    </vt:vector>
  </TitlesOfParts>
  <Manager/>
  <Company/>
  <LinksUpToDate>false</LinksUpToDate>
  <CharactersWithSpaces>20807</CharactersWithSpaces>
  <SharedDoc>false</SharedDoc>
  <HLinks>
    <vt:vector size="72" baseType="variant">
      <vt:variant>
        <vt:i4>7798880</vt:i4>
      </vt:variant>
      <vt:variant>
        <vt:i4>33</vt:i4>
      </vt:variant>
      <vt:variant>
        <vt:i4>0</vt:i4>
      </vt:variant>
      <vt:variant>
        <vt:i4>5</vt:i4>
      </vt:variant>
      <vt:variant>
        <vt:lpwstr>http://www.b3nz.org/birea/</vt:lpwstr>
      </vt:variant>
      <vt:variant>
        <vt:lpwstr/>
      </vt:variant>
      <vt:variant>
        <vt:i4>458842</vt:i4>
      </vt:variant>
      <vt:variant>
        <vt:i4>30</vt:i4>
      </vt:variant>
      <vt:variant>
        <vt:i4>0</vt:i4>
      </vt:variant>
      <vt:variant>
        <vt:i4>5</vt:i4>
      </vt:variant>
      <vt:variant>
        <vt:lpwstr>http://b3.net.nz/birea/index.php?page=testing</vt:lpwstr>
      </vt:variant>
      <vt:variant>
        <vt:lpwstr/>
      </vt:variant>
      <vt:variant>
        <vt:i4>7667827</vt:i4>
      </vt:variant>
      <vt:variant>
        <vt:i4>27</vt:i4>
      </vt:variant>
      <vt:variant>
        <vt:i4>0</vt:i4>
      </vt:variant>
      <vt:variant>
        <vt:i4>5</vt:i4>
      </vt:variant>
      <vt:variant>
        <vt:lpwstr>http://www.agriculture.gov.au/biosecurity/risk-analysis/guidelines</vt:lpwstr>
      </vt:variant>
      <vt:variant>
        <vt:lpwstr/>
      </vt:variant>
      <vt:variant>
        <vt:i4>4325493</vt:i4>
      </vt:variant>
      <vt:variant>
        <vt:i4>24</vt:i4>
      </vt:variant>
      <vt:variant>
        <vt:i4>0</vt:i4>
      </vt:variant>
      <vt:variant>
        <vt:i4>5</vt:i4>
      </vt:variant>
      <vt:variant>
        <vt:lpwstr/>
      </vt:variant>
      <vt:variant>
        <vt:lpwstr>_Notes_to_data</vt:lpwstr>
      </vt:variant>
      <vt:variant>
        <vt:i4>393326</vt:i4>
      </vt:variant>
      <vt:variant>
        <vt:i4>21</vt:i4>
      </vt:variant>
      <vt:variant>
        <vt:i4>0</vt:i4>
      </vt:variant>
      <vt:variant>
        <vt:i4>5</vt:i4>
      </vt:variant>
      <vt:variant>
        <vt:lpwstr>mailto:imports@agriculture.gov.au</vt:lpwstr>
      </vt:variant>
      <vt:variant>
        <vt:lpwstr/>
      </vt:variant>
      <vt:variant>
        <vt:i4>3211391</vt:i4>
      </vt:variant>
      <vt:variant>
        <vt:i4>18</vt:i4>
      </vt:variant>
      <vt:variant>
        <vt:i4>0</vt:i4>
      </vt:variant>
      <vt:variant>
        <vt:i4>5</vt:i4>
      </vt:variant>
      <vt:variant>
        <vt:lpwstr>https://onlineservices.environment.gov.au/</vt:lpwstr>
      </vt:variant>
      <vt:variant>
        <vt:lpwstr/>
      </vt:variant>
      <vt:variant>
        <vt:i4>2162727</vt:i4>
      </vt:variant>
      <vt:variant>
        <vt:i4>15</vt:i4>
      </vt:variant>
      <vt:variant>
        <vt:i4>0</vt:i4>
      </vt:variant>
      <vt:variant>
        <vt:i4>5</vt:i4>
      </vt:variant>
      <vt:variant>
        <vt:lpwstr>http://www.environment.gov.au/biodiversity/wildlife-trade/live-import-list</vt:lpwstr>
      </vt:variant>
      <vt:variant>
        <vt:lpwstr/>
      </vt:variant>
      <vt:variant>
        <vt:i4>7405668</vt:i4>
      </vt:variant>
      <vt:variant>
        <vt:i4>12</vt:i4>
      </vt:variant>
      <vt:variant>
        <vt:i4>0</vt:i4>
      </vt:variant>
      <vt:variant>
        <vt:i4>5</vt:i4>
      </vt:variant>
      <vt:variant>
        <vt:lpwstr>http://www.comlaw.gov.au/Series/F2006B01053</vt:lpwstr>
      </vt:variant>
      <vt:variant>
        <vt:lpwstr/>
      </vt:variant>
      <vt:variant>
        <vt:i4>5242945</vt:i4>
      </vt:variant>
      <vt:variant>
        <vt:i4>9</vt:i4>
      </vt:variant>
      <vt:variant>
        <vt:i4>0</vt:i4>
      </vt:variant>
      <vt:variant>
        <vt:i4>5</vt:i4>
      </vt:variant>
      <vt:variant>
        <vt:lpwstr>https://bicon.agriculture.gov.au/BiconWeb4.0</vt:lpwstr>
      </vt:variant>
      <vt:variant>
        <vt:lpwstr/>
      </vt:variant>
      <vt:variant>
        <vt:i4>393326</vt:i4>
      </vt:variant>
      <vt:variant>
        <vt:i4>6</vt:i4>
      </vt:variant>
      <vt:variant>
        <vt:i4>0</vt:i4>
      </vt:variant>
      <vt:variant>
        <vt:i4>5</vt:i4>
      </vt:variant>
      <vt:variant>
        <vt:lpwstr>mailto:imports@agriculture.gov.au</vt:lpwstr>
      </vt:variant>
      <vt:variant>
        <vt:lpwstr/>
      </vt:variant>
      <vt:variant>
        <vt:i4>852080</vt:i4>
      </vt:variant>
      <vt:variant>
        <vt:i4>3</vt:i4>
      </vt:variant>
      <vt:variant>
        <vt:i4>0</vt:i4>
      </vt:variant>
      <vt:variant>
        <vt:i4>5</vt:i4>
      </vt:variant>
      <vt:variant>
        <vt:lpwstr>mailto:phc@agriculture.gov.au</vt:lpwstr>
      </vt:variant>
      <vt:variant>
        <vt:lpwstr/>
      </vt:variant>
      <vt:variant>
        <vt:i4>1572977</vt:i4>
      </vt:variant>
      <vt:variant>
        <vt:i4>0</vt:i4>
      </vt:variant>
      <vt:variant>
        <vt:i4>0</vt:i4>
      </vt:variant>
      <vt:variant>
        <vt:i4>5</vt:i4>
      </vt:variant>
      <vt:variant>
        <vt:lpwstr>mailto:eic@agriculture.gov.au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guidelines for the introduction of exotic biological control agents for the control of weeds and plant pests</dc:title>
  <dc:subject/>
  <dc:creator>Department of Agriculture, Fisheries and Forestry</dc:creator>
  <cp:keywords/>
  <dc:description/>
  <cp:lastModifiedBy>Fiona Goggins</cp:lastModifiedBy>
  <cp:revision>7</cp:revision>
  <cp:lastPrinted>2022-08-23T03:49:00Z</cp:lastPrinted>
  <dcterms:created xsi:type="dcterms:W3CDTF">2022-08-23T03:44:00Z</dcterms:created>
  <dcterms:modified xsi:type="dcterms:W3CDTF">2022-08-23T07:30:00Z</dcterms:modified>
  <cp:category/>
</cp:coreProperties>
</file>