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E4820" w14:textId="77777777" w:rsidR="005F1D9B" w:rsidRPr="00D65EF0" w:rsidRDefault="005F1D9B" w:rsidP="00D65EF0">
      <w:pPr>
        <w:pStyle w:val="Heading1"/>
        <w:rPr>
          <w:b/>
        </w:rPr>
      </w:pPr>
      <w:bookmarkStart w:id="0" w:name="_Toc513123136"/>
      <w:bookmarkStart w:id="1" w:name="_GoBack"/>
      <w:r>
        <w:rPr>
          <w:b/>
        </w:rPr>
        <w:t>Appendix A</w:t>
      </w:r>
      <w:r w:rsidR="00F905E0">
        <w:rPr>
          <w:b/>
        </w:rPr>
        <w:t xml:space="preserve"> – Summary of assurance activities for Regional Land Partnerships</w:t>
      </w:r>
      <w:bookmarkEnd w:id="0"/>
    </w:p>
    <w:bookmarkEnd w:id="1"/>
    <w:p w14:paraId="2931F973" w14:textId="77777777" w:rsidR="006C5FC3" w:rsidRDefault="0007227A" w:rsidP="00363866">
      <w:pPr>
        <w:spacing w:after="120"/>
      </w:pPr>
      <w:r>
        <w:t xml:space="preserve">(SP – Service Providers, </w:t>
      </w:r>
      <w:proofErr w:type="spellStart"/>
      <w:r>
        <w:t>Depts</w:t>
      </w:r>
      <w:proofErr w:type="spellEnd"/>
      <w:r>
        <w:t xml:space="preserve"> – The Departments</w:t>
      </w:r>
      <w:r w:rsidR="00915E90">
        <w:t xml:space="preserve"> [DAWR &amp; </w:t>
      </w:r>
      <w:proofErr w:type="spellStart"/>
      <w:r w:rsidR="00915E90">
        <w:t>DoEE</w:t>
      </w:r>
      <w:proofErr w:type="spellEnd"/>
      <w:r w:rsidR="00915E90">
        <w:t>]</w:t>
      </w:r>
      <w:r>
        <w:t>)</w:t>
      </w:r>
    </w:p>
    <w:tbl>
      <w:tblPr>
        <w:tblStyle w:val="TableGrid"/>
        <w:tblW w:w="5000" w:type="pct"/>
        <w:tblLook w:val="04A0" w:firstRow="1" w:lastRow="0" w:firstColumn="1" w:lastColumn="0" w:noHBand="0" w:noVBand="1"/>
      </w:tblPr>
      <w:tblGrid>
        <w:gridCol w:w="2264"/>
        <w:gridCol w:w="8820"/>
        <w:gridCol w:w="4321"/>
        <w:gridCol w:w="4213"/>
        <w:gridCol w:w="2746"/>
      </w:tblGrid>
      <w:tr w:rsidR="00D25D01" w:rsidRPr="006210DA" w14:paraId="79B3F3A4" w14:textId="77777777" w:rsidTr="0050223A">
        <w:trPr>
          <w:cnfStyle w:val="100000000000" w:firstRow="1" w:lastRow="0" w:firstColumn="0" w:lastColumn="0" w:oddVBand="0" w:evenVBand="0" w:oddHBand="0" w:evenHBand="0" w:firstRowFirstColumn="0" w:firstRowLastColumn="0" w:lastRowFirstColumn="0" w:lastRowLastColumn="0"/>
          <w:tblHeader/>
        </w:trPr>
        <w:tc>
          <w:tcPr>
            <w:tcW w:w="506" w:type="pct"/>
            <w:shd w:val="clear" w:color="auto" w:fill="548DD4" w:themeFill="text2" w:themeFillTint="99"/>
            <w:vAlign w:val="center"/>
          </w:tcPr>
          <w:p w14:paraId="7D3B7422" w14:textId="77777777" w:rsidR="0007227A" w:rsidRPr="009F5961" w:rsidRDefault="0007227A" w:rsidP="0050223A">
            <w:pPr>
              <w:spacing w:before="60" w:after="60"/>
              <w:jc w:val="center"/>
              <w:rPr>
                <w:b/>
                <w:color w:val="000000" w:themeColor="text1"/>
              </w:rPr>
            </w:pPr>
            <w:r w:rsidRPr="009F5961">
              <w:rPr>
                <w:b/>
                <w:color w:val="000000" w:themeColor="text1"/>
              </w:rPr>
              <w:t>Assurance Activity</w:t>
            </w:r>
          </w:p>
        </w:tc>
        <w:tc>
          <w:tcPr>
            <w:tcW w:w="1972" w:type="pct"/>
            <w:shd w:val="clear" w:color="auto" w:fill="548DD4" w:themeFill="text2" w:themeFillTint="99"/>
            <w:vAlign w:val="center"/>
          </w:tcPr>
          <w:p w14:paraId="6CE347DE" w14:textId="77777777" w:rsidR="0007227A" w:rsidRPr="009F5961" w:rsidRDefault="0007227A" w:rsidP="0050223A">
            <w:pPr>
              <w:spacing w:before="60" w:after="60"/>
              <w:jc w:val="center"/>
              <w:rPr>
                <w:b/>
                <w:color w:val="000000" w:themeColor="text1"/>
              </w:rPr>
            </w:pPr>
            <w:r w:rsidRPr="009F5961">
              <w:rPr>
                <w:b/>
                <w:color w:val="000000" w:themeColor="text1"/>
              </w:rPr>
              <w:t>Description</w:t>
            </w:r>
            <w:r w:rsidR="00477EA6" w:rsidRPr="006210DA">
              <w:rPr>
                <w:b/>
                <w:color w:val="000000" w:themeColor="text1"/>
              </w:rPr>
              <w:t xml:space="preserve"> / Accountable Party</w:t>
            </w:r>
          </w:p>
        </w:tc>
        <w:tc>
          <w:tcPr>
            <w:tcW w:w="966" w:type="pct"/>
            <w:shd w:val="clear" w:color="auto" w:fill="548DD4" w:themeFill="text2" w:themeFillTint="99"/>
            <w:vAlign w:val="center"/>
          </w:tcPr>
          <w:p w14:paraId="6648F1E1" w14:textId="77777777" w:rsidR="0007227A" w:rsidRPr="009F5961" w:rsidRDefault="0007227A" w:rsidP="0050223A">
            <w:pPr>
              <w:spacing w:before="60" w:after="60"/>
              <w:jc w:val="center"/>
              <w:rPr>
                <w:b/>
                <w:color w:val="000000" w:themeColor="text1"/>
              </w:rPr>
            </w:pPr>
            <w:r w:rsidRPr="009F5961">
              <w:rPr>
                <w:b/>
                <w:color w:val="000000" w:themeColor="text1"/>
              </w:rPr>
              <w:t>Frequency</w:t>
            </w:r>
          </w:p>
        </w:tc>
        <w:tc>
          <w:tcPr>
            <w:tcW w:w="942" w:type="pct"/>
            <w:shd w:val="clear" w:color="auto" w:fill="548DD4" w:themeFill="text2" w:themeFillTint="99"/>
            <w:vAlign w:val="center"/>
          </w:tcPr>
          <w:p w14:paraId="177423AD" w14:textId="77777777" w:rsidR="0007227A" w:rsidRPr="009F5961" w:rsidRDefault="0007227A" w:rsidP="0050223A">
            <w:pPr>
              <w:spacing w:before="60" w:after="60"/>
              <w:jc w:val="center"/>
              <w:rPr>
                <w:b/>
                <w:color w:val="000000" w:themeColor="text1"/>
              </w:rPr>
            </w:pPr>
            <w:r w:rsidRPr="009F5961">
              <w:rPr>
                <w:b/>
                <w:color w:val="000000" w:themeColor="text1"/>
              </w:rPr>
              <w:t>Triggers</w:t>
            </w:r>
          </w:p>
        </w:tc>
        <w:tc>
          <w:tcPr>
            <w:tcW w:w="614" w:type="pct"/>
            <w:shd w:val="clear" w:color="auto" w:fill="548DD4" w:themeFill="text2" w:themeFillTint="99"/>
            <w:vAlign w:val="center"/>
          </w:tcPr>
          <w:p w14:paraId="5D895CA4" w14:textId="77777777" w:rsidR="0007227A" w:rsidRPr="009F5961" w:rsidRDefault="0007227A" w:rsidP="0050223A">
            <w:pPr>
              <w:spacing w:before="60" w:after="60"/>
              <w:jc w:val="center"/>
              <w:rPr>
                <w:b/>
                <w:color w:val="000000" w:themeColor="text1"/>
              </w:rPr>
            </w:pPr>
            <w:r w:rsidRPr="009F5961">
              <w:rPr>
                <w:b/>
                <w:color w:val="000000" w:themeColor="text1"/>
              </w:rPr>
              <w:t>Line of Defence</w:t>
            </w:r>
          </w:p>
        </w:tc>
      </w:tr>
      <w:tr w:rsidR="00D25D01" w14:paraId="1BEECAE9" w14:textId="77777777" w:rsidTr="002A2CD1">
        <w:trPr>
          <w:cnfStyle w:val="000000100000" w:firstRow="0" w:lastRow="0" w:firstColumn="0" w:lastColumn="0" w:oddVBand="0" w:evenVBand="0" w:oddHBand="1" w:evenHBand="0" w:firstRowFirstColumn="0" w:firstRowLastColumn="0" w:lastRowFirstColumn="0" w:lastRowLastColumn="0"/>
        </w:trPr>
        <w:tc>
          <w:tcPr>
            <w:tcW w:w="506" w:type="pct"/>
          </w:tcPr>
          <w:p w14:paraId="0796C248" w14:textId="77777777" w:rsidR="00C127D7" w:rsidRPr="00252566" w:rsidRDefault="00EC25B1" w:rsidP="0050223A">
            <w:pPr>
              <w:spacing w:before="60" w:after="120"/>
            </w:pPr>
            <w:r w:rsidRPr="00252566">
              <w:t>MERI Plan in</w:t>
            </w:r>
            <w:r w:rsidR="00564486" w:rsidRPr="00252566">
              <w:t xml:space="preserve"> MERIT</w:t>
            </w:r>
          </w:p>
          <w:p w14:paraId="3DA8069E" w14:textId="77777777" w:rsidR="00C127D7" w:rsidRPr="00252566" w:rsidRDefault="00C127D7" w:rsidP="0050223A">
            <w:pPr>
              <w:spacing w:before="60" w:after="120"/>
            </w:pPr>
          </w:p>
          <w:p w14:paraId="7212B9A8" w14:textId="77777777" w:rsidR="0007227A" w:rsidRPr="00252566" w:rsidRDefault="0007227A" w:rsidP="0050223A">
            <w:pPr>
              <w:spacing w:before="60" w:after="120"/>
              <w:rPr>
                <w:sz w:val="28"/>
                <w:szCs w:val="28"/>
              </w:rPr>
            </w:pPr>
          </w:p>
        </w:tc>
        <w:tc>
          <w:tcPr>
            <w:tcW w:w="1972" w:type="pct"/>
          </w:tcPr>
          <w:p w14:paraId="53694F33" w14:textId="77777777" w:rsidR="004B66C6" w:rsidRPr="00915E90" w:rsidRDefault="00915E90" w:rsidP="0050223A">
            <w:pPr>
              <w:spacing w:before="60" w:after="120"/>
              <w:rPr>
                <w:b/>
                <w:color w:val="548DD4" w:themeColor="text2" w:themeTint="99"/>
              </w:rPr>
            </w:pPr>
            <w:r w:rsidRPr="00915E90">
              <w:rPr>
                <w:b/>
                <w:color w:val="365F91" w:themeColor="accent1" w:themeShade="BF"/>
              </w:rPr>
              <w:t xml:space="preserve">• </w:t>
            </w:r>
            <w:r w:rsidR="002A2CD1">
              <w:rPr>
                <w:b/>
                <w:color w:val="365F91" w:themeColor="accent1" w:themeShade="BF"/>
              </w:rPr>
              <w:t>The Departments</w:t>
            </w:r>
            <w:r w:rsidR="004B66C6" w:rsidRPr="00915E90">
              <w:rPr>
                <w:b/>
                <w:color w:val="365F91" w:themeColor="accent1" w:themeShade="BF"/>
              </w:rPr>
              <w:t>:</w:t>
            </w:r>
          </w:p>
          <w:p w14:paraId="0A104A65" w14:textId="77777777" w:rsidR="0007227A" w:rsidRDefault="0007227A" w:rsidP="0050223A">
            <w:pPr>
              <w:spacing w:before="60" w:after="120"/>
            </w:pPr>
            <w:r w:rsidRPr="00252566">
              <w:t xml:space="preserve">A </w:t>
            </w:r>
            <w:r w:rsidR="00EC25B1" w:rsidRPr="00252566">
              <w:t xml:space="preserve">Monitoring, Evaluation, Reporting and Improvement (MERI) Plan </w:t>
            </w:r>
            <w:r w:rsidR="00280318">
              <w:t>will be</w:t>
            </w:r>
            <w:r w:rsidR="00EC25B1" w:rsidRPr="00252566">
              <w:t xml:space="preserve"> developed for each Service Provider</w:t>
            </w:r>
            <w:r w:rsidR="002A2CD1">
              <w:t>’s</w:t>
            </w:r>
            <w:r w:rsidR="00EC25B1" w:rsidRPr="00252566">
              <w:t xml:space="preserve"> project and </w:t>
            </w:r>
            <w:r w:rsidR="002A2CD1">
              <w:t>submitted</w:t>
            </w:r>
            <w:r w:rsidR="00EC25B1" w:rsidRPr="00252566">
              <w:t xml:space="preserve"> online </w:t>
            </w:r>
            <w:r w:rsidR="002A2CD1">
              <w:t xml:space="preserve">in the </w:t>
            </w:r>
            <w:r w:rsidR="004B66C6">
              <w:t>MERI T</w:t>
            </w:r>
            <w:r w:rsidR="00EC25B1" w:rsidRPr="00252566">
              <w:t xml:space="preserve">ool (MERIT). This </w:t>
            </w:r>
            <w:r w:rsidR="002A2CD1">
              <w:t>Plan is to</w:t>
            </w:r>
            <w:r w:rsidR="00EC25B1" w:rsidRPr="00252566">
              <w:t xml:space="preserve"> be maintained in respect of each project deliver</w:t>
            </w:r>
            <w:r w:rsidR="007C26AD">
              <w:t>ed</w:t>
            </w:r>
            <w:r w:rsidR="00EC25B1" w:rsidRPr="00252566">
              <w:t xml:space="preserve"> under Regional Land Partnerships for the Dep</w:t>
            </w:r>
            <w:r w:rsidR="00810243" w:rsidRPr="00252566">
              <w:t xml:space="preserve">artments to </w:t>
            </w:r>
            <w:r w:rsidR="002A2CD1">
              <w:t>effectively</w:t>
            </w:r>
            <w:r w:rsidR="00810243" w:rsidRPr="00252566">
              <w:t xml:space="preserve"> identify and </w:t>
            </w:r>
            <w:r w:rsidR="00EC25B1" w:rsidRPr="00252566">
              <w:t>manage project delivery and risk</w:t>
            </w:r>
            <w:r w:rsidR="00C874BE">
              <w:t>.</w:t>
            </w:r>
            <w:r w:rsidR="00EC25B1" w:rsidRPr="00252566">
              <w:t xml:space="preserve"> The MERI Plan will need to be submitted prior to </w:t>
            </w:r>
            <w:r w:rsidR="002A2CD1">
              <w:t>commencement</w:t>
            </w:r>
            <w:r w:rsidR="00EC25B1" w:rsidRPr="00252566">
              <w:t xml:space="preserve"> of project delivery for approval by the Departments.</w:t>
            </w:r>
            <w:r w:rsidR="004B66C6">
              <w:t xml:space="preserve"> </w:t>
            </w:r>
            <w:r w:rsidR="00810243" w:rsidRPr="00252566">
              <w:t>The content of the MERI Plan also provides clarity about how the Service Provider will meet the contracted Services in the</w:t>
            </w:r>
            <w:r w:rsidR="007C26AD">
              <w:t xml:space="preserve"> Project </w:t>
            </w:r>
            <w:r w:rsidR="002762EA">
              <w:t>W</w:t>
            </w:r>
            <w:r w:rsidR="007C26AD">
              <w:t>ork Orders</w:t>
            </w:r>
            <w:r w:rsidR="00810243" w:rsidRPr="00252566">
              <w:t>.</w:t>
            </w:r>
          </w:p>
          <w:p w14:paraId="2E02C9A0" w14:textId="77777777" w:rsidR="004B66C6" w:rsidRPr="00915E90" w:rsidRDefault="00915E90" w:rsidP="0050223A">
            <w:pPr>
              <w:spacing w:before="60" w:after="120"/>
              <w:rPr>
                <w:b/>
                <w:color w:val="365F91" w:themeColor="accent1" w:themeShade="BF"/>
              </w:rPr>
            </w:pPr>
            <w:r w:rsidRPr="00915E90">
              <w:rPr>
                <w:b/>
                <w:color w:val="365F91" w:themeColor="accent1" w:themeShade="BF"/>
              </w:rPr>
              <w:t xml:space="preserve">• </w:t>
            </w:r>
            <w:r w:rsidR="004B66C6" w:rsidRPr="00915E90">
              <w:rPr>
                <w:b/>
                <w:color w:val="365F91" w:themeColor="accent1" w:themeShade="BF"/>
              </w:rPr>
              <w:t xml:space="preserve">Service </w:t>
            </w:r>
            <w:r>
              <w:rPr>
                <w:b/>
                <w:color w:val="365F91" w:themeColor="accent1" w:themeShade="BF"/>
              </w:rPr>
              <w:t>P</w:t>
            </w:r>
            <w:r w:rsidR="004521AD">
              <w:rPr>
                <w:b/>
                <w:color w:val="365F91" w:themeColor="accent1" w:themeShade="BF"/>
              </w:rPr>
              <w:t>rovider</w:t>
            </w:r>
            <w:r w:rsidR="004B66C6" w:rsidRPr="00915E90">
              <w:rPr>
                <w:b/>
                <w:color w:val="365F91" w:themeColor="accent1" w:themeShade="BF"/>
              </w:rPr>
              <w:t>s:</w:t>
            </w:r>
          </w:p>
          <w:p w14:paraId="3BFDDD29" w14:textId="77777777" w:rsidR="004B66C6" w:rsidRDefault="004B66C6" w:rsidP="0050223A">
            <w:pPr>
              <w:spacing w:before="60" w:after="120"/>
            </w:pPr>
            <w:r>
              <w:t xml:space="preserve">Prior to </w:t>
            </w:r>
            <w:r w:rsidR="007C26AD">
              <w:t>signing of a Project Work Order,</w:t>
            </w:r>
            <w:r>
              <w:t xml:space="preserve"> each Service Provider will develop a comprehensive MERI Plan for each project and </w:t>
            </w:r>
            <w:r w:rsidR="002A2CD1">
              <w:t>submit</w:t>
            </w:r>
            <w:r>
              <w:t xml:space="preserve"> the details into MERIT</w:t>
            </w:r>
            <w:r w:rsidR="00280318">
              <w:t xml:space="preserve"> for approval by the Departments</w:t>
            </w:r>
            <w:r>
              <w:t>.</w:t>
            </w:r>
          </w:p>
          <w:p w14:paraId="151A462A" w14:textId="77777777" w:rsidR="004B66C6" w:rsidRDefault="004B66C6" w:rsidP="0050223A">
            <w:pPr>
              <w:spacing w:before="60" w:after="120"/>
            </w:pPr>
            <w:r>
              <w:t xml:space="preserve">The content of the MERI Plan </w:t>
            </w:r>
            <w:r w:rsidR="002A2CD1">
              <w:t>should</w:t>
            </w:r>
            <w:r>
              <w:t xml:space="preserve"> include</w:t>
            </w:r>
            <w:r w:rsidR="00353D15">
              <w:t>, but not be limited to,</w:t>
            </w:r>
            <w:r w:rsidR="00B954E0">
              <w:t xml:space="preserve"> entries for</w:t>
            </w:r>
            <w:r>
              <w:t>:</w:t>
            </w:r>
          </w:p>
          <w:p w14:paraId="2C026BB0" w14:textId="77777777" w:rsidR="004B66C6" w:rsidRDefault="00353D15" w:rsidP="0050223A">
            <w:pPr>
              <w:pStyle w:val="ListParagraph"/>
              <w:numPr>
                <w:ilvl w:val="0"/>
                <w:numId w:val="33"/>
              </w:numPr>
              <w:spacing w:before="60" w:after="120"/>
            </w:pPr>
            <w:r>
              <w:t xml:space="preserve">Primary </w:t>
            </w:r>
            <w:r w:rsidR="00F85E40">
              <w:t>P</w:t>
            </w:r>
            <w:r w:rsidR="004B66C6" w:rsidRPr="00B954E0">
              <w:t xml:space="preserve">roject </w:t>
            </w:r>
            <w:r w:rsidR="00961EBE">
              <w:t>o</w:t>
            </w:r>
            <w:r w:rsidR="00626B44">
              <w:t>utcome</w:t>
            </w:r>
            <w:r w:rsidR="00F85E40">
              <w:t>s and investment priorities</w:t>
            </w:r>
            <w:r w:rsidR="004E344D">
              <w:t>;</w:t>
            </w:r>
          </w:p>
          <w:p w14:paraId="73E9FBC7" w14:textId="77777777" w:rsidR="00626B44" w:rsidRDefault="00626B44" w:rsidP="0050223A">
            <w:pPr>
              <w:pStyle w:val="ListParagraph"/>
              <w:numPr>
                <w:ilvl w:val="0"/>
                <w:numId w:val="33"/>
              </w:numPr>
              <w:spacing w:before="60" w:after="120"/>
            </w:pPr>
            <w:r>
              <w:t>Additional project benefits</w:t>
            </w:r>
            <w:r w:rsidR="002762EA">
              <w:t>;</w:t>
            </w:r>
          </w:p>
          <w:p w14:paraId="726CEE03" w14:textId="77777777" w:rsidR="002762EA" w:rsidRDefault="002762EA" w:rsidP="002762EA">
            <w:pPr>
              <w:pStyle w:val="ListParagraph"/>
              <w:numPr>
                <w:ilvl w:val="0"/>
                <w:numId w:val="33"/>
              </w:numPr>
              <w:spacing w:before="60" w:after="120"/>
            </w:pPr>
            <w:r>
              <w:t xml:space="preserve">Project description </w:t>
            </w:r>
          </w:p>
          <w:p w14:paraId="57F3D882" w14:textId="77777777" w:rsidR="002762EA" w:rsidRDefault="002762EA" w:rsidP="002762EA">
            <w:pPr>
              <w:pStyle w:val="ListParagraph"/>
              <w:numPr>
                <w:ilvl w:val="0"/>
                <w:numId w:val="33"/>
              </w:numPr>
              <w:spacing w:before="60" w:after="120"/>
            </w:pPr>
            <w:r>
              <w:t>Key threats or key threatening processes</w:t>
            </w:r>
          </w:p>
          <w:p w14:paraId="40C5D0F6" w14:textId="77777777" w:rsidR="00961EBE" w:rsidRPr="00B954E0" w:rsidRDefault="00961EBE" w:rsidP="0050223A">
            <w:pPr>
              <w:pStyle w:val="ListParagraph"/>
              <w:numPr>
                <w:ilvl w:val="0"/>
                <w:numId w:val="33"/>
              </w:numPr>
              <w:spacing w:before="60" w:after="120"/>
            </w:pPr>
            <w:r>
              <w:t xml:space="preserve">National and regional </w:t>
            </w:r>
            <w:r w:rsidR="002762EA">
              <w:t>plans</w:t>
            </w:r>
            <w:r w:rsidR="004E344D">
              <w:t>;</w:t>
            </w:r>
          </w:p>
          <w:p w14:paraId="7FEE501E" w14:textId="77777777" w:rsidR="00B954E0" w:rsidRDefault="00B954E0" w:rsidP="0050223A">
            <w:pPr>
              <w:pStyle w:val="ListParagraph"/>
              <w:numPr>
                <w:ilvl w:val="0"/>
                <w:numId w:val="33"/>
              </w:numPr>
              <w:spacing w:before="60" w:after="120"/>
            </w:pPr>
            <w:r w:rsidRPr="00B954E0">
              <w:t xml:space="preserve">Project </w:t>
            </w:r>
            <w:r w:rsidR="00961EBE">
              <w:t>r</w:t>
            </w:r>
            <w:r w:rsidRPr="00B954E0">
              <w:t xml:space="preserve">isk </w:t>
            </w:r>
            <w:r w:rsidR="00961EBE">
              <w:t>a</w:t>
            </w:r>
            <w:r w:rsidRPr="00B954E0">
              <w:t>ssessment</w:t>
            </w:r>
            <w:r w:rsidR="004E344D">
              <w:t>;</w:t>
            </w:r>
          </w:p>
          <w:p w14:paraId="74849E88" w14:textId="77777777" w:rsidR="00F85E40" w:rsidRDefault="00F85E40" w:rsidP="0050223A">
            <w:pPr>
              <w:pStyle w:val="ListParagraph"/>
              <w:numPr>
                <w:ilvl w:val="0"/>
                <w:numId w:val="33"/>
              </w:numPr>
              <w:spacing w:before="60" w:after="120"/>
            </w:pPr>
            <w:r>
              <w:t>Project rationale</w:t>
            </w:r>
            <w:r w:rsidR="004E344D">
              <w:t>;</w:t>
            </w:r>
          </w:p>
          <w:p w14:paraId="1EC2CF8E" w14:textId="77777777" w:rsidR="00F85E40" w:rsidRPr="00B954E0" w:rsidRDefault="00F85E40" w:rsidP="0050223A">
            <w:pPr>
              <w:pStyle w:val="ListParagraph"/>
              <w:numPr>
                <w:ilvl w:val="0"/>
                <w:numId w:val="33"/>
              </w:numPr>
              <w:spacing w:before="60" w:after="120"/>
            </w:pPr>
            <w:r>
              <w:t>Project methodology</w:t>
            </w:r>
            <w:r w:rsidR="004E344D">
              <w:t>;</w:t>
            </w:r>
          </w:p>
          <w:p w14:paraId="32A12FB6" w14:textId="77777777" w:rsidR="00B954E0" w:rsidRDefault="00B954E0" w:rsidP="0050223A">
            <w:pPr>
              <w:pStyle w:val="ListParagraph"/>
              <w:numPr>
                <w:ilvl w:val="0"/>
                <w:numId w:val="33"/>
              </w:numPr>
              <w:spacing w:before="60" w:after="120"/>
            </w:pPr>
            <w:r w:rsidRPr="00B954E0">
              <w:t xml:space="preserve">Monitoring </w:t>
            </w:r>
            <w:r w:rsidR="002762EA">
              <w:t>indicators</w:t>
            </w:r>
            <w:r w:rsidR="004E344D">
              <w:t>;</w:t>
            </w:r>
          </w:p>
          <w:p w14:paraId="6CB02AA3" w14:textId="77777777" w:rsidR="002762EA" w:rsidRDefault="002762EA" w:rsidP="0050223A">
            <w:pPr>
              <w:pStyle w:val="ListParagraph"/>
              <w:numPr>
                <w:ilvl w:val="0"/>
                <w:numId w:val="33"/>
              </w:numPr>
              <w:spacing w:before="60" w:after="120"/>
            </w:pPr>
            <w:r>
              <w:t>Project baseline(s); and</w:t>
            </w:r>
          </w:p>
          <w:p w14:paraId="3D60A108" w14:textId="77777777" w:rsidR="00961EBE" w:rsidRPr="00B954E0" w:rsidRDefault="00961EBE" w:rsidP="0050223A">
            <w:pPr>
              <w:pStyle w:val="ListParagraph"/>
              <w:numPr>
                <w:ilvl w:val="0"/>
                <w:numId w:val="33"/>
              </w:numPr>
              <w:spacing w:before="60" w:after="120"/>
            </w:pPr>
          </w:p>
          <w:p w14:paraId="3F0E8673" w14:textId="77777777" w:rsidR="00B954E0" w:rsidRPr="00B954E0" w:rsidRDefault="00B954E0" w:rsidP="0050223A">
            <w:pPr>
              <w:pStyle w:val="ListParagraph"/>
              <w:numPr>
                <w:ilvl w:val="0"/>
                <w:numId w:val="33"/>
              </w:numPr>
              <w:spacing w:before="60" w:after="120"/>
            </w:pPr>
            <w:r w:rsidRPr="00B954E0">
              <w:t xml:space="preserve">Services to be delivered (as per the </w:t>
            </w:r>
            <w:r w:rsidR="00353D15">
              <w:t>Project work Order</w:t>
            </w:r>
            <w:r w:rsidRPr="00B954E0">
              <w:t>)</w:t>
            </w:r>
            <w:r w:rsidR="004E344D">
              <w:t>.</w:t>
            </w:r>
          </w:p>
          <w:p w14:paraId="2B48BBC0" w14:textId="77777777" w:rsidR="00B954E0" w:rsidRDefault="00B954E0" w:rsidP="0050223A">
            <w:pPr>
              <w:spacing w:before="60" w:after="120"/>
            </w:pPr>
            <w:r>
              <w:t xml:space="preserve">Project reporting </w:t>
            </w:r>
            <w:r w:rsidR="00626B44">
              <w:t xml:space="preserve">in MERIT </w:t>
            </w:r>
            <w:r>
              <w:t xml:space="preserve">will be based on the effective and timely delivery of the contracted </w:t>
            </w:r>
            <w:r w:rsidR="00626B44">
              <w:t>S</w:t>
            </w:r>
            <w:r>
              <w:t xml:space="preserve">ervices in line with the MERI Plan and payments will be based on achievement of these </w:t>
            </w:r>
            <w:r w:rsidR="00626B44">
              <w:t>S</w:t>
            </w:r>
            <w:r>
              <w:t>ervices.</w:t>
            </w:r>
          </w:p>
          <w:p w14:paraId="205783A7" w14:textId="77777777" w:rsidR="00280318" w:rsidRPr="00B954E0" w:rsidRDefault="00280318" w:rsidP="007C26AD">
            <w:pPr>
              <w:spacing w:before="60" w:after="120"/>
            </w:pPr>
            <w:r>
              <w:t xml:space="preserve">The content of the MERI Plan </w:t>
            </w:r>
            <w:r w:rsidR="007C26AD">
              <w:t xml:space="preserve">in </w:t>
            </w:r>
            <w:r>
              <w:t xml:space="preserve">MERIT will </w:t>
            </w:r>
            <w:r w:rsidR="00626B44">
              <w:t xml:space="preserve">need to </w:t>
            </w:r>
            <w:r>
              <w:t>be maintained by the Service Provider in respect of each project they will deliver under Regional Land Partnerships</w:t>
            </w:r>
            <w:r w:rsidR="00626B44">
              <w:t>.</w:t>
            </w:r>
          </w:p>
        </w:tc>
        <w:tc>
          <w:tcPr>
            <w:tcW w:w="966" w:type="pct"/>
          </w:tcPr>
          <w:p w14:paraId="58625B68" w14:textId="77777777" w:rsidR="0007227A" w:rsidRPr="00252566" w:rsidRDefault="0007227A" w:rsidP="0050223A">
            <w:pPr>
              <w:pStyle w:val="ListParagraph"/>
              <w:numPr>
                <w:ilvl w:val="0"/>
                <w:numId w:val="8"/>
              </w:numPr>
              <w:spacing w:before="60" w:after="120"/>
              <w:ind w:left="330" w:hanging="284"/>
            </w:pPr>
            <w:r w:rsidRPr="00252566">
              <w:t xml:space="preserve">The </w:t>
            </w:r>
            <w:r w:rsidR="00810243" w:rsidRPr="00252566">
              <w:t>MERI Plan</w:t>
            </w:r>
            <w:r w:rsidRPr="00252566">
              <w:t xml:space="preserve"> will need to be submitted </w:t>
            </w:r>
            <w:r w:rsidR="00AC78C4" w:rsidRPr="00252566">
              <w:t xml:space="preserve">by the Service Provider </w:t>
            </w:r>
            <w:r w:rsidR="00AC4B41" w:rsidRPr="00252566">
              <w:t xml:space="preserve">in MERIT </w:t>
            </w:r>
            <w:r w:rsidRPr="00252566">
              <w:t xml:space="preserve">and approved by </w:t>
            </w:r>
            <w:r w:rsidR="00477EA6" w:rsidRPr="00252566">
              <w:t>the Departments</w:t>
            </w:r>
            <w:r w:rsidRPr="00252566">
              <w:t xml:space="preserve"> prior to </w:t>
            </w:r>
            <w:r w:rsidR="00353D15">
              <w:t>signing of a Project work Order.</w:t>
            </w:r>
          </w:p>
          <w:p w14:paraId="50599865" w14:textId="77777777" w:rsidR="0007227A" w:rsidRPr="00252566" w:rsidRDefault="0007227A" w:rsidP="004569F0">
            <w:pPr>
              <w:pStyle w:val="ListParagraph"/>
              <w:numPr>
                <w:ilvl w:val="0"/>
                <w:numId w:val="8"/>
              </w:numPr>
              <w:spacing w:before="60" w:after="120"/>
              <w:ind w:left="330" w:hanging="284"/>
            </w:pPr>
            <w:r w:rsidRPr="00252566">
              <w:t xml:space="preserve">The </w:t>
            </w:r>
            <w:r w:rsidR="00810243" w:rsidRPr="00252566">
              <w:t>MERI Plan</w:t>
            </w:r>
            <w:r w:rsidRPr="00252566">
              <w:t xml:space="preserve"> will need to be</w:t>
            </w:r>
            <w:r w:rsidR="00052879" w:rsidRPr="00252566">
              <w:t xml:space="preserve"> reviewed </w:t>
            </w:r>
            <w:r w:rsidR="00626B44" w:rsidRPr="00252566">
              <w:t xml:space="preserve">on a regular basis </w:t>
            </w:r>
            <w:r w:rsidR="00AC78C4" w:rsidRPr="00252566">
              <w:t xml:space="preserve">by the Service Provider </w:t>
            </w:r>
            <w:r w:rsidR="00052879" w:rsidRPr="00252566">
              <w:t>for validity and currency and</w:t>
            </w:r>
            <w:r w:rsidRPr="00252566">
              <w:t xml:space="preserve"> re-submitted</w:t>
            </w:r>
            <w:r w:rsidR="00052879" w:rsidRPr="00252566">
              <w:t xml:space="preserve"> </w:t>
            </w:r>
            <w:r w:rsidR="00626B44">
              <w:t>for approval should</w:t>
            </w:r>
            <w:r w:rsidR="00810243" w:rsidRPr="00252566">
              <w:t xml:space="preserve"> </w:t>
            </w:r>
            <w:r w:rsidR="00626B44">
              <w:t xml:space="preserve">any </w:t>
            </w:r>
            <w:r w:rsidR="00810243" w:rsidRPr="00252566">
              <w:t xml:space="preserve">changes </w:t>
            </w:r>
            <w:r w:rsidR="00B954E0">
              <w:t xml:space="preserve">to </w:t>
            </w:r>
            <w:r w:rsidR="00353D15">
              <w:t xml:space="preserve">project delivery or </w:t>
            </w:r>
            <w:r w:rsidR="00B954E0">
              <w:t>risk</w:t>
            </w:r>
            <w:r w:rsidR="00810243" w:rsidRPr="00252566">
              <w:t xml:space="preserve"> occur</w:t>
            </w:r>
            <w:r w:rsidR="00052879" w:rsidRPr="00252566">
              <w:t>.</w:t>
            </w:r>
          </w:p>
        </w:tc>
        <w:tc>
          <w:tcPr>
            <w:tcW w:w="942" w:type="pct"/>
          </w:tcPr>
          <w:p w14:paraId="18383EF3" w14:textId="77777777" w:rsidR="0007227A" w:rsidRDefault="0007227A" w:rsidP="0050223A">
            <w:pPr>
              <w:pStyle w:val="ListParagraph"/>
              <w:numPr>
                <w:ilvl w:val="0"/>
                <w:numId w:val="8"/>
              </w:numPr>
              <w:spacing w:before="60" w:after="120"/>
              <w:ind w:left="330" w:hanging="284"/>
            </w:pPr>
            <w:r w:rsidRPr="00252566">
              <w:t>Project proposal / early agreement</w:t>
            </w:r>
          </w:p>
          <w:p w14:paraId="40D3A51A" w14:textId="77777777" w:rsidR="00626B44" w:rsidRPr="00252566" w:rsidRDefault="00626B44" w:rsidP="0050223A">
            <w:pPr>
              <w:pStyle w:val="ListParagraph"/>
              <w:numPr>
                <w:ilvl w:val="0"/>
                <w:numId w:val="8"/>
              </w:numPr>
              <w:spacing w:before="60" w:after="120"/>
              <w:ind w:left="330" w:hanging="284"/>
            </w:pPr>
            <w:r>
              <w:t>Design and establishment of any new project</w:t>
            </w:r>
          </w:p>
          <w:p w14:paraId="1271B276" w14:textId="77777777" w:rsidR="00AC4B41" w:rsidRPr="00252566" w:rsidRDefault="00810243" w:rsidP="0050223A">
            <w:pPr>
              <w:pStyle w:val="ListParagraph"/>
              <w:numPr>
                <w:ilvl w:val="0"/>
                <w:numId w:val="8"/>
              </w:numPr>
              <w:spacing w:before="60" w:after="120"/>
              <w:ind w:left="330" w:hanging="284"/>
            </w:pPr>
            <w:r w:rsidRPr="00252566">
              <w:t>Regular</w:t>
            </w:r>
            <w:r w:rsidR="00AC4B41" w:rsidRPr="00252566">
              <w:t xml:space="preserve"> review</w:t>
            </w:r>
          </w:p>
        </w:tc>
        <w:tc>
          <w:tcPr>
            <w:tcW w:w="614" w:type="pct"/>
          </w:tcPr>
          <w:p w14:paraId="2ED80E71" w14:textId="77777777" w:rsidR="0007227A" w:rsidRPr="00252566" w:rsidRDefault="0007227A" w:rsidP="0050223A">
            <w:pPr>
              <w:spacing w:before="60" w:after="120"/>
            </w:pPr>
            <w:r w:rsidRPr="00252566">
              <w:t>1 – S</w:t>
            </w:r>
            <w:r w:rsidR="007C26AD">
              <w:t>ervice Providers</w:t>
            </w:r>
          </w:p>
          <w:p w14:paraId="31AEDA05" w14:textId="77777777" w:rsidR="0007227A" w:rsidRDefault="0007227A" w:rsidP="007C26AD">
            <w:pPr>
              <w:spacing w:before="60" w:after="120"/>
            </w:pPr>
            <w:r w:rsidRPr="00252566">
              <w:t xml:space="preserve">2 </w:t>
            </w:r>
            <w:r w:rsidR="00D06466" w:rsidRPr="00252566">
              <w:t>–</w:t>
            </w:r>
            <w:r w:rsidRPr="00252566">
              <w:t xml:space="preserve"> Dep</w:t>
            </w:r>
            <w:r w:rsidR="007C26AD">
              <w:t>artments</w:t>
            </w:r>
          </w:p>
        </w:tc>
      </w:tr>
      <w:tr w:rsidR="00353D15" w14:paraId="34439E4F" w14:textId="77777777" w:rsidTr="002A2CD1">
        <w:trPr>
          <w:cnfStyle w:val="000000010000" w:firstRow="0" w:lastRow="0" w:firstColumn="0" w:lastColumn="0" w:oddVBand="0" w:evenVBand="0" w:oddHBand="0" w:evenHBand="1" w:firstRowFirstColumn="0" w:firstRowLastColumn="0" w:lastRowFirstColumn="0" w:lastRowLastColumn="0"/>
        </w:trPr>
        <w:tc>
          <w:tcPr>
            <w:tcW w:w="506" w:type="pct"/>
          </w:tcPr>
          <w:p w14:paraId="32EAFEFF" w14:textId="77777777" w:rsidR="00353D15" w:rsidRPr="00252566" w:rsidRDefault="00353D15" w:rsidP="00353D15">
            <w:pPr>
              <w:spacing w:before="60" w:after="120"/>
            </w:pPr>
            <w:r w:rsidRPr="00252566">
              <w:t xml:space="preserve">Performance </w:t>
            </w:r>
            <w:r>
              <w:t>m</w:t>
            </w:r>
            <w:r w:rsidRPr="00252566">
              <w:t>onitoring</w:t>
            </w:r>
            <w:r>
              <w:t xml:space="preserve"> and reporting</w:t>
            </w:r>
          </w:p>
        </w:tc>
        <w:tc>
          <w:tcPr>
            <w:tcW w:w="1972" w:type="pct"/>
          </w:tcPr>
          <w:p w14:paraId="7C4558DF" w14:textId="77777777" w:rsidR="00353D15" w:rsidRPr="00915E90" w:rsidRDefault="00353D15" w:rsidP="00353D15">
            <w:pPr>
              <w:spacing w:before="60" w:after="120"/>
              <w:rPr>
                <w:b/>
                <w:color w:val="548DD4" w:themeColor="text2" w:themeTint="99"/>
              </w:rPr>
            </w:pPr>
            <w:r w:rsidRPr="00915E90">
              <w:rPr>
                <w:b/>
                <w:color w:val="365F91" w:themeColor="accent1" w:themeShade="BF"/>
              </w:rPr>
              <w:t>• The Departments:</w:t>
            </w:r>
          </w:p>
          <w:p w14:paraId="0B6F53DB" w14:textId="77777777" w:rsidR="00353D15" w:rsidRDefault="00353D15" w:rsidP="00353D15">
            <w:pPr>
              <w:spacing w:before="60" w:after="120"/>
            </w:pPr>
            <w:r>
              <w:t xml:space="preserve">Service Providers will regularly monitor and report on their performance at delivering contracted Services under the signed Regional Land Partnerships Services Agreement. </w:t>
            </w:r>
            <w:r w:rsidRPr="00252566">
              <w:t xml:space="preserve">The </w:t>
            </w:r>
            <w:r>
              <w:t xml:space="preserve">Service Providers </w:t>
            </w:r>
            <w:r w:rsidRPr="00252566">
              <w:t xml:space="preserve">MERI </w:t>
            </w:r>
            <w:r>
              <w:t>P</w:t>
            </w:r>
            <w:r w:rsidRPr="00252566">
              <w:t xml:space="preserve">lans </w:t>
            </w:r>
            <w:r>
              <w:t xml:space="preserve">will </w:t>
            </w:r>
            <w:r w:rsidRPr="00252566">
              <w:t xml:space="preserve">provide a </w:t>
            </w:r>
            <w:r>
              <w:t xml:space="preserve">clear </w:t>
            </w:r>
            <w:r w:rsidRPr="00252566">
              <w:t xml:space="preserve">statement of </w:t>
            </w:r>
            <w:r>
              <w:t>their rationale</w:t>
            </w:r>
            <w:r w:rsidRPr="00252566">
              <w:t xml:space="preserve"> and methodology for monitoring </w:t>
            </w:r>
            <w:r>
              <w:t xml:space="preserve">the </w:t>
            </w:r>
            <w:r w:rsidRPr="00252566">
              <w:t xml:space="preserve">delivery of Project </w:t>
            </w:r>
            <w:r>
              <w:t>Work Order s</w:t>
            </w:r>
            <w:r w:rsidRPr="00252566">
              <w:t xml:space="preserve">ervices. Reporting is done through MERIT, and provides a regular snapshot of progress </w:t>
            </w:r>
            <w:r>
              <w:t>for Departmental Project Managers</w:t>
            </w:r>
            <w:r w:rsidRPr="00252566">
              <w:t>.</w:t>
            </w:r>
          </w:p>
          <w:p w14:paraId="48F0C150" w14:textId="77777777" w:rsidR="00353D15" w:rsidRPr="00915E90" w:rsidRDefault="00353D15" w:rsidP="00353D15">
            <w:pPr>
              <w:spacing w:before="60" w:after="120"/>
              <w:rPr>
                <w:b/>
                <w:color w:val="365F91" w:themeColor="accent1" w:themeShade="BF"/>
              </w:rPr>
            </w:pPr>
            <w:r w:rsidRPr="00915E90">
              <w:rPr>
                <w:b/>
                <w:color w:val="365F91" w:themeColor="accent1" w:themeShade="BF"/>
              </w:rPr>
              <w:t xml:space="preserve">• Service </w:t>
            </w:r>
            <w:r>
              <w:rPr>
                <w:b/>
                <w:color w:val="365F91" w:themeColor="accent1" w:themeShade="BF"/>
              </w:rPr>
              <w:t>Provider</w:t>
            </w:r>
            <w:r w:rsidRPr="00915E90">
              <w:rPr>
                <w:b/>
                <w:color w:val="365F91" w:themeColor="accent1" w:themeShade="BF"/>
              </w:rPr>
              <w:t>s:</w:t>
            </w:r>
          </w:p>
          <w:p w14:paraId="57350236" w14:textId="77777777" w:rsidR="00353D15" w:rsidRDefault="00353D15" w:rsidP="00353D15">
            <w:pPr>
              <w:spacing w:before="60" w:after="120"/>
            </w:pPr>
            <w:r w:rsidRPr="00252566">
              <w:t xml:space="preserve">Service Providers are required to monitor and report on their </w:t>
            </w:r>
            <w:r>
              <w:t>achievements at</w:t>
            </w:r>
            <w:r w:rsidRPr="00252566">
              <w:t xml:space="preserve"> delivering NRM interventions including </w:t>
            </w:r>
            <w:r>
              <w:t>any</w:t>
            </w:r>
            <w:r w:rsidRPr="00252566">
              <w:t xml:space="preserve"> emerging </w:t>
            </w:r>
            <w:r>
              <w:t xml:space="preserve">or imminent </w:t>
            </w:r>
            <w:r w:rsidRPr="00252566">
              <w:t>risks</w:t>
            </w:r>
            <w:r>
              <w:t xml:space="preserve">. This includes updating MERI Plans </w:t>
            </w:r>
            <w:r w:rsidR="008648F8">
              <w:t xml:space="preserve">and risk assessments </w:t>
            </w:r>
            <w:r>
              <w:t>as needed</w:t>
            </w:r>
            <w:r w:rsidRPr="00252566">
              <w:t xml:space="preserve">. </w:t>
            </w:r>
            <w:r>
              <w:t>R</w:t>
            </w:r>
            <w:r w:rsidRPr="00252566">
              <w:t xml:space="preserve">eporting </w:t>
            </w:r>
            <w:r>
              <w:t>against</w:t>
            </w:r>
            <w:r w:rsidRPr="00252566">
              <w:t xml:space="preserve"> the MERI </w:t>
            </w:r>
            <w:r>
              <w:t>P</w:t>
            </w:r>
            <w:r w:rsidRPr="00252566">
              <w:t xml:space="preserve">lan is done through MERIT, </w:t>
            </w:r>
            <w:r>
              <w:t>which</w:t>
            </w:r>
            <w:r w:rsidRPr="00252566">
              <w:t xml:space="preserve"> </w:t>
            </w:r>
            <w:r>
              <w:t xml:space="preserve">gives </w:t>
            </w:r>
            <w:r w:rsidRPr="00252566">
              <w:t xml:space="preserve">a regular snapshot of </w:t>
            </w:r>
            <w:r>
              <w:t xml:space="preserve">a projects </w:t>
            </w:r>
            <w:r w:rsidRPr="00252566">
              <w:t xml:space="preserve">progress </w:t>
            </w:r>
            <w:r>
              <w:t xml:space="preserve">while also </w:t>
            </w:r>
            <w:r w:rsidRPr="00252566">
              <w:t>provid</w:t>
            </w:r>
            <w:r>
              <w:t xml:space="preserve">ing relevant information to allow Departmental Project Managers to determine how a project is performing and delivering on its </w:t>
            </w:r>
            <w:r w:rsidR="008648F8">
              <w:t>Project Work Order</w:t>
            </w:r>
            <w:r w:rsidRPr="00252566">
              <w:t xml:space="preserve">. Service Providers </w:t>
            </w:r>
            <w:r>
              <w:t>should</w:t>
            </w:r>
            <w:r w:rsidRPr="00252566">
              <w:t xml:space="preserve"> utilise the existing MERI Framework for </w:t>
            </w:r>
            <w:r>
              <w:t xml:space="preserve">the projects ongoing evaluation </w:t>
            </w:r>
            <w:r w:rsidRPr="00252566">
              <w:t>methodolog</w:t>
            </w:r>
            <w:r>
              <w:t>y</w:t>
            </w:r>
            <w:r w:rsidRPr="00252566">
              <w:t xml:space="preserve"> to inform a process of continuous improvement.</w:t>
            </w:r>
          </w:p>
          <w:p w14:paraId="27A2BDE4" w14:textId="77777777" w:rsidR="00353D15" w:rsidRDefault="00353D15" w:rsidP="00353D15">
            <w:pPr>
              <w:spacing w:before="60" w:after="120"/>
            </w:pPr>
            <w:r>
              <w:t>The Service Provider must provide the following reports in respect of each project:</w:t>
            </w:r>
          </w:p>
          <w:p w14:paraId="295B995D" w14:textId="77777777" w:rsidR="00353D15" w:rsidRPr="00902174" w:rsidRDefault="00353D15" w:rsidP="00353D15">
            <w:pPr>
              <w:pStyle w:val="ListParagraph"/>
              <w:numPr>
                <w:ilvl w:val="0"/>
                <w:numId w:val="38"/>
              </w:numPr>
              <w:spacing w:before="60" w:after="120"/>
            </w:pPr>
            <w:r w:rsidRPr="00902174">
              <w:t>Outputs Report</w:t>
            </w:r>
          </w:p>
          <w:p w14:paraId="3A174DD7" w14:textId="77777777" w:rsidR="00353D15" w:rsidRPr="00902174" w:rsidRDefault="00353D15" w:rsidP="00353D15">
            <w:pPr>
              <w:pStyle w:val="ListParagraph"/>
              <w:numPr>
                <w:ilvl w:val="0"/>
                <w:numId w:val="38"/>
              </w:numPr>
              <w:spacing w:before="60" w:after="120"/>
            </w:pPr>
            <w:r w:rsidRPr="00902174">
              <w:t>Annual Report</w:t>
            </w:r>
          </w:p>
          <w:p w14:paraId="2B120EC4" w14:textId="77777777" w:rsidR="00353D15" w:rsidRPr="00902174" w:rsidRDefault="00353D15" w:rsidP="00353D15">
            <w:pPr>
              <w:pStyle w:val="ListParagraph"/>
              <w:numPr>
                <w:ilvl w:val="0"/>
                <w:numId w:val="38"/>
              </w:numPr>
              <w:spacing w:before="60" w:after="120"/>
            </w:pPr>
            <w:r w:rsidRPr="00902174">
              <w:t>Outcomes report 1</w:t>
            </w:r>
          </w:p>
          <w:p w14:paraId="6ECD50FD" w14:textId="77777777" w:rsidR="00353D15" w:rsidRPr="008648F8" w:rsidRDefault="00353D15" w:rsidP="004569F0">
            <w:pPr>
              <w:pStyle w:val="ListParagraph"/>
              <w:numPr>
                <w:ilvl w:val="0"/>
                <w:numId w:val="38"/>
              </w:numPr>
              <w:spacing w:before="60" w:after="120"/>
            </w:pPr>
            <w:r w:rsidRPr="00902174">
              <w:t>Outcomes report 2 (for Project Work Orders with a duration of 3 or more years)</w:t>
            </w:r>
          </w:p>
        </w:tc>
        <w:tc>
          <w:tcPr>
            <w:tcW w:w="966" w:type="pct"/>
          </w:tcPr>
          <w:p w14:paraId="55A8E74E" w14:textId="77777777" w:rsidR="00353D15" w:rsidRPr="00252566" w:rsidRDefault="00353D15" w:rsidP="00353D15">
            <w:pPr>
              <w:pStyle w:val="ListParagraph"/>
              <w:numPr>
                <w:ilvl w:val="0"/>
                <w:numId w:val="8"/>
              </w:numPr>
              <w:spacing w:before="60" w:after="120"/>
              <w:ind w:left="330" w:hanging="284"/>
            </w:pPr>
            <w:r w:rsidRPr="00A1779C">
              <w:rPr>
                <w:i/>
              </w:rPr>
              <w:t>Core Services</w:t>
            </w:r>
            <w:r>
              <w:t xml:space="preserve"> - R</w:t>
            </w:r>
            <w:r w:rsidRPr="00252566">
              <w:t xml:space="preserve">eports </w:t>
            </w:r>
            <w:r>
              <w:t xml:space="preserve">accompanying invoices </w:t>
            </w:r>
            <w:r w:rsidRPr="00252566">
              <w:t>to the Departments or more frequently if agreed to in the Services Agreement</w:t>
            </w:r>
          </w:p>
          <w:p w14:paraId="4BBE7CAB" w14:textId="77777777" w:rsidR="00353D15" w:rsidRPr="00252566" w:rsidRDefault="00353D15" w:rsidP="004569F0">
            <w:pPr>
              <w:pStyle w:val="ListParagraph"/>
              <w:numPr>
                <w:ilvl w:val="0"/>
                <w:numId w:val="8"/>
              </w:numPr>
              <w:spacing w:before="60" w:after="120"/>
              <w:ind w:left="330" w:hanging="284"/>
            </w:pPr>
            <w:r w:rsidRPr="00A1779C">
              <w:rPr>
                <w:i/>
              </w:rPr>
              <w:t>Project Services</w:t>
            </w:r>
            <w:r w:rsidRPr="00A1779C">
              <w:t xml:space="preserve"> –</w:t>
            </w:r>
            <w:r w:rsidR="003E2961">
              <w:t>R</w:t>
            </w:r>
            <w:r w:rsidRPr="00A1779C">
              <w:t>eports</w:t>
            </w:r>
            <w:r w:rsidRPr="00252566">
              <w:t xml:space="preserve"> </w:t>
            </w:r>
            <w:r>
              <w:t xml:space="preserve">accompanied by invoices </w:t>
            </w:r>
            <w:r w:rsidRPr="00252566">
              <w:t>to the Departments</w:t>
            </w:r>
            <w:r>
              <w:t xml:space="preserve">. Includes a mid-year report and an annual report. </w:t>
            </w:r>
          </w:p>
        </w:tc>
        <w:tc>
          <w:tcPr>
            <w:tcW w:w="942" w:type="pct"/>
          </w:tcPr>
          <w:p w14:paraId="65C18416" w14:textId="77777777" w:rsidR="00353D15" w:rsidRPr="00252566" w:rsidRDefault="00353D15" w:rsidP="00353D15">
            <w:pPr>
              <w:pStyle w:val="ListParagraph"/>
              <w:numPr>
                <w:ilvl w:val="0"/>
                <w:numId w:val="8"/>
              </w:numPr>
              <w:spacing w:before="60" w:after="120"/>
              <w:ind w:left="330" w:hanging="284"/>
            </w:pPr>
            <w:r w:rsidRPr="00252566">
              <w:t>Required under Services Agreements</w:t>
            </w:r>
          </w:p>
          <w:p w14:paraId="4BF52346" w14:textId="77777777" w:rsidR="00353D15" w:rsidRPr="00252566" w:rsidRDefault="00353D15" w:rsidP="00353D15">
            <w:pPr>
              <w:pStyle w:val="ListParagraph"/>
              <w:spacing w:before="60" w:after="120"/>
              <w:ind w:left="330"/>
            </w:pPr>
          </w:p>
        </w:tc>
        <w:tc>
          <w:tcPr>
            <w:tcW w:w="614" w:type="pct"/>
          </w:tcPr>
          <w:p w14:paraId="165701C2" w14:textId="77777777" w:rsidR="00353D15" w:rsidRPr="00252566" w:rsidRDefault="00353D15" w:rsidP="00353D15">
            <w:pPr>
              <w:spacing w:before="60" w:after="120"/>
            </w:pPr>
            <w:r w:rsidRPr="00252566">
              <w:t>1 – S</w:t>
            </w:r>
            <w:r>
              <w:t>ervice Providers</w:t>
            </w:r>
          </w:p>
          <w:p w14:paraId="22EB3456" w14:textId="77777777" w:rsidR="00353D15" w:rsidRDefault="00353D15" w:rsidP="00353D15">
            <w:pPr>
              <w:spacing w:before="60" w:after="120"/>
            </w:pPr>
            <w:r w:rsidRPr="00252566">
              <w:t>2 – Dep</w:t>
            </w:r>
            <w:r>
              <w:t>artments</w:t>
            </w:r>
          </w:p>
        </w:tc>
      </w:tr>
      <w:tr w:rsidR="00D25D01" w14:paraId="48479B7C" w14:textId="77777777" w:rsidTr="002A2CD1">
        <w:trPr>
          <w:cnfStyle w:val="000000100000" w:firstRow="0" w:lastRow="0" w:firstColumn="0" w:lastColumn="0" w:oddVBand="0" w:evenVBand="0" w:oddHBand="1" w:evenHBand="0" w:firstRowFirstColumn="0" w:firstRowLastColumn="0" w:lastRowFirstColumn="0" w:lastRowLastColumn="0"/>
        </w:trPr>
        <w:tc>
          <w:tcPr>
            <w:tcW w:w="506" w:type="pct"/>
          </w:tcPr>
          <w:p w14:paraId="211D1917" w14:textId="77777777" w:rsidR="00EE5AC1" w:rsidRDefault="0050223A" w:rsidP="0050223A">
            <w:pPr>
              <w:spacing w:before="60" w:after="120"/>
            </w:pPr>
            <w:r>
              <w:t>Project</w:t>
            </w:r>
            <w:r w:rsidR="00EE5AC1">
              <w:t xml:space="preserve"> management</w:t>
            </w:r>
          </w:p>
        </w:tc>
        <w:tc>
          <w:tcPr>
            <w:tcW w:w="1972" w:type="pct"/>
          </w:tcPr>
          <w:p w14:paraId="74583968" w14:textId="77777777" w:rsidR="00CC4294" w:rsidRPr="00915E90" w:rsidRDefault="004521AD" w:rsidP="0050223A">
            <w:pPr>
              <w:spacing w:before="60" w:after="120"/>
              <w:rPr>
                <w:b/>
                <w:color w:val="548DD4" w:themeColor="text2" w:themeTint="99"/>
              </w:rPr>
            </w:pPr>
            <w:r>
              <w:rPr>
                <w:b/>
                <w:color w:val="365F91" w:themeColor="accent1" w:themeShade="BF"/>
              </w:rPr>
              <w:t>• The Departments</w:t>
            </w:r>
            <w:r w:rsidR="00CC4294" w:rsidRPr="00915E90">
              <w:rPr>
                <w:b/>
                <w:color w:val="365F91" w:themeColor="accent1" w:themeShade="BF"/>
              </w:rPr>
              <w:t>:</w:t>
            </w:r>
          </w:p>
          <w:p w14:paraId="779F3181" w14:textId="77777777" w:rsidR="001977CE" w:rsidRDefault="00EE5AC1" w:rsidP="0050223A">
            <w:pPr>
              <w:spacing w:before="60" w:after="120"/>
            </w:pPr>
            <w:r>
              <w:lastRenderedPageBreak/>
              <w:t xml:space="preserve">Departmental </w:t>
            </w:r>
            <w:r w:rsidR="0050223A">
              <w:t>Project M</w:t>
            </w:r>
            <w:r>
              <w:t>anagers will be responsible for the administration of</w:t>
            </w:r>
            <w:r w:rsidR="0050223A">
              <w:t xml:space="preserve"> the</w:t>
            </w:r>
            <w:r>
              <w:t xml:space="preserve"> Services Agreements under Regional Land Partnerships. This includes</w:t>
            </w:r>
            <w:r w:rsidR="001977CE">
              <w:t>:</w:t>
            </w:r>
          </w:p>
          <w:p w14:paraId="313B2344" w14:textId="77777777" w:rsidR="001977CE" w:rsidRPr="001977CE" w:rsidRDefault="00C127D7" w:rsidP="0050223A">
            <w:pPr>
              <w:pStyle w:val="ListParagraph"/>
              <w:numPr>
                <w:ilvl w:val="0"/>
                <w:numId w:val="34"/>
              </w:numPr>
              <w:spacing w:before="60" w:after="120"/>
            </w:pPr>
            <w:r w:rsidRPr="001977CE">
              <w:t xml:space="preserve">initial development of a risk assessment for each Service Provider and </w:t>
            </w:r>
            <w:r w:rsidR="00810243" w:rsidRPr="001977CE">
              <w:t xml:space="preserve">each of </w:t>
            </w:r>
            <w:r w:rsidRPr="001977CE">
              <w:t>their project</w:t>
            </w:r>
            <w:r w:rsidR="00810243" w:rsidRPr="001977CE">
              <w:t>s</w:t>
            </w:r>
            <w:r w:rsidR="001977CE">
              <w:t>;</w:t>
            </w:r>
          </w:p>
          <w:p w14:paraId="44C4B5DA" w14:textId="77777777" w:rsidR="001977CE" w:rsidRDefault="00C127D7" w:rsidP="0050223A">
            <w:pPr>
              <w:pStyle w:val="ListParagraph"/>
              <w:numPr>
                <w:ilvl w:val="0"/>
                <w:numId w:val="34"/>
              </w:numPr>
              <w:spacing w:before="60" w:after="120"/>
            </w:pPr>
            <w:r w:rsidRPr="001977CE">
              <w:t xml:space="preserve">regular </w:t>
            </w:r>
            <w:r w:rsidR="00EE5AC1" w:rsidRPr="001977CE">
              <w:t>revie</w:t>
            </w:r>
            <w:r w:rsidR="00810243" w:rsidRPr="001977CE">
              <w:t xml:space="preserve">w of risks </w:t>
            </w:r>
            <w:r w:rsidRPr="001977CE">
              <w:t xml:space="preserve">in line with </w:t>
            </w:r>
            <w:r w:rsidR="001977CE">
              <w:t xml:space="preserve">MERIT </w:t>
            </w:r>
            <w:r w:rsidR="00EE5AC1" w:rsidRPr="001977CE">
              <w:t>progress reports (including alignment of Project Se</w:t>
            </w:r>
            <w:r w:rsidR="001977CE" w:rsidRPr="001977CE">
              <w:t>rvices with the MERI Framework);</w:t>
            </w:r>
          </w:p>
          <w:p w14:paraId="49815758" w14:textId="77777777" w:rsidR="0050223A" w:rsidRPr="001977CE" w:rsidRDefault="0050223A" w:rsidP="0050223A">
            <w:pPr>
              <w:pStyle w:val="ListParagraph"/>
              <w:numPr>
                <w:ilvl w:val="0"/>
                <w:numId w:val="34"/>
              </w:numPr>
              <w:spacing w:before="60" w:after="120"/>
            </w:pPr>
            <w:r>
              <w:t>assessment of Services delivery;</w:t>
            </w:r>
          </w:p>
          <w:p w14:paraId="02009B12" w14:textId="77777777" w:rsidR="001977CE" w:rsidRPr="001977CE" w:rsidRDefault="00EE5AC1" w:rsidP="0050223A">
            <w:pPr>
              <w:pStyle w:val="ListParagraph"/>
              <w:numPr>
                <w:ilvl w:val="0"/>
                <w:numId w:val="34"/>
              </w:numPr>
              <w:spacing w:before="60" w:after="120"/>
            </w:pPr>
            <w:r w:rsidRPr="001977CE">
              <w:t>invoice payments</w:t>
            </w:r>
            <w:r w:rsidR="001977CE" w:rsidRPr="001977CE">
              <w:t>;</w:t>
            </w:r>
            <w:r w:rsidRPr="001977CE">
              <w:t xml:space="preserve"> and </w:t>
            </w:r>
          </w:p>
          <w:p w14:paraId="6C49BBAE" w14:textId="77777777" w:rsidR="001977CE" w:rsidRDefault="001977CE" w:rsidP="0050223A">
            <w:pPr>
              <w:pStyle w:val="ListParagraph"/>
              <w:numPr>
                <w:ilvl w:val="0"/>
                <w:numId w:val="34"/>
              </w:numPr>
              <w:spacing w:before="60" w:after="120"/>
            </w:pPr>
            <w:proofErr w:type="gramStart"/>
            <w:r>
              <w:t>on-going</w:t>
            </w:r>
            <w:proofErr w:type="gramEnd"/>
            <w:r>
              <w:t xml:space="preserve"> </w:t>
            </w:r>
            <w:r w:rsidR="00EE5AC1" w:rsidRPr="001977CE">
              <w:t xml:space="preserve">engagement with Service Providers. </w:t>
            </w:r>
          </w:p>
          <w:p w14:paraId="63B2009E" w14:textId="77777777" w:rsidR="00EE5AC1" w:rsidRDefault="00EE5AC1" w:rsidP="0050223A">
            <w:pPr>
              <w:spacing w:before="60" w:after="120"/>
              <w:ind w:left="360"/>
            </w:pPr>
            <w:r w:rsidRPr="001977CE">
              <w:t xml:space="preserve">They will also be responsible for identification and notification of any emerging risks </w:t>
            </w:r>
            <w:r w:rsidR="0079521C">
              <w:t>requiring</w:t>
            </w:r>
            <w:r w:rsidRPr="001977CE">
              <w:t xml:space="preserve"> further action. </w:t>
            </w:r>
          </w:p>
          <w:p w14:paraId="3ECE8849" w14:textId="77777777" w:rsidR="001977CE" w:rsidRPr="00915E90" w:rsidRDefault="001977CE" w:rsidP="0050223A">
            <w:pPr>
              <w:spacing w:before="60" w:after="120"/>
              <w:rPr>
                <w:b/>
                <w:color w:val="365F91" w:themeColor="accent1" w:themeShade="BF"/>
              </w:rPr>
            </w:pPr>
            <w:r w:rsidRPr="00915E90">
              <w:rPr>
                <w:b/>
                <w:color w:val="365F91" w:themeColor="accent1" w:themeShade="BF"/>
              </w:rPr>
              <w:t xml:space="preserve">• Service </w:t>
            </w:r>
            <w:r>
              <w:rPr>
                <w:b/>
                <w:color w:val="365F91" w:themeColor="accent1" w:themeShade="BF"/>
              </w:rPr>
              <w:t>P</w:t>
            </w:r>
            <w:r w:rsidR="004521AD">
              <w:rPr>
                <w:b/>
                <w:color w:val="365F91" w:themeColor="accent1" w:themeShade="BF"/>
              </w:rPr>
              <w:t>rovider</w:t>
            </w:r>
            <w:r w:rsidRPr="00915E90">
              <w:rPr>
                <w:b/>
                <w:color w:val="365F91" w:themeColor="accent1" w:themeShade="BF"/>
              </w:rPr>
              <w:t>s:</w:t>
            </w:r>
          </w:p>
          <w:p w14:paraId="144F3F06" w14:textId="77777777" w:rsidR="00DF7662" w:rsidRPr="00113919" w:rsidRDefault="00CA2859" w:rsidP="00DF7662">
            <w:pPr>
              <w:pStyle w:val="ListParagraph"/>
              <w:numPr>
                <w:ilvl w:val="0"/>
                <w:numId w:val="37"/>
              </w:numPr>
              <w:spacing w:before="60" w:after="120"/>
            </w:pPr>
            <w:proofErr w:type="gramStart"/>
            <w:r>
              <w:t>m</w:t>
            </w:r>
            <w:r w:rsidR="001977CE" w:rsidRPr="0079521C">
              <w:t>aintain</w:t>
            </w:r>
            <w:proofErr w:type="gramEnd"/>
            <w:r w:rsidR="001977CE" w:rsidRPr="0079521C">
              <w:t xml:space="preserve"> regular</w:t>
            </w:r>
            <w:r w:rsidR="0079521C">
              <w:t>,</w:t>
            </w:r>
            <w:r w:rsidR="001977CE" w:rsidRPr="0079521C">
              <w:t xml:space="preserve"> on-going relationship</w:t>
            </w:r>
            <w:r w:rsidR="0079521C">
              <w:t>s</w:t>
            </w:r>
            <w:r w:rsidR="001977CE" w:rsidRPr="0079521C">
              <w:t xml:space="preserve"> and communications with the Departments, </w:t>
            </w:r>
            <w:r w:rsidR="0079521C">
              <w:t>primarily</w:t>
            </w:r>
            <w:r w:rsidR="001977CE" w:rsidRPr="0079521C">
              <w:t xml:space="preserve"> through the</w:t>
            </w:r>
            <w:r w:rsidR="0079521C">
              <w:t>ir</w:t>
            </w:r>
            <w:r w:rsidR="001977CE" w:rsidRPr="0079521C">
              <w:t xml:space="preserve"> </w:t>
            </w:r>
            <w:r w:rsidR="0079521C">
              <w:t xml:space="preserve">designated Departmental </w:t>
            </w:r>
            <w:r w:rsidR="001977CE" w:rsidRPr="0079521C">
              <w:t>Project Managers.</w:t>
            </w:r>
          </w:p>
          <w:p w14:paraId="3F318F3D" w14:textId="77777777" w:rsidR="00DF7662" w:rsidRPr="00113919" w:rsidRDefault="00CA2859" w:rsidP="00DF7662">
            <w:pPr>
              <w:pStyle w:val="ListParagraph"/>
              <w:numPr>
                <w:ilvl w:val="0"/>
                <w:numId w:val="37"/>
              </w:numPr>
              <w:spacing w:before="60" w:after="120"/>
            </w:pPr>
            <w:proofErr w:type="gramStart"/>
            <w:r>
              <w:t>r</w:t>
            </w:r>
            <w:r w:rsidR="001977CE" w:rsidRPr="0079521C">
              <w:t>espond</w:t>
            </w:r>
            <w:proofErr w:type="gramEnd"/>
            <w:r w:rsidR="001977CE" w:rsidRPr="0079521C">
              <w:t xml:space="preserve"> to requests from </w:t>
            </w:r>
            <w:r w:rsidR="0079521C">
              <w:t xml:space="preserve">Departmental </w:t>
            </w:r>
            <w:r w:rsidR="001977CE" w:rsidRPr="0079521C">
              <w:t xml:space="preserve">Project Managers for any additional or </w:t>
            </w:r>
            <w:r w:rsidR="0079521C">
              <w:t>clarifying</w:t>
            </w:r>
            <w:r w:rsidR="001977CE" w:rsidRPr="0079521C">
              <w:t xml:space="preserve"> information in relation to </w:t>
            </w:r>
            <w:r w:rsidR="004521AD">
              <w:t>the Service Provider</w:t>
            </w:r>
            <w:r w:rsidR="0079521C">
              <w:t xml:space="preserve">s </w:t>
            </w:r>
            <w:r w:rsidR="001977CE" w:rsidRPr="0079521C">
              <w:t>monitoring and reporting</w:t>
            </w:r>
            <w:r w:rsidR="0079521C">
              <w:t xml:space="preserve"> in MERIT</w:t>
            </w:r>
            <w:r w:rsidR="001977CE" w:rsidRPr="0079521C">
              <w:t>.</w:t>
            </w:r>
          </w:p>
          <w:p w14:paraId="6B50EAA1" w14:textId="77777777" w:rsidR="00DF7662" w:rsidRPr="00113919" w:rsidRDefault="00CA2859" w:rsidP="00DF7662">
            <w:pPr>
              <w:pStyle w:val="ListParagraph"/>
              <w:numPr>
                <w:ilvl w:val="0"/>
                <w:numId w:val="37"/>
              </w:numPr>
              <w:spacing w:before="60" w:after="120"/>
            </w:pPr>
            <w:proofErr w:type="gramStart"/>
            <w:r>
              <w:t>p</w:t>
            </w:r>
            <w:r w:rsidR="001977CE" w:rsidRPr="0079521C">
              <w:t>rovide</w:t>
            </w:r>
            <w:proofErr w:type="gramEnd"/>
            <w:r w:rsidR="001977CE" w:rsidRPr="0079521C">
              <w:t xml:space="preserve"> advice and information on any change to the project risk profile of impediments or delays to delivery of contracted Services.</w:t>
            </w:r>
          </w:p>
          <w:p w14:paraId="1A4609AB" w14:textId="77777777" w:rsidR="00DF7662" w:rsidRPr="00DF7662" w:rsidRDefault="00CA2859" w:rsidP="00DF7662">
            <w:pPr>
              <w:pStyle w:val="ListParagraph"/>
              <w:numPr>
                <w:ilvl w:val="0"/>
                <w:numId w:val="36"/>
              </w:numPr>
              <w:spacing w:before="60" w:after="120"/>
            </w:pPr>
            <w:proofErr w:type="gramStart"/>
            <w:r>
              <w:t>if</w:t>
            </w:r>
            <w:proofErr w:type="gramEnd"/>
            <w:r>
              <w:t xml:space="preserve"> the need arises </w:t>
            </w:r>
            <w:r w:rsidRPr="0079521C">
              <w:t>to address a</w:t>
            </w:r>
            <w:r>
              <w:t xml:space="preserve"> </w:t>
            </w:r>
            <w:r w:rsidRPr="0079521C">
              <w:t xml:space="preserve">delay, unforeseen circumstances, or other change </w:t>
            </w:r>
            <w:r>
              <w:t>that will alter the delivery of</w:t>
            </w:r>
            <w:r w:rsidRPr="0079521C">
              <w:t xml:space="preserve"> the project</w:t>
            </w:r>
            <w:r>
              <w:t xml:space="preserve"> from that agreed to in the Services Agreement a</w:t>
            </w:r>
            <w:r w:rsidR="001977CE" w:rsidRPr="0079521C">
              <w:t xml:space="preserve"> </w:t>
            </w:r>
            <w:r>
              <w:t>request with a clear explanation</w:t>
            </w:r>
            <w:r w:rsidR="001977CE" w:rsidRPr="0079521C">
              <w:t xml:space="preserve"> </w:t>
            </w:r>
            <w:r>
              <w:t>will need to be provided to the designated Departmental Project Manager</w:t>
            </w:r>
            <w:r w:rsidR="001977CE" w:rsidRPr="0079521C">
              <w:t>.</w:t>
            </w:r>
          </w:p>
        </w:tc>
        <w:tc>
          <w:tcPr>
            <w:tcW w:w="966" w:type="pct"/>
          </w:tcPr>
          <w:p w14:paraId="0BED9D3F" w14:textId="77777777" w:rsidR="00EE5AC1" w:rsidRPr="00DB3B15" w:rsidRDefault="00CA2859" w:rsidP="0050223A">
            <w:pPr>
              <w:pStyle w:val="ListParagraph"/>
              <w:numPr>
                <w:ilvl w:val="0"/>
                <w:numId w:val="8"/>
              </w:numPr>
              <w:spacing w:before="60" w:after="120"/>
              <w:ind w:left="330" w:hanging="284"/>
            </w:pPr>
            <w:r>
              <w:lastRenderedPageBreak/>
              <w:t>Regular and o</w:t>
            </w:r>
            <w:r w:rsidR="00EE5AC1" w:rsidRPr="00013F43">
              <w:t>ngoing</w:t>
            </w:r>
          </w:p>
        </w:tc>
        <w:tc>
          <w:tcPr>
            <w:tcW w:w="942" w:type="pct"/>
          </w:tcPr>
          <w:p w14:paraId="35B62F3D" w14:textId="77777777" w:rsidR="00EE5AC1" w:rsidRDefault="00CA2859" w:rsidP="00CA2859">
            <w:pPr>
              <w:pStyle w:val="ListParagraph"/>
              <w:numPr>
                <w:ilvl w:val="0"/>
                <w:numId w:val="8"/>
              </w:numPr>
              <w:spacing w:before="60" w:after="120"/>
              <w:ind w:left="330" w:hanging="284"/>
            </w:pPr>
            <w:r>
              <w:t>Regular and o</w:t>
            </w:r>
            <w:r w:rsidRPr="00013F43">
              <w:t>ngoing</w:t>
            </w:r>
            <w:r>
              <w:t xml:space="preserve"> </w:t>
            </w:r>
          </w:p>
        </w:tc>
        <w:tc>
          <w:tcPr>
            <w:tcW w:w="614" w:type="pct"/>
          </w:tcPr>
          <w:p w14:paraId="293EF73A" w14:textId="77777777" w:rsidR="00EE5AC1" w:rsidRDefault="00EE5AC1" w:rsidP="0050223A">
            <w:pPr>
              <w:spacing w:before="60" w:after="120"/>
            </w:pPr>
            <w:r>
              <w:t>1/2 – Dep</w:t>
            </w:r>
            <w:r w:rsidR="00353D15">
              <w:t>artments</w:t>
            </w:r>
          </w:p>
          <w:p w14:paraId="6F9F2B28" w14:textId="77777777" w:rsidR="00EE5AC1" w:rsidRDefault="00EE5AC1" w:rsidP="0050223A">
            <w:pPr>
              <w:spacing w:before="60" w:after="120"/>
              <w:jc w:val="center"/>
            </w:pPr>
          </w:p>
        </w:tc>
      </w:tr>
      <w:tr w:rsidR="00D25D01" w14:paraId="6857D75E" w14:textId="77777777" w:rsidTr="002A2CD1">
        <w:trPr>
          <w:cnfStyle w:val="000000010000" w:firstRow="0" w:lastRow="0" w:firstColumn="0" w:lastColumn="0" w:oddVBand="0" w:evenVBand="0" w:oddHBand="0" w:evenHBand="1" w:firstRowFirstColumn="0" w:firstRowLastColumn="0" w:lastRowFirstColumn="0" w:lastRowLastColumn="0"/>
        </w:trPr>
        <w:tc>
          <w:tcPr>
            <w:tcW w:w="506" w:type="pct"/>
          </w:tcPr>
          <w:p w14:paraId="7E24CAEC" w14:textId="77777777" w:rsidR="00EE5AC1" w:rsidRDefault="00EE5AC1" w:rsidP="0050223A">
            <w:pPr>
              <w:spacing w:before="60" w:after="120"/>
            </w:pPr>
            <w:r>
              <w:lastRenderedPageBreak/>
              <w:t xml:space="preserve">Compliance checks </w:t>
            </w:r>
          </w:p>
        </w:tc>
        <w:tc>
          <w:tcPr>
            <w:tcW w:w="1972" w:type="pct"/>
          </w:tcPr>
          <w:p w14:paraId="6489A8A2" w14:textId="77777777" w:rsidR="00DB3B15" w:rsidRPr="00915E90" w:rsidRDefault="00DB3B15" w:rsidP="0050223A">
            <w:pPr>
              <w:spacing w:before="60" w:after="120"/>
              <w:rPr>
                <w:b/>
                <w:color w:val="548DD4" w:themeColor="text2" w:themeTint="99"/>
              </w:rPr>
            </w:pPr>
            <w:r w:rsidRPr="00915E90">
              <w:rPr>
                <w:b/>
                <w:color w:val="365F91" w:themeColor="accent1" w:themeShade="BF"/>
              </w:rPr>
              <w:t>• The Departments:</w:t>
            </w:r>
          </w:p>
          <w:p w14:paraId="10173415" w14:textId="77777777" w:rsidR="00DB3B15" w:rsidRDefault="00EE5AC1" w:rsidP="0050223A">
            <w:pPr>
              <w:spacing w:before="60" w:after="120"/>
            </w:pPr>
            <w:r>
              <w:t xml:space="preserve">Departmental staff or </w:t>
            </w:r>
            <w:r w:rsidR="00CA2859">
              <w:t xml:space="preserve">a </w:t>
            </w:r>
            <w:r w:rsidR="00C127D7">
              <w:t>nominated representative</w:t>
            </w:r>
            <w:r>
              <w:t xml:space="preserve"> may conduct ad</w:t>
            </w:r>
            <w:r w:rsidR="002E5BB3">
              <w:t> </w:t>
            </w:r>
            <w:r>
              <w:t xml:space="preserve">hoc or regular compliance checks to ensure that Service Providers are complying with the Services Agreement and Schedules. </w:t>
            </w:r>
            <w:r w:rsidR="00670C66">
              <w:t xml:space="preserve">The need for a compliance check may arise </w:t>
            </w:r>
            <w:r w:rsidR="008C0D11">
              <w:t xml:space="preserve">based on the </w:t>
            </w:r>
            <w:r w:rsidR="00CA2859">
              <w:t xml:space="preserve">quality and </w:t>
            </w:r>
            <w:r w:rsidR="008C0D11">
              <w:t>content of</w:t>
            </w:r>
            <w:r w:rsidR="004521AD">
              <w:t xml:space="preserve"> the Service Provider</w:t>
            </w:r>
            <w:r w:rsidR="00670C66">
              <w:t xml:space="preserve">s MERIT reporting, </w:t>
            </w:r>
            <w:r w:rsidR="008C0D11">
              <w:t xml:space="preserve">advice </w:t>
            </w:r>
            <w:r w:rsidR="00CA2859">
              <w:t>and information received highlighting a potential non-compliance</w:t>
            </w:r>
            <w:r w:rsidR="00114F15">
              <w:t>, or if the Service Provider indicates a possible breach or non-compliance themselves.</w:t>
            </w:r>
          </w:p>
          <w:p w14:paraId="6535CC50" w14:textId="77777777" w:rsidR="00DB3B15" w:rsidRPr="00915E90" w:rsidRDefault="00DB3B15" w:rsidP="0050223A">
            <w:pPr>
              <w:spacing w:before="60" w:after="120"/>
              <w:rPr>
                <w:b/>
                <w:color w:val="365F91" w:themeColor="accent1" w:themeShade="BF"/>
              </w:rPr>
            </w:pPr>
            <w:r w:rsidRPr="00915E90">
              <w:rPr>
                <w:b/>
                <w:color w:val="365F91" w:themeColor="accent1" w:themeShade="BF"/>
              </w:rPr>
              <w:t xml:space="preserve">• Service </w:t>
            </w:r>
            <w:r>
              <w:rPr>
                <w:b/>
                <w:color w:val="365F91" w:themeColor="accent1" w:themeShade="BF"/>
              </w:rPr>
              <w:t>P</w:t>
            </w:r>
            <w:r w:rsidRPr="00915E90">
              <w:rPr>
                <w:b/>
                <w:color w:val="365F91" w:themeColor="accent1" w:themeShade="BF"/>
              </w:rPr>
              <w:t>roviders:</w:t>
            </w:r>
          </w:p>
          <w:p w14:paraId="5BEC0C3A" w14:textId="77777777" w:rsidR="00EE5AC1" w:rsidRPr="00DB3B15" w:rsidRDefault="00DB3B15" w:rsidP="00114F15">
            <w:pPr>
              <w:spacing w:before="60" w:after="120"/>
            </w:pPr>
            <w:r>
              <w:t xml:space="preserve">When reporting in MERIT there are a number of </w:t>
            </w:r>
            <w:r w:rsidR="00114F15">
              <w:t>specific responses</w:t>
            </w:r>
            <w:r w:rsidR="00CA2859">
              <w:t xml:space="preserve"> required </w:t>
            </w:r>
            <w:r w:rsidR="00114F15">
              <w:t>indicating that</w:t>
            </w:r>
            <w:r w:rsidR="00CA2859">
              <w:t xml:space="preserve"> the Service Provider</w:t>
            </w:r>
            <w:r w:rsidR="00114F15">
              <w:t xml:space="preserve"> is currently compliant and delivering their obligations and responsibilities under</w:t>
            </w:r>
            <w:r w:rsidR="008C0D11">
              <w:t xml:space="preserve"> the Agreement</w:t>
            </w:r>
            <w:r>
              <w:t xml:space="preserve">. </w:t>
            </w:r>
            <w:r w:rsidR="00114F15">
              <w:t xml:space="preserve">It is important if these specific components are not being met it is clearly identified and separately notified to the Department Project Manager. </w:t>
            </w:r>
          </w:p>
        </w:tc>
        <w:tc>
          <w:tcPr>
            <w:tcW w:w="966" w:type="pct"/>
          </w:tcPr>
          <w:p w14:paraId="099DEDE2" w14:textId="77777777" w:rsidR="00EE5AC1" w:rsidRPr="0042774A" w:rsidRDefault="00EE5AC1" w:rsidP="0050223A">
            <w:pPr>
              <w:pStyle w:val="ListParagraph"/>
              <w:numPr>
                <w:ilvl w:val="0"/>
                <w:numId w:val="8"/>
              </w:numPr>
              <w:spacing w:before="60" w:after="120"/>
              <w:ind w:left="330" w:hanging="284"/>
            </w:pPr>
            <w:r>
              <w:t>Regular and as required.</w:t>
            </w:r>
          </w:p>
        </w:tc>
        <w:tc>
          <w:tcPr>
            <w:tcW w:w="942" w:type="pct"/>
          </w:tcPr>
          <w:p w14:paraId="0ABB9E4B" w14:textId="77777777" w:rsidR="00EE5AC1" w:rsidRDefault="00EE5AC1" w:rsidP="0050223A">
            <w:pPr>
              <w:pStyle w:val="ListParagraph"/>
              <w:numPr>
                <w:ilvl w:val="0"/>
                <w:numId w:val="8"/>
              </w:numPr>
              <w:spacing w:before="60" w:after="120"/>
              <w:ind w:left="330" w:hanging="284"/>
            </w:pPr>
            <w:r>
              <w:t>Spot checks as determined</w:t>
            </w:r>
          </w:p>
          <w:p w14:paraId="5AB456A5" w14:textId="77777777" w:rsidR="00EE5AC1" w:rsidRDefault="00EE5AC1" w:rsidP="0050223A">
            <w:pPr>
              <w:pStyle w:val="ListParagraph"/>
              <w:numPr>
                <w:ilvl w:val="0"/>
                <w:numId w:val="8"/>
              </w:numPr>
              <w:spacing w:before="60" w:after="120"/>
              <w:ind w:left="330" w:hanging="284"/>
            </w:pPr>
            <w:r>
              <w:t>Adverse findings during Departmental contract management processes</w:t>
            </w:r>
          </w:p>
          <w:p w14:paraId="536CE902" w14:textId="77777777" w:rsidR="00EE5AC1" w:rsidRDefault="00EE5AC1" w:rsidP="0050223A">
            <w:pPr>
              <w:pStyle w:val="ListParagraph"/>
              <w:numPr>
                <w:ilvl w:val="0"/>
                <w:numId w:val="8"/>
              </w:numPr>
              <w:spacing w:before="60" w:after="120"/>
              <w:ind w:left="330" w:hanging="284"/>
            </w:pPr>
            <w:r>
              <w:t>Notification of compliance issues by the Service Provider / external sources</w:t>
            </w:r>
          </w:p>
          <w:p w14:paraId="1433CF3D" w14:textId="77777777" w:rsidR="00114F15" w:rsidRDefault="00114F15" w:rsidP="0050223A">
            <w:pPr>
              <w:pStyle w:val="ListParagraph"/>
              <w:numPr>
                <w:ilvl w:val="0"/>
                <w:numId w:val="8"/>
              </w:numPr>
              <w:spacing w:before="60" w:after="120"/>
              <w:ind w:left="330" w:hanging="284"/>
            </w:pPr>
          </w:p>
        </w:tc>
        <w:tc>
          <w:tcPr>
            <w:tcW w:w="614" w:type="pct"/>
          </w:tcPr>
          <w:p w14:paraId="22A22503" w14:textId="77777777" w:rsidR="00EE5AC1" w:rsidRDefault="00515EB0" w:rsidP="0050223A">
            <w:pPr>
              <w:spacing w:before="60" w:after="120"/>
            </w:pPr>
            <w:r>
              <w:t>2/</w:t>
            </w:r>
            <w:r w:rsidR="00EE5AC1">
              <w:t xml:space="preserve">3 – </w:t>
            </w:r>
            <w:r w:rsidR="00353D15">
              <w:t>Departments</w:t>
            </w:r>
          </w:p>
          <w:p w14:paraId="4172B35D" w14:textId="77777777" w:rsidR="00EE5AC1" w:rsidRDefault="00EE5AC1" w:rsidP="0050223A">
            <w:pPr>
              <w:spacing w:before="60" w:after="120"/>
              <w:jc w:val="center"/>
            </w:pPr>
          </w:p>
        </w:tc>
      </w:tr>
      <w:tr w:rsidR="00D25D01" w14:paraId="160B765C" w14:textId="77777777" w:rsidTr="002A2CD1">
        <w:trPr>
          <w:cnfStyle w:val="000000100000" w:firstRow="0" w:lastRow="0" w:firstColumn="0" w:lastColumn="0" w:oddVBand="0" w:evenVBand="0" w:oddHBand="1" w:evenHBand="0" w:firstRowFirstColumn="0" w:firstRowLastColumn="0" w:lastRowFirstColumn="0" w:lastRowLastColumn="0"/>
        </w:trPr>
        <w:tc>
          <w:tcPr>
            <w:tcW w:w="506" w:type="pct"/>
          </w:tcPr>
          <w:p w14:paraId="0CEE1029" w14:textId="77777777" w:rsidR="00C874BE" w:rsidRDefault="00515EB0" w:rsidP="0050223A">
            <w:pPr>
              <w:spacing w:before="60" w:after="120"/>
            </w:pPr>
            <w:r>
              <w:t>A</w:t>
            </w:r>
            <w:r w:rsidR="00EE5AC1">
              <w:t xml:space="preserve">udits </w:t>
            </w:r>
          </w:p>
          <w:p w14:paraId="23EEB4A9" w14:textId="77777777" w:rsidR="00EE5AC1" w:rsidRPr="00114F15" w:rsidRDefault="00C874BE" w:rsidP="00114F15">
            <w:pPr>
              <w:spacing w:before="60" w:after="120"/>
              <w:rPr>
                <w:i/>
              </w:rPr>
            </w:pPr>
            <w:r w:rsidRPr="00114F15">
              <w:rPr>
                <w:i/>
              </w:rPr>
              <w:t>(</w:t>
            </w:r>
            <w:r w:rsidR="00515EB0" w:rsidRPr="00114F15">
              <w:rPr>
                <w:i/>
              </w:rPr>
              <w:t>of Service Providers</w:t>
            </w:r>
            <w:r w:rsidR="00114F15" w:rsidRPr="00114F15">
              <w:rPr>
                <w:i/>
              </w:rPr>
              <w:t>’</w:t>
            </w:r>
            <w:r w:rsidR="00515EB0" w:rsidRPr="00114F15">
              <w:rPr>
                <w:i/>
              </w:rPr>
              <w:t xml:space="preserve"> delivery of Core and Project Services</w:t>
            </w:r>
            <w:r w:rsidRPr="00114F15">
              <w:rPr>
                <w:i/>
              </w:rPr>
              <w:t>)</w:t>
            </w:r>
          </w:p>
        </w:tc>
        <w:tc>
          <w:tcPr>
            <w:tcW w:w="1972" w:type="pct"/>
          </w:tcPr>
          <w:p w14:paraId="179580FA" w14:textId="77777777" w:rsidR="000A024A" w:rsidRDefault="000A024A" w:rsidP="0050223A">
            <w:pPr>
              <w:spacing w:before="60" w:after="120"/>
            </w:pPr>
            <w:r w:rsidRPr="00915E90">
              <w:rPr>
                <w:b/>
                <w:color w:val="365F91" w:themeColor="accent1" w:themeShade="BF"/>
              </w:rPr>
              <w:t>• The Departments:</w:t>
            </w:r>
          </w:p>
          <w:p w14:paraId="5D81B888" w14:textId="77777777" w:rsidR="00670C66" w:rsidRDefault="00EE5AC1" w:rsidP="0050223A">
            <w:pPr>
              <w:spacing w:before="60" w:after="120"/>
            </w:pPr>
            <w:r>
              <w:t>A</w:t>
            </w:r>
            <w:r w:rsidR="000A024A">
              <w:t>udits will be conducted for all Service Providers throughout the duration of the Services Agreement. In</w:t>
            </w:r>
            <w:r w:rsidR="00DF7662">
              <w:t xml:space="preserve"> Year One, in</w:t>
            </w:r>
            <w:r w:rsidR="000A024A">
              <w:t xml:space="preserve">itial desktop audits will be </w:t>
            </w:r>
            <w:r w:rsidR="00DF7662">
              <w:t xml:space="preserve">conducted </w:t>
            </w:r>
            <w:r w:rsidR="000A024A">
              <w:t>based on a predetermined</w:t>
            </w:r>
            <w:r>
              <w:t xml:space="preserve"> </w:t>
            </w:r>
            <w:r w:rsidR="00DF7662">
              <w:t>series of criteria</w:t>
            </w:r>
            <w:r>
              <w:t xml:space="preserve"> developed in order to ensure compliance with the </w:t>
            </w:r>
            <w:r w:rsidR="008648F8">
              <w:t>P</w:t>
            </w:r>
            <w:r>
              <w:t xml:space="preserve">rogram objectives. </w:t>
            </w:r>
            <w:r w:rsidR="00AF106D">
              <w:t>S</w:t>
            </w:r>
            <w:r w:rsidR="00B44C02">
              <w:t xml:space="preserve">tructured and documented </w:t>
            </w:r>
            <w:r>
              <w:t xml:space="preserve">audits, including desktop and onsite audits, will be conducted </w:t>
            </w:r>
            <w:r w:rsidR="00AF106D">
              <w:t xml:space="preserve">on a regular basis </w:t>
            </w:r>
            <w:r>
              <w:t xml:space="preserve">by experienced and qualified Departmental officers or </w:t>
            </w:r>
            <w:r w:rsidR="00515EB0">
              <w:t>nominated representative</w:t>
            </w:r>
            <w:r>
              <w:t xml:space="preserve">. Audit content and focus will be informed by </w:t>
            </w:r>
            <w:r w:rsidR="004521AD">
              <w:t>the Service Providers</w:t>
            </w:r>
            <w:r w:rsidR="000A024A">
              <w:t xml:space="preserve"> </w:t>
            </w:r>
            <w:r>
              <w:t xml:space="preserve">obligations and responsibilities under </w:t>
            </w:r>
            <w:r w:rsidR="00AF106D">
              <w:t xml:space="preserve">their </w:t>
            </w:r>
            <w:r>
              <w:t xml:space="preserve">Services Agreements and Schedules and will include </w:t>
            </w:r>
            <w:r w:rsidR="00AF106D">
              <w:t xml:space="preserve">audits of </w:t>
            </w:r>
            <w:r>
              <w:t xml:space="preserve">both Core Services and Project Services. </w:t>
            </w:r>
          </w:p>
          <w:p w14:paraId="54911EB5" w14:textId="77777777" w:rsidR="00670C66" w:rsidRDefault="00670C66" w:rsidP="0050223A">
            <w:pPr>
              <w:spacing w:before="60" w:after="120"/>
            </w:pPr>
            <w:r>
              <w:t xml:space="preserve">Each Service provider will have at least </w:t>
            </w:r>
            <w:r w:rsidR="008648F8">
              <w:t xml:space="preserve">one desktop and at least </w:t>
            </w:r>
            <w:r>
              <w:t xml:space="preserve">one on-site audit during the program with other </w:t>
            </w:r>
            <w:r w:rsidR="00DF7662">
              <w:t xml:space="preserve">possible </w:t>
            </w:r>
            <w:r>
              <w:t>random or targeted audits as required if triggered.</w:t>
            </w:r>
          </w:p>
          <w:p w14:paraId="5E53F5C5" w14:textId="77777777" w:rsidR="007144B7" w:rsidRDefault="00670C66" w:rsidP="0050223A">
            <w:pPr>
              <w:spacing w:before="60" w:after="120"/>
            </w:pPr>
            <w:r>
              <w:t>Additional a</w:t>
            </w:r>
            <w:r w:rsidR="00EE5AC1">
              <w:t>udits may also occur outside of the schedule if triggered</w:t>
            </w:r>
            <w:r>
              <w:t xml:space="preserve"> by issues like fraud, corruption, and non-compliance or breaches of Services Agreements.</w:t>
            </w:r>
          </w:p>
          <w:p w14:paraId="5608759C" w14:textId="77777777" w:rsidR="00EE5AC1" w:rsidRDefault="007144B7" w:rsidP="0050223A">
            <w:pPr>
              <w:spacing w:before="60" w:after="120"/>
            </w:pPr>
            <w:r>
              <w:t xml:space="preserve">Audits will be conducted in line with </w:t>
            </w:r>
            <w:r w:rsidR="00C0556A">
              <w:t>Australian Auditing Standards and internal Departmental auditing procedures and policies.</w:t>
            </w:r>
          </w:p>
          <w:p w14:paraId="1D94C2DB" w14:textId="77777777" w:rsidR="00AF106D" w:rsidRDefault="00AF106D" w:rsidP="0050223A">
            <w:pPr>
              <w:spacing w:before="60" w:after="120"/>
            </w:pPr>
            <w:r>
              <w:t>The Departmental Audit Team will:</w:t>
            </w:r>
          </w:p>
          <w:p w14:paraId="6F041596" w14:textId="77777777" w:rsidR="00AF106D" w:rsidRPr="00AF106D" w:rsidRDefault="00AF106D" w:rsidP="0050223A">
            <w:pPr>
              <w:pStyle w:val="ListParagraph"/>
              <w:numPr>
                <w:ilvl w:val="0"/>
                <w:numId w:val="36"/>
              </w:numPr>
              <w:spacing w:before="60" w:after="120"/>
            </w:pPr>
            <w:r w:rsidRPr="00AF106D">
              <w:t>Notify Service Providers of the scheduled audit date</w:t>
            </w:r>
            <w:r w:rsidR="00DF7662">
              <w:t xml:space="preserve"> and audit criteria</w:t>
            </w:r>
          </w:p>
          <w:p w14:paraId="0ABD0705" w14:textId="77777777" w:rsidR="00AF106D" w:rsidRDefault="00AF106D" w:rsidP="0050223A">
            <w:pPr>
              <w:pStyle w:val="ListParagraph"/>
              <w:numPr>
                <w:ilvl w:val="0"/>
                <w:numId w:val="36"/>
              </w:numPr>
              <w:spacing w:before="60" w:after="120"/>
            </w:pPr>
            <w:r w:rsidRPr="00AF106D">
              <w:t>Discuss requirements in terms of evidence required and access to staff</w:t>
            </w:r>
          </w:p>
          <w:p w14:paraId="10C2F11C" w14:textId="77777777" w:rsidR="003106FA" w:rsidRPr="00AF106D" w:rsidRDefault="003106FA" w:rsidP="0050223A">
            <w:pPr>
              <w:pStyle w:val="ListParagraph"/>
              <w:numPr>
                <w:ilvl w:val="0"/>
                <w:numId w:val="36"/>
              </w:numPr>
              <w:spacing w:before="60" w:after="120"/>
            </w:pPr>
            <w:r>
              <w:t>Provide a letter of confirmation and intention to audit</w:t>
            </w:r>
          </w:p>
          <w:p w14:paraId="21A86BAE" w14:textId="77777777" w:rsidR="00AF106D" w:rsidRDefault="00AF106D" w:rsidP="0050223A">
            <w:pPr>
              <w:pStyle w:val="ListParagraph"/>
              <w:numPr>
                <w:ilvl w:val="0"/>
                <w:numId w:val="36"/>
              </w:numPr>
              <w:spacing w:before="60" w:after="120"/>
            </w:pPr>
            <w:r w:rsidRPr="00AF106D">
              <w:t>Provide documentation to assist the Service Provider prepare for the audit</w:t>
            </w:r>
          </w:p>
          <w:p w14:paraId="5537C801" w14:textId="77777777" w:rsidR="00DF7662" w:rsidRPr="00AF106D" w:rsidRDefault="00DF7662" w:rsidP="0050223A">
            <w:pPr>
              <w:pStyle w:val="ListParagraph"/>
              <w:numPr>
                <w:ilvl w:val="0"/>
                <w:numId w:val="36"/>
              </w:numPr>
              <w:spacing w:before="60" w:after="120"/>
            </w:pPr>
            <w:r>
              <w:lastRenderedPageBreak/>
              <w:t>Conduct the audit at an agreed time, either as a desktop or onsite.</w:t>
            </w:r>
          </w:p>
          <w:p w14:paraId="5800A760" w14:textId="77777777" w:rsidR="00AF106D" w:rsidRPr="00AF106D" w:rsidRDefault="00AF106D" w:rsidP="0050223A">
            <w:pPr>
              <w:pStyle w:val="ListParagraph"/>
              <w:numPr>
                <w:ilvl w:val="0"/>
                <w:numId w:val="36"/>
              </w:numPr>
              <w:spacing w:before="60" w:after="120"/>
            </w:pPr>
            <w:r w:rsidRPr="00AF106D">
              <w:t>Discuss initial findings of the audit to check for accuracy and address any issues raised</w:t>
            </w:r>
          </w:p>
          <w:p w14:paraId="2C2205FD" w14:textId="77777777" w:rsidR="00AF106D" w:rsidRPr="00AF106D" w:rsidRDefault="00AF106D" w:rsidP="0050223A">
            <w:pPr>
              <w:pStyle w:val="ListParagraph"/>
              <w:numPr>
                <w:ilvl w:val="0"/>
                <w:numId w:val="36"/>
              </w:numPr>
              <w:spacing w:before="60" w:after="120"/>
            </w:pPr>
            <w:r w:rsidRPr="00AF106D">
              <w:t>Provide a Final Audit Report including any actions to address any non-compliances</w:t>
            </w:r>
          </w:p>
          <w:p w14:paraId="304C74E8" w14:textId="77777777" w:rsidR="00AF106D" w:rsidRPr="00915E90" w:rsidRDefault="00AF106D" w:rsidP="0050223A">
            <w:pPr>
              <w:spacing w:before="60" w:after="120"/>
              <w:rPr>
                <w:b/>
                <w:color w:val="365F91" w:themeColor="accent1" w:themeShade="BF"/>
              </w:rPr>
            </w:pPr>
            <w:r w:rsidRPr="00915E90">
              <w:rPr>
                <w:b/>
                <w:color w:val="365F91" w:themeColor="accent1" w:themeShade="BF"/>
              </w:rPr>
              <w:t xml:space="preserve">• Service </w:t>
            </w:r>
            <w:r>
              <w:rPr>
                <w:b/>
                <w:color w:val="365F91" w:themeColor="accent1" w:themeShade="BF"/>
              </w:rPr>
              <w:t>P</w:t>
            </w:r>
            <w:r w:rsidR="004521AD">
              <w:rPr>
                <w:b/>
                <w:color w:val="365F91" w:themeColor="accent1" w:themeShade="BF"/>
              </w:rPr>
              <w:t>rovider</w:t>
            </w:r>
            <w:r w:rsidRPr="00915E90">
              <w:rPr>
                <w:b/>
                <w:color w:val="365F91" w:themeColor="accent1" w:themeShade="BF"/>
              </w:rPr>
              <w:t>s :</w:t>
            </w:r>
          </w:p>
          <w:p w14:paraId="002DB264" w14:textId="77777777" w:rsidR="00AF106D" w:rsidRPr="00113919" w:rsidRDefault="00AF106D" w:rsidP="0050223A">
            <w:pPr>
              <w:pStyle w:val="ListParagraph"/>
              <w:numPr>
                <w:ilvl w:val="0"/>
                <w:numId w:val="37"/>
              </w:numPr>
              <w:spacing w:before="60" w:after="120"/>
            </w:pPr>
            <w:r w:rsidRPr="00113919">
              <w:t xml:space="preserve">Provide </w:t>
            </w:r>
            <w:r w:rsidR="00DF7662">
              <w:t>the Departmental audit t</w:t>
            </w:r>
            <w:r w:rsidRPr="00113919">
              <w:t>eam with full and free access to staff, premises, and identified sites</w:t>
            </w:r>
            <w:r w:rsidR="00DF7662">
              <w:t xml:space="preserve"> as required</w:t>
            </w:r>
          </w:p>
          <w:p w14:paraId="74214C17" w14:textId="77777777" w:rsidR="00113919" w:rsidRPr="00113919" w:rsidRDefault="00AF106D" w:rsidP="0050223A">
            <w:pPr>
              <w:pStyle w:val="ListParagraph"/>
              <w:numPr>
                <w:ilvl w:val="0"/>
                <w:numId w:val="37"/>
              </w:numPr>
              <w:spacing w:before="60" w:after="120"/>
            </w:pPr>
            <w:r w:rsidRPr="00113919">
              <w:t xml:space="preserve">Provide documented evidence to </w:t>
            </w:r>
            <w:r w:rsidR="00113919" w:rsidRPr="00113919">
              <w:t>confirm Services are being delivered in accordance with the Agreement</w:t>
            </w:r>
          </w:p>
          <w:p w14:paraId="3C70FD2D" w14:textId="77777777" w:rsidR="00113919" w:rsidRPr="00113919" w:rsidRDefault="00113919" w:rsidP="0050223A">
            <w:pPr>
              <w:pStyle w:val="ListParagraph"/>
              <w:numPr>
                <w:ilvl w:val="0"/>
                <w:numId w:val="37"/>
              </w:numPr>
              <w:spacing w:before="60" w:after="120"/>
            </w:pPr>
            <w:r w:rsidRPr="00113919">
              <w:t xml:space="preserve">Provide facilities and assistance to the Audit Team during </w:t>
            </w:r>
            <w:r>
              <w:t xml:space="preserve">onsite </w:t>
            </w:r>
            <w:r w:rsidR="00DF7662">
              <w:t>audit</w:t>
            </w:r>
            <w:r w:rsidRPr="00113919">
              <w:t>s</w:t>
            </w:r>
          </w:p>
          <w:p w14:paraId="55AD8216" w14:textId="77777777" w:rsidR="00AF106D" w:rsidRDefault="00113919" w:rsidP="0050223A">
            <w:pPr>
              <w:pStyle w:val="ListParagraph"/>
              <w:numPr>
                <w:ilvl w:val="0"/>
                <w:numId w:val="37"/>
              </w:numPr>
              <w:spacing w:before="60" w:after="120"/>
            </w:pPr>
            <w:r w:rsidRPr="00113919">
              <w:t xml:space="preserve">Respond in reasonable timeframes to requests for access to relevant staff, sites and information to assist in the efficient conduct of the audit </w:t>
            </w:r>
          </w:p>
          <w:p w14:paraId="7C645E8E" w14:textId="77777777" w:rsidR="00113919" w:rsidRPr="00113919" w:rsidRDefault="00113919" w:rsidP="0050223A">
            <w:pPr>
              <w:pStyle w:val="ListParagraph"/>
              <w:numPr>
                <w:ilvl w:val="0"/>
                <w:numId w:val="37"/>
              </w:numPr>
              <w:spacing w:before="60" w:after="120"/>
            </w:pPr>
            <w:r>
              <w:t xml:space="preserve">Respond </w:t>
            </w:r>
            <w:r w:rsidR="005021A7">
              <w:t xml:space="preserve">in a timely manner to requests to address any non-compliances identified by auditors. </w:t>
            </w:r>
          </w:p>
        </w:tc>
        <w:tc>
          <w:tcPr>
            <w:tcW w:w="966" w:type="pct"/>
          </w:tcPr>
          <w:p w14:paraId="318C6240" w14:textId="77777777" w:rsidR="00EE5AC1" w:rsidRPr="00114F15" w:rsidRDefault="00EE5AC1" w:rsidP="0050223A">
            <w:pPr>
              <w:spacing w:before="60" w:after="120"/>
              <w:rPr>
                <w:i/>
              </w:rPr>
            </w:pPr>
            <w:r w:rsidRPr="00114F15">
              <w:rPr>
                <w:i/>
                <w:u w:val="single"/>
              </w:rPr>
              <w:lastRenderedPageBreak/>
              <w:t>Core Services</w:t>
            </w:r>
            <w:r w:rsidRPr="00114F15">
              <w:rPr>
                <w:i/>
              </w:rPr>
              <w:t xml:space="preserve">: </w:t>
            </w:r>
          </w:p>
          <w:p w14:paraId="71A2040B" w14:textId="77777777" w:rsidR="00EE5AC1" w:rsidRDefault="00964CD9" w:rsidP="0050223A">
            <w:pPr>
              <w:pStyle w:val="ListParagraph"/>
              <w:numPr>
                <w:ilvl w:val="0"/>
                <w:numId w:val="8"/>
              </w:numPr>
              <w:spacing w:before="60" w:after="120"/>
              <w:ind w:left="330" w:hanging="284"/>
            </w:pPr>
            <w:r>
              <w:t>At</w:t>
            </w:r>
            <w:r w:rsidR="00EE5AC1" w:rsidRPr="00013F43">
              <w:t xml:space="preserve"> least one</w:t>
            </w:r>
            <w:r w:rsidR="00EE5AC1">
              <w:t xml:space="preserve"> scheduled desktop audit in year on</w:t>
            </w:r>
            <w:r>
              <w:t>e</w:t>
            </w:r>
            <w:r w:rsidR="000D41AD">
              <w:t xml:space="preserve"> for all Service Providers</w:t>
            </w:r>
          </w:p>
          <w:p w14:paraId="6F820F2E" w14:textId="77777777" w:rsidR="00EE5AC1" w:rsidRDefault="003106FA" w:rsidP="0050223A">
            <w:pPr>
              <w:pStyle w:val="ListParagraph"/>
              <w:numPr>
                <w:ilvl w:val="0"/>
                <w:numId w:val="8"/>
              </w:numPr>
              <w:spacing w:before="60" w:after="120"/>
              <w:ind w:left="330" w:hanging="284"/>
            </w:pPr>
            <w:r>
              <w:t>Additional site audit/s as required, if triggered</w:t>
            </w:r>
            <w:r w:rsidR="0059163F">
              <w:t xml:space="preserve"> </w:t>
            </w:r>
          </w:p>
          <w:p w14:paraId="6B8D5B35" w14:textId="77777777" w:rsidR="00EE5AC1" w:rsidRPr="00114F15" w:rsidRDefault="00EE5AC1" w:rsidP="0050223A">
            <w:pPr>
              <w:spacing w:before="60" w:after="120"/>
              <w:ind w:left="46"/>
              <w:rPr>
                <w:i/>
              </w:rPr>
            </w:pPr>
            <w:r w:rsidRPr="00114F15">
              <w:rPr>
                <w:i/>
                <w:u w:val="single"/>
              </w:rPr>
              <w:t>Project Services</w:t>
            </w:r>
            <w:r w:rsidRPr="00114F15">
              <w:rPr>
                <w:i/>
              </w:rPr>
              <w:t xml:space="preserve">: </w:t>
            </w:r>
          </w:p>
          <w:p w14:paraId="28F0F811" w14:textId="77777777" w:rsidR="00EE5AC1" w:rsidRDefault="00EE5AC1" w:rsidP="0050223A">
            <w:pPr>
              <w:pStyle w:val="ListParagraph"/>
              <w:numPr>
                <w:ilvl w:val="0"/>
                <w:numId w:val="8"/>
              </w:numPr>
              <w:spacing w:before="60" w:after="120"/>
              <w:ind w:left="330" w:hanging="284"/>
            </w:pPr>
            <w:r>
              <w:t>At least one scheduled site audit during the project period</w:t>
            </w:r>
            <w:r w:rsidR="000D41AD">
              <w:t xml:space="preserve"> for all Service Providers</w:t>
            </w:r>
          </w:p>
          <w:p w14:paraId="3F6968BC" w14:textId="77777777" w:rsidR="00EE5AC1" w:rsidRPr="00013F43" w:rsidRDefault="003106FA" w:rsidP="0050223A">
            <w:pPr>
              <w:pStyle w:val="ListParagraph"/>
              <w:numPr>
                <w:ilvl w:val="0"/>
                <w:numId w:val="8"/>
              </w:numPr>
              <w:spacing w:before="60" w:after="120"/>
              <w:ind w:left="330" w:hanging="284"/>
            </w:pPr>
            <w:r>
              <w:t>Additional s</w:t>
            </w:r>
            <w:r w:rsidR="00EE5AC1">
              <w:t>ite audit/s as required</w:t>
            </w:r>
            <w:r>
              <w:t>, if triggered</w:t>
            </w:r>
          </w:p>
        </w:tc>
        <w:tc>
          <w:tcPr>
            <w:tcW w:w="942" w:type="pct"/>
          </w:tcPr>
          <w:p w14:paraId="49E3D5DA" w14:textId="77777777" w:rsidR="00EE5AC1" w:rsidRDefault="00EE5AC1" w:rsidP="0050223A">
            <w:pPr>
              <w:pStyle w:val="ListParagraph"/>
              <w:numPr>
                <w:ilvl w:val="0"/>
                <w:numId w:val="8"/>
              </w:numPr>
              <w:spacing w:before="60" w:after="120"/>
              <w:ind w:left="330" w:hanging="284"/>
            </w:pPr>
            <w:r>
              <w:t xml:space="preserve">Scheduled </w:t>
            </w:r>
            <w:r w:rsidR="000A024A">
              <w:t>audits</w:t>
            </w:r>
          </w:p>
          <w:p w14:paraId="448FF911" w14:textId="77777777" w:rsidR="00EE5AC1" w:rsidRDefault="00EE5AC1" w:rsidP="0050223A">
            <w:pPr>
              <w:pStyle w:val="ListParagraph"/>
              <w:numPr>
                <w:ilvl w:val="0"/>
                <w:numId w:val="8"/>
              </w:numPr>
              <w:spacing w:before="60" w:after="120"/>
              <w:ind w:left="330" w:hanging="284"/>
            </w:pPr>
            <w:r>
              <w:t>Adverse findings during compliance checks or contract management processes</w:t>
            </w:r>
          </w:p>
          <w:p w14:paraId="6252D817" w14:textId="77777777" w:rsidR="00EE5AC1" w:rsidRDefault="00EE5AC1" w:rsidP="0050223A">
            <w:pPr>
              <w:pStyle w:val="ListParagraph"/>
              <w:numPr>
                <w:ilvl w:val="0"/>
                <w:numId w:val="8"/>
              </w:numPr>
              <w:spacing w:before="60" w:after="120"/>
              <w:ind w:left="330" w:hanging="284"/>
            </w:pPr>
            <w:r>
              <w:t>Requested by Service Providers for continual improvement</w:t>
            </w:r>
          </w:p>
          <w:p w14:paraId="1F38DF2C" w14:textId="77777777" w:rsidR="000A024A" w:rsidRDefault="000A024A" w:rsidP="0050223A">
            <w:pPr>
              <w:pStyle w:val="ListParagraph"/>
              <w:numPr>
                <w:ilvl w:val="0"/>
                <w:numId w:val="8"/>
              </w:numPr>
              <w:spacing w:before="60" w:after="120"/>
              <w:ind w:left="330" w:hanging="284"/>
            </w:pPr>
            <w:r>
              <w:t xml:space="preserve">External advice indicating a potential non-compliance or breach of Services Agreement. </w:t>
            </w:r>
          </w:p>
          <w:p w14:paraId="63D65547" w14:textId="77777777" w:rsidR="00B44C02" w:rsidRPr="00624BBC" w:rsidRDefault="00B44C02" w:rsidP="0050223A">
            <w:pPr>
              <w:pStyle w:val="ListParagraph"/>
              <w:numPr>
                <w:ilvl w:val="0"/>
                <w:numId w:val="8"/>
              </w:numPr>
              <w:spacing w:before="60" w:after="120"/>
              <w:ind w:left="330" w:hanging="284"/>
            </w:pPr>
            <w:r>
              <w:t>Follow-up to confirm adverse findings of a previous audit have been addressed</w:t>
            </w:r>
          </w:p>
        </w:tc>
        <w:tc>
          <w:tcPr>
            <w:tcW w:w="614" w:type="pct"/>
          </w:tcPr>
          <w:p w14:paraId="30926AC6" w14:textId="77777777" w:rsidR="00EE5AC1" w:rsidRDefault="00EE5AC1" w:rsidP="0050223A">
            <w:pPr>
              <w:spacing w:before="60" w:after="120"/>
            </w:pPr>
            <w:r>
              <w:t xml:space="preserve">2/3 – </w:t>
            </w:r>
            <w:r w:rsidR="00353D15">
              <w:t>Departments</w:t>
            </w:r>
          </w:p>
          <w:p w14:paraId="7C16E992" w14:textId="77777777" w:rsidR="00EE5AC1" w:rsidRDefault="00EE5AC1" w:rsidP="0050223A">
            <w:pPr>
              <w:spacing w:before="60" w:after="120"/>
              <w:jc w:val="center"/>
            </w:pPr>
          </w:p>
        </w:tc>
      </w:tr>
      <w:tr w:rsidR="00D25D01" w14:paraId="1526064F" w14:textId="77777777" w:rsidTr="002A2CD1">
        <w:trPr>
          <w:cnfStyle w:val="000000010000" w:firstRow="0" w:lastRow="0" w:firstColumn="0" w:lastColumn="0" w:oddVBand="0" w:evenVBand="0" w:oddHBand="0" w:evenHBand="1" w:firstRowFirstColumn="0" w:firstRowLastColumn="0" w:lastRowFirstColumn="0" w:lastRowLastColumn="0"/>
        </w:trPr>
        <w:tc>
          <w:tcPr>
            <w:tcW w:w="506" w:type="pct"/>
          </w:tcPr>
          <w:p w14:paraId="50C865B0" w14:textId="77777777" w:rsidR="00EE5AC1" w:rsidRDefault="00EE5AC1" w:rsidP="0050223A">
            <w:pPr>
              <w:spacing w:before="60" w:after="120"/>
            </w:pPr>
            <w:r>
              <w:t xml:space="preserve">Investigations </w:t>
            </w:r>
          </w:p>
        </w:tc>
        <w:tc>
          <w:tcPr>
            <w:tcW w:w="1972" w:type="pct"/>
          </w:tcPr>
          <w:p w14:paraId="32F1E89B" w14:textId="77777777" w:rsidR="005E69B0" w:rsidRPr="00563D9A" w:rsidRDefault="004521AD" w:rsidP="0050223A">
            <w:pPr>
              <w:spacing w:before="60" w:after="120"/>
            </w:pPr>
            <w:r>
              <w:rPr>
                <w:b/>
                <w:color w:val="365F91" w:themeColor="accent1" w:themeShade="BF"/>
              </w:rPr>
              <w:t>• The Departments</w:t>
            </w:r>
            <w:r w:rsidR="005E69B0" w:rsidRPr="00563D9A">
              <w:rPr>
                <w:b/>
                <w:color w:val="365F91" w:themeColor="accent1" w:themeShade="BF"/>
              </w:rPr>
              <w:t>:</w:t>
            </w:r>
          </w:p>
          <w:p w14:paraId="057549B8" w14:textId="77777777" w:rsidR="005E69B0" w:rsidRPr="00563D9A" w:rsidRDefault="005E69B0" w:rsidP="0050223A">
            <w:pPr>
              <w:spacing w:before="60" w:after="120"/>
            </w:pPr>
            <w:r w:rsidRPr="00563D9A">
              <w:t>I</w:t>
            </w:r>
            <w:r w:rsidR="00EE5AC1" w:rsidRPr="00563D9A">
              <w:t>nvestigation</w:t>
            </w:r>
            <w:r w:rsidRPr="00563D9A">
              <w:t>s</w:t>
            </w:r>
            <w:r w:rsidR="00EE5AC1" w:rsidRPr="00563D9A">
              <w:t xml:space="preserve"> may be instigated where anomalies</w:t>
            </w:r>
            <w:r w:rsidRPr="00563D9A">
              <w:t xml:space="preserve"> are identified</w:t>
            </w:r>
            <w:r w:rsidR="008D5814" w:rsidRPr="00563D9A">
              <w:t xml:space="preserve"> in delivery or provision of S</w:t>
            </w:r>
            <w:r w:rsidR="00EE5AC1" w:rsidRPr="00563D9A">
              <w:t xml:space="preserve">ervices. Matters that may be investigated include breaches of the Services Agreement or legislation, </w:t>
            </w:r>
            <w:r w:rsidR="00A56E04" w:rsidRPr="00563D9A">
              <w:t xml:space="preserve">regulations, </w:t>
            </w:r>
            <w:r w:rsidR="00EE5AC1" w:rsidRPr="00563D9A">
              <w:t xml:space="preserve">allegations of fraud or non-compliance. The </w:t>
            </w:r>
            <w:r w:rsidR="00B44C02" w:rsidRPr="00563D9A">
              <w:t xml:space="preserve">Biodiversity Conservation Division would refer the matter to the </w:t>
            </w:r>
            <w:proofErr w:type="spellStart"/>
            <w:r w:rsidR="00B44C02" w:rsidRPr="00563D9A">
              <w:t>D</w:t>
            </w:r>
            <w:r w:rsidR="008648F8">
              <w:t>epartments</w:t>
            </w:r>
            <w:proofErr w:type="spellEnd"/>
            <w:r w:rsidR="008648F8">
              <w:t xml:space="preserve"> </w:t>
            </w:r>
            <w:r w:rsidR="00B44C02" w:rsidRPr="00563D9A">
              <w:t xml:space="preserve">Office of Compliance who </w:t>
            </w:r>
            <w:r w:rsidR="00EE5AC1" w:rsidRPr="00563D9A">
              <w:t xml:space="preserve">have </w:t>
            </w:r>
            <w:r w:rsidR="00A56E04" w:rsidRPr="00563D9A">
              <w:t xml:space="preserve">policies and </w:t>
            </w:r>
            <w:r w:rsidR="00EE5AC1" w:rsidRPr="00563D9A">
              <w:t>processes in place for conducting investigations</w:t>
            </w:r>
            <w:r w:rsidR="00A56E04" w:rsidRPr="00563D9A">
              <w:t xml:space="preserve"> internally or, if necessary, accessing external investigators.</w:t>
            </w:r>
          </w:p>
          <w:p w14:paraId="7F99CF4A" w14:textId="77777777" w:rsidR="005E69B0" w:rsidRPr="00563D9A" w:rsidRDefault="004521AD" w:rsidP="0050223A">
            <w:pPr>
              <w:spacing w:before="60" w:after="120"/>
              <w:rPr>
                <w:b/>
                <w:color w:val="365F91" w:themeColor="accent1" w:themeShade="BF"/>
              </w:rPr>
            </w:pPr>
            <w:r>
              <w:rPr>
                <w:b/>
                <w:color w:val="365F91" w:themeColor="accent1" w:themeShade="BF"/>
              </w:rPr>
              <w:t>• Service Provider</w:t>
            </w:r>
            <w:r w:rsidR="005E69B0" w:rsidRPr="00563D9A">
              <w:rPr>
                <w:b/>
                <w:color w:val="365F91" w:themeColor="accent1" w:themeShade="BF"/>
              </w:rPr>
              <w:t>s:</w:t>
            </w:r>
          </w:p>
          <w:p w14:paraId="4AB2339B" w14:textId="77777777" w:rsidR="00EE5AC1" w:rsidRPr="00563D9A" w:rsidRDefault="005E69B0" w:rsidP="00563D9A">
            <w:pPr>
              <w:spacing w:before="60" w:after="120"/>
            </w:pPr>
            <w:r w:rsidRPr="00563D9A">
              <w:t>Whe</w:t>
            </w:r>
            <w:r w:rsidR="00670C66" w:rsidRPr="00563D9A">
              <w:t>re</w:t>
            </w:r>
            <w:r w:rsidRPr="00563D9A">
              <w:t xml:space="preserve"> a</w:t>
            </w:r>
            <w:r w:rsidR="009819F6" w:rsidRPr="00563D9A">
              <w:t xml:space="preserve"> Departmental</w:t>
            </w:r>
            <w:r w:rsidRPr="00563D9A">
              <w:t xml:space="preserve"> investigation</w:t>
            </w:r>
            <w:r w:rsidR="00563D9A" w:rsidRPr="00563D9A">
              <w:t xml:space="preserve"> may b</w:t>
            </w:r>
            <w:r w:rsidR="004521AD">
              <w:t>e triggered, a Service Provider</w:t>
            </w:r>
            <w:r w:rsidR="008648F8">
              <w:t>’</w:t>
            </w:r>
            <w:r w:rsidR="00563D9A" w:rsidRPr="00563D9A">
              <w:t xml:space="preserve">s </w:t>
            </w:r>
            <w:r w:rsidR="00850E4E" w:rsidRPr="00563D9A">
              <w:t xml:space="preserve">cooperation </w:t>
            </w:r>
            <w:r w:rsidR="00563D9A" w:rsidRPr="00563D9A">
              <w:t>would</w:t>
            </w:r>
            <w:r w:rsidR="00850E4E" w:rsidRPr="00563D9A">
              <w:t xml:space="preserve"> be sought</w:t>
            </w:r>
            <w:r w:rsidR="00563D9A" w:rsidRPr="00563D9A">
              <w:t>.</w:t>
            </w:r>
          </w:p>
        </w:tc>
        <w:tc>
          <w:tcPr>
            <w:tcW w:w="966" w:type="pct"/>
          </w:tcPr>
          <w:p w14:paraId="3172A68A" w14:textId="77777777" w:rsidR="00B44C02" w:rsidRPr="00B44C02" w:rsidRDefault="00EE5AC1" w:rsidP="0050223A">
            <w:pPr>
              <w:pStyle w:val="ListParagraph"/>
              <w:numPr>
                <w:ilvl w:val="0"/>
                <w:numId w:val="8"/>
              </w:numPr>
              <w:spacing w:before="60" w:after="120"/>
              <w:ind w:left="330" w:hanging="284"/>
            </w:pPr>
            <w:r>
              <w:t>As needed in response to triggers.</w:t>
            </w:r>
          </w:p>
        </w:tc>
        <w:tc>
          <w:tcPr>
            <w:tcW w:w="942" w:type="pct"/>
          </w:tcPr>
          <w:p w14:paraId="166BBED2" w14:textId="77777777" w:rsidR="00EE5AC1" w:rsidRDefault="00EE5AC1" w:rsidP="0050223A">
            <w:pPr>
              <w:pStyle w:val="ListParagraph"/>
              <w:numPr>
                <w:ilvl w:val="0"/>
                <w:numId w:val="8"/>
              </w:numPr>
              <w:spacing w:before="60" w:after="120"/>
              <w:ind w:left="330" w:hanging="284"/>
            </w:pPr>
            <w:r>
              <w:t>Adverse findings during compliance check, audit or Departmental contract management processes</w:t>
            </w:r>
          </w:p>
          <w:p w14:paraId="3E844B17" w14:textId="77777777" w:rsidR="00EE5AC1" w:rsidRDefault="00EE5AC1" w:rsidP="0050223A">
            <w:pPr>
              <w:pStyle w:val="ListParagraph"/>
              <w:numPr>
                <w:ilvl w:val="0"/>
                <w:numId w:val="8"/>
              </w:numPr>
              <w:spacing w:before="60" w:after="120"/>
              <w:ind w:left="330" w:hanging="284"/>
            </w:pPr>
            <w:r>
              <w:t>Work Health and Safety incident investigation</w:t>
            </w:r>
          </w:p>
          <w:p w14:paraId="74419229" w14:textId="77777777" w:rsidR="00C874BE" w:rsidRDefault="00C874BE" w:rsidP="0050223A">
            <w:pPr>
              <w:pStyle w:val="ListParagraph"/>
              <w:numPr>
                <w:ilvl w:val="0"/>
                <w:numId w:val="8"/>
              </w:numPr>
              <w:spacing w:before="60" w:after="120"/>
              <w:ind w:left="330" w:hanging="284"/>
            </w:pPr>
            <w:r>
              <w:t>Notification of compliance issues by the Service Provider / external sources</w:t>
            </w:r>
          </w:p>
        </w:tc>
        <w:tc>
          <w:tcPr>
            <w:tcW w:w="614" w:type="pct"/>
          </w:tcPr>
          <w:p w14:paraId="129122D0" w14:textId="77777777" w:rsidR="00EE5AC1" w:rsidRDefault="00EE5AC1" w:rsidP="0050223A">
            <w:pPr>
              <w:spacing w:before="60" w:after="120"/>
            </w:pPr>
            <w:r>
              <w:t xml:space="preserve">2/3 – </w:t>
            </w:r>
            <w:r w:rsidR="00353D15">
              <w:t>Departments</w:t>
            </w:r>
          </w:p>
          <w:p w14:paraId="64F13909" w14:textId="77777777" w:rsidR="00EE5AC1" w:rsidRDefault="00EE5AC1" w:rsidP="0050223A">
            <w:pPr>
              <w:spacing w:before="60" w:after="120"/>
            </w:pPr>
          </w:p>
        </w:tc>
      </w:tr>
      <w:tr w:rsidR="00D25D01" w14:paraId="638445C9" w14:textId="77777777" w:rsidTr="002A2CD1">
        <w:trPr>
          <w:cnfStyle w:val="000000100000" w:firstRow="0" w:lastRow="0" w:firstColumn="0" w:lastColumn="0" w:oddVBand="0" w:evenVBand="0" w:oddHBand="1" w:evenHBand="0" w:firstRowFirstColumn="0" w:firstRowLastColumn="0" w:lastRowFirstColumn="0" w:lastRowLastColumn="0"/>
        </w:trPr>
        <w:tc>
          <w:tcPr>
            <w:tcW w:w="506" w:type="pct"/>
          </w:tcPr>
          <w:p w14:paraId="6ECCB7B9" w14:textId="77777777" w:rsidR="00EE5AC1" w:rsidRDefault="00EE5AC1" w:rsidP="0050223A">
            <w:pPr>
              <w:spacing w:before="60" w:after="120"/>
            </w:pPr>
            <w:r>
              <w:t>Program reviews</w:t>
            </w:r>
          </w:p>
        </w:tc>
        <w:tc>
          <w:tcPr>
            <w:tcW w:w="1972" w:type="pct"/>
          </w:tcPr>
          <w:p w14:paraId="3EB128CC" w14:textId="77777777" w:rsidR="00670C66" w:rsidRDefault="004521AD" w:rsidP="0050223A">
            <w:pPr>
              <w:spacing w:before="60" w:after="120"/>
            </w:pPr>
            <w:r>
              <w:rPr>
                <w:b/>
                <w:color w:val="365F91" w:themeColor="accent1" w:themeShade="BF"/>
              </w:rPr>
              <w:t>• The Departments</w:t>
            </w:r>
            <w:r w:rsidR="00670C66" w:rsidRPr="00915E90">
              <w:rPr>
                <w:b/>
                <w:color w:val="365F91" w:themeColor="accent1" w:themeShade="BF"/>
              </w:rPr>
              <w:t>:</w:t>
            </w:r>
          </w:p>
          <w:p w14:paraId="2D76E5DD" w14:textId="77777777" w:rsidR="009819F6" w:rsidRDefault="009819F6" w:rsidP="0050223A">
            <w:pPr>
              <w:spacing w:before="60" w:after="120"/>
            </w:pPr>
            <w:r>
              <w:t>Regular reviews, monitoring, and evaluation activities may be undertaken by the Departments for purposes including:</w:t>
            </w:r>
          </w:p>
          <w:p w14:paraId="455D1B43" w14:textId="77777777" w:rsidR="009819F6" w:rsidRPr="00233EB9" w:rsidRDefault="009819F6" w:rsidP="00233EB9">
            <w:pPr>
              <w:pStyle w:val="ListParagraph"/>
              <w:numPr>
                <w:ilvl w:val="0"/>
                <w:numId w:val="40"/>
              </w:numPr>
              <w:spacing w:before="60" w:after="120"/>
            </w:pPr>
            <w:r w:rsidRPr="00233EB9">
              <w:t>Compliance checks;</w:t>
            </w:r>
          </w:p>
          <w:p w14:paraId="1FEBBA39" w14:textId="77777777" w:rsidR="00233EB9" w:rsidRPr="00233EB9" w:rsidRDefault="009819F6" w:rsidP="00233EB9">
            <w:pPr>
              <w:pStyle w:val="ListParagraph"/>
              <w:numPr>
                <w:ilvl w:val="0"/>
                <w:numId w:val="40"/>
              </w:numPr>
              <w:spacing w:before="60" w:after="120"/>
            </w:pPr>
            <w:r w:rsidRPr="00233EB9">
              <w:t xml:space="preserve">Quality assurance and audit; and </w:t>
            </w:r>
          </w:p>
          <w:p w14:paraId="3153F13A" w14:textId="77777777" w:rsidR="009819F6" w:rsidRPr="00233EB9" w:rsidRDefault="00233EB9" w:rsidP="00233EB9">
            <w:pPr>
              <w:pStyle w:val="ListParagraph"/>
              <w:numPr>
                <w:ilvl w:val="0"/>
                <w:numId w:val="40"/>
              </w:numPr>
              <w:spacing w:before="60" w:after="120"/>
            </w:pPr>
            <w:r w:rsidRPr="00233EB9">
              <w:t>E</w:t>
            </w:r>
            <w:r w:rsidR="009819F6" w:rsidRPr="00233EB9">
              <w:t>valuation of Services</w:t>
            </w:r>
          </w:p>
          <w:p w14:paraId="7C5A13B6" w14:textId="77777777" w:rsidR="00EE5AC1" w:rsidRDefault="00233EB9" w:rsidP="0050223A">
            <w:pPr>
              <w:spacing w:before="60" w:after="120"/>
            </w:pPr>
            <w:r>
              <w:t>Program and departmental reviews contribute</w:t>
            </w:r>
            <w:r w:rsidR="00EE5AC1">
              <w:t xml:space="preserve"> to a broader continual improvement process</w:t>
            </w:r>
            <w:r w:rsidR="00462A63">
              <w:t>.</w:t>
            </w:r>
            <w:r w:rsidR="00EE5AC1">
              <w:t xml:space="preserve"> </w:t>
            </w:r>
            <w:r w:rsidR="00462A63">
              <w:t>A</w:t>
            </w:r>
            <w:r w:rsidR="00EE5AC1">
              <w:t xml:space="preserve"> review </w:t>
            </w:r>
            <w:r w:rsidR="00462A63">
              <w:t xml:space="preserve">of Regional Land Partnerships </w:t>
            </w:r>
            <w:r w:rsidR="00EE5AC1">
              <w:t xml:space="preserve">will be conducted mid-way through and at the end of the program to determine effectiveness in delivering stated outcomes. Participation of Service Providers will inform these reviews. </w:t>
            </w:r>
          </w:p>
          <w:p w14:paraId="26B31E8F" w14:textId="77777777" w:rsidR="00850E4E" w:rsidRPr="00915E90" w:rsidRDefault="00850E4E" w:rsidP="00850E4E">
            <w:pPr>
              <w:spacing w:before="60" w:after="120"/>
              <w:rPr>
                <w:b/>
                <w:color w:val="365F91" w:themeColor="accent1" w:themeShade="BF"/>
              </w:rPr>
            </w:pPr>
            <w:r w:rsidRPr="00915E90">
              <w:rPr>
                <w:b/>
                <w:color w:val="365F91" w:themeColor="accent1" w:themeShade="BF"/>
              </w:rPr>
              <w:t xml:space="preserve">• Service </w:t>
            </w:r>
            <w:r>
              <w:rPr>
                <w:b/>
                <w:color w:val="365F91" w:themeColor="accent1" w:themeShade="BF"/>
              </w:rPr>
              <w:t>P</w:t>
            </w:r>
            <w:r w:rsidR="004521AD">
              <w:rPr>
                <w:b/>
                <w:color w:val="365F91" w:themeColor="accent1" w:themeShade="BF"/>
              </w:rPr>
              <w:t>rovider</w:t>
            </w:r>
            <w:r w:rsidRPr="00915E90">
              <w:rPr>
                <w:b/>
                <w:color w:val="365F91" w:themeColor="accent1" w:themeShade="BF"/>
              </w:rPr>
              <w:t>s:</w:t>
            </w:r>
          </w:p>
          <w:p w14:paraId="40A82E17" w14:textId="77777777" w:rsidR="00850E4E" w:rsidRDefault="00233EB9" w:rsidP="00233EB9">
            <w:pPr>
              <w:spacing w:before="60" w:after="120"/>
            </w:pPr>
            <w:r w:rsidRPr="00233EB9">
              <w:t>A</w:t>
            </w:r>
            <w:r w:rsidR="00850E4E" w:rsidRPr="00233EB9">
              <w:t xml:space="preserve"> </w:t>
            </w:r>
            <w:r w:rsidRPr="00233EB9">
              <w:t xml:space="preserve">Departmental program </w:t>
            </w:r>
            <w:r w:rsidR="00850E4E" w:rsidRPr="00233EB9">
              <w:t xml:space="preserve">review </w:t>
            </w:r>
            <w:r w:rsidRPr="00233EB9">
              <w:t xml:space="preserve">may seek a Service </w:t>
            </w:r>
            <w:r w:rsidR="004521AD">
              <w:t>Providers</w:t>
            </w:r>
            <w:r w:rsidRPr="00233EB9">
              <w:t xml:space="preserve"> cooperation</w:t>
            </w:r>
            <w:r>
              <w:t xml:space="preserve"> for the following:</w:t>
            </w:r>
          </w:p>
          <w:p w14:paraId="0EFCEF8A" w14:textId="77777777" w:rsidR="00233EB9" w:rsidRPr="00233EB9" w:rsidRDefault="00233EB9" w:rsidP="00233EB9">
            <w:pPr>
              <w:pStyle w:val="ListParagraph"/>
              <w:numPr>
                <w:ilvl w:val="0"/>
                <w:numId w:val="41"/>
              </w:numPr>
              <w:spacing w:before="60" w:after="120"/>
            </w:pPr>
            <w:r>
              <w:t>Allowing for p</w:t>
            </w:r>
            <w:r w:rsidRPr="00233EB9">
              <w:t xml:space="preserve">ersonnel </w:t>
            </w:r>
            <w:r>
              <w:t>to</w:t>
            </w:r>
            <w:r w:rsidRPr="00233EB9">
              <w:t xml:space="preserve"> interviewed;</w:t>
            </w:r>
          </w:p>
          <w:p w14:paraId="187E4A0A" w14:textId="77777777" w:rsidR="00233EB9" w:rsidRPr="00233EB9" w:rsidRDefault="00233EB9" w:rsidP="00233EB9">
            <w:pPr>
              <w:pStyle w:val="ListParagraph"/>
              <w:numPr>
                <w:ilvl w:val="0"/>
                <w:numId w:val="41"/>
              </w:numPr>
              <w:spacing w:before="60" w:after="120"/>
            </w:pPr>
            <w:r w:rsidRPr="00233EB9">
              <w:t>Access to pr</w:t>
            </w:r>
            <w:r>
              <w:t>emises, records, and personnel;</w:t>
            </w:r>
          </w:p>
          <w:p w14:paraId="3FEB315B" w14:textId="77777777" w:rsidR="00233EB9" w:rsidRDefault="00233EB9" w:rsidP="00233EB9">
            <w:pPr>
              <w:pStyle w:val="ListParagraph"/>
              <w:numPr>
                <w:ilvl w:val="0"/>
                <w:numId w:val="41"/>
              </w:numPr>
              <w:spacing w:before="60" w:after="120"/>
            </w:pPr>
            <w:r w:rsidRPr="00233EB9">
              <w:t>Facilitating access to sites where Services will or have been perform</w:t>
            </w:r>
            <w:r>
              <w:t>ed;</w:t>
            </w:r>
          </w:p>
          <w:p w14:paraId="3CD15417" w14:textId="77777777" w:rsidR="00233EB9" w:rsidRDefault="00233EB9" w:rsidP="00233EB9">
            <w:pPr>
              <w:pStyle w:val="ListParagraph"/>
              <w:numPr>
                <w:ilvl w:val="0"/>
                <w:numId w:val="41"/>
              </w:numPr>
              <w:spacing w:before="60" w:after="120"/>
            </w:pPr>
            <w:r>
              <w:t>Participation in the review, research, or other associated activities;</w:t>
            </w:r>
          </w:p>
          <w:p w14:paraId="4593BCA3" w14:textId="77777777" w:rsidR="00233EB9" w:rsidRDefault="00233EB9" w:rsidP="00233EB9">
            <w:pPr>
              <w:pStyle w:val="ListParagraph"/>
              <w:numPr>
                <w:ilvl w:val="0"/>
                <w:numId w:val="41"/>
              </w:numPr>
              <w:spacing w:before="60" w:after="120"/>
            </w:pPr>
            <w:r>
              <w:t>Fully implement any recommendations in specified timeframes that may arise from a review; and</w:t>
            </w:r>
          </w:p>
          <w:p w14:paraId="4FB8A197" w14:textId="77777777" w:rsidR="00233EB9" w:rsidRDefault="00233EB9" w:rsidP="00563D9A">
            <w:pPr>
              <w:pStyle w:val="ListParagraph"/>
              <w:numPr>
                <w:ilvl w:val="0"/>
                <w:numId w:val="41"/>
              </w:numPr>
              <w:spacing w:before="60" w:after="120"/>
            </w:pPr>
            <w:r>
              <w:t>To bear its own costs in relation to the review.</w:t>
            </w:r>
          </w:p>
        </w:tc>
        <w:tc>
          <w:tcPr>
            <w:tcW w:w="966" w:type="pct"/>
          </w:tcPr>
          <w:p w14:paraId="791BF8AA" w14:textId="77777777" w:rsidR="00EE5AC1" w:rsidRDefault="00EE5AC1" w:rsidP="0050223A">
            <w:pPr>
              <w:pStyle w:val="ListParagraph"/>
              <w:numPr>
                <w:ilvl w:val="0"/>
                <w:numId w:val="8"/>
              </w:numPr>
              <w:spacing w:before="60" w:after="120"/>
              <w:ind w:left="330" w:hanging="284"/>
            </w:pPr>
            <w:r>
              <w:t>Mid-program</w:t>
            </w:r>
          </w:p>
          <w:p w14:paraId="411F97A8" w14:textId="77777777" w:rsidR="00EE5AC1" w:rsidRPr="00F7603B" w:rsidRDefault="00EE5AC1" w:rsidP="0050223A">
            <w:pPr>
              <w:pStyle w:val="ListParagraph"/>
              <w:numPr>
                <w:ilvl w:val="0"/>
                <w:numId w:val="8"/>
              </w:numPr>
              <w:spacing w:before="60" w:after="120"/>
              <w:ind w:left="330" w:hanging="284"/>
            </w:pPr>
            <w:r>
              <w:t>End of program</w:t>
            </w:r>
          </w:p>
        </w:tc>
        <w:tc>
          <w:tcPr>
            <w:tcW w:w="942" w:type="pct"/>
          </w:tcPr>
          <w:p w14:paraId="7409D248" w14:textId="77777777" w:rsidR="00EE5AC1" w:rsidRPr="003729A1" w:rsidRDefault="00EE5AC1" w:rsidP="0050223A">
            <w:pPr>
              <w:pStyle w:val="ListParagraph"/>
              <w:numPr>
                <w:ilvl w:val="0"/>
                <w:numId w:val="8"/>
              </w:numPr>
              <w:spacing w:before="60" w:after="120"/>
              <w:ind w:left="330" w:hanging="284"/>
            </w:pPr>
            <w:r>
              <w:t>Scheduled</w:t>
            </w:r>
          </w:p>
        </w:tc>
        <w:tc>
          <w:tcPr>
            <w:tcW w:w="614" w:type="pct"/>
          </w:tcPr>
          <w:p w14:paraId="37D51496" w14:textId="77777777" w:rsidR="00EE5AC1" w:rsidRDefault="00EE5AC1" w:rsidP="0050223A">
            <w:pPr>
              <w:spacing w:before="60" w:after="120"/>
            </w:pPr>
            <w:r>
              <w:t xml:space="preserve">3 – </w:t>
            </w:r>
            <w:r w:rsidR="00353D15">
              <w:t>Departments</w:t>
            </w:r>
          </w:p>
          <w:p w14:paraId="04837EDC" w14:textId="77777777" w:rsidR="00EE5AC1" w:rsidRDefault="00EE5AC1" w:rsidP="0050223A">
            <w:pPr>
              <w:spacing w:before="60" w:after="120"/>
            </w:pPr>
            <w:r>
              <w:t>4 – External</w:t>
            </w:r>
          </w:p>
          <w:p w14:paraId="43A67286" w14:textId="77777777" w:rsidR="00EE5AC1" w:rsidRDefault="00EE5AC1" w:rsidP="0050223A">
            <w:pPr>
              <w:spacing w:before="60" w:after="120"/>
              <w:jc w:val="center"/>
            </w:pPr>
          </w:p>
        </w:tc>
      </w:tr>
      <w:tr w:rsidR="00D25D01" w14:paraId="2B113D0E" w14:textId="77777777" w:rsidTr="002A2CD1">
        <w:trPr>
          <w:cnfStyle w:val="000000010000" w:firstRow="0" w:lastRow="0" w:firstColumn="0" w:lastColumn="0" w:oddVBand="0" w:evenVBand="0" w:oddHBand="0" w:evenHBand="1" w:firstRowFirstColumn="0" w:firstRowLastColumn="0" w:lastRowFirstColumn="0" w:lastRowLastColumn="0"/>
        </w:trPr>
        <w:tc>
          <w:tcPr>
            <w:tcW w:w="506" w:type="pct"/>
          </w:tcPr>
          <w:p w14:paraId="64761851" w14:textId="77777777" w:rsidR="00EE5AC1" w:rsidRDefault="00EE5AC1" w:rsidP="0050223A">
            <w:pPr>
              <w:spacing w:before="60" w:after="120"/>
            </w:pPr>
            <w:r>
              <w:t>Internal audits</w:t>
            </w:r>
          </w:p>
        </w:tc>
        <w:tc>
          <w:tcPr>
            <w:tcW w:w="1972" w:type="pct"/>
          </w:tcPr>
          <w:p w14:paraId="218FD5A3" w14:textId="77777777" w:rsidR="00670C66" w:rsidRDefault="004521AD" w:rsidP="0050223A">
            <w:pPr>
              <w:spacing w:before="60" w:after="120"/>
            </w:pPr>
            <w:r>
              <w:rPr>
                <w:b/>
                <w:color w:val="365F91" w:themeColor="accent1" w:themeShade="BF"/>
              </w:rPr>
              <w:t>• The Departments</w:t>
            </w:r>
            <w:r w:rsidR="00670C66" w:rsidRPr="00915E90">
              <w:rPr>
                <w:b/>
                <w:color w:val="365F91" w:themeColor="accent1" w:themeShade="BF"/>
              </w:rPr>
              <w:t>:</w:t>
            </w:r>
          </w:p>
          <w:p w14:paraId="26038B82" w14:textId="77777777" w:rsidR="00EE5AC1" w:rsidRDefault="00EE5AC1" w:rsidP="0050223A">
            <w:pPr>
              <w:spacing w:before="60" w:after="120"/>
            </w:pPr>
            <w:r>
              <w:t xml:space="preserve">The Departments have processes in place for conducting independent internal audits and these audits may take place as necessary. Internal auditing is an independent, objective assurance and consulting activity designed to add value and improve Departmental operations. </w:t>
            </w:r>
          </w:p>
        </w:tc>
        <w:tc>
          <w:tcPr>
            <w:tcW w:w="966" w:type="pct"/>
          </w:tcPr>
          <w:p w14:paraId="710BC407" w14:textId="77777777" w:rsidR="00EE5AC1" w:rsidRPr="00D87DCC" w:rsidRDefault="00EE5AC1" w:rsidP="0050223A">
            <w:pPr>
              <w:pStyle w:val="ListParagraph"/>
              <w:numPr>
                <w:ilvl w:val="0"/>
                <w:numId w:val="8"/>
              </w:numPr>
              <w:spacing w:before="60" w:after="120"/>
              <w:ind w:left="330" w:hanging="284"/>
            </w:pPr>
            <w:r>
              <w:t>Scheduled or as needed.</w:t>
            </w:r>
          </w:p>
        </w:tc>
        <w:tc>
          <w:tcPr>
            <w:tcW w:w="942" w:type="pct"/>
          </w:tcPr>
          <w:p w14:paraId="6B6C3D85" w14:textId="77777777" w:rsidR="00EE5AC1" w:rsidRDefault="00EE5AC1" w:rsidP="0050223A">
            <w:pPr>
              <w:pStyle w:val="ListParagraph"/>
              <w:numPr>
                <w:ilvl w:val="0"/>
                <w:numId w:val="8"/>
              </w:numPr>
              <w:spacing w:before="60" w:after="120"/>
              <w:ind w:left="330" w:hanging="284"/>
            </w:pPr>
            <w:r>
              <w:t>Scheduled as part of an annual work plan</w:t>
            </w:r>
          </w:p>
          <w:p w14:paraId="3281169F" w14:textId="77777777" w:rsidR="00EE5AC1" w:rsidRDefault="00EE5AC1" w:rsidP="0050223A">
            <w:pPr>
              <w:pStyle w:val="ListParagraph"/>
              <w:numPr>
                <w:ilvl w:val="0"/>
                <w:numId w:val="8"/>
              </w:numPr>
              <w:spacing w:before="60" w:after="120"/>
              <w:ind w:left="330" w:hanging="284"/>
            </w:pPr>
            <w:r>
              <w:t>In response to adverse findings of an audit or attention from an external source</w:t>
            </w:r>
          </w:p>
          <w:p w14:paraId="1D4D9C9E" w14:textId="77777777" w:rsidR="00EE5AC1" w:rsidRPr="00D87DCC" w:rsidRDefault="00EE5AC1" w:rsidP="0050223A">
            <w:pPr>
              <w:pStyle w:val="ListParagraph"/>
              <w:numPr>
                <w:ilvl w:val="0"/>
                <w:numId w:val="8"/>
              </w:numPr>
              <w:spacing w:before="60" w:after="120"/>
              <w:ind w:left="330" w:hanging="284"/>
            </w:pPr>
            <w:r>
              <w:t>Gateway check</w:t>
            </w:r>
          </w:p>
        </w:tc>
        <w:tc>
          <w:tcPr>
            <w:tcW w:w="614" w:type="pct"/>
          </w:tcPr>
          <w:p w14:paraId="457E1E7B" w14:textId="77777777" w:rsidR="00EE5AC1" w:rsidRDefault="00EE5AC1" w:rsidP="0050223A">
            <w:pPr>
              <w:spacing w:before="60" w:after="120"/>
            </w:pPr>
            <w:r>
              <w:t>3/4 – External</w:t>
            </w:r>
          </w:p>
          <w:p w14:paraId="126440A9" w14:textId="77777777" w:rsidR="00EE5AC1" w:rsidRDefault="00EE5AC1" w:rsidP="0050223A">
            <w:pPr>
              <w:spacing w:before="60" w:after="120"/>
              <w:jc w:val="center"/>
            </w:pPr>
          </w:p>
        </w:tc>
      </w:tr>
      <w:tr w:rsidR="00D25D01" w14:paraId="7A0E0C1C" w14:textId="77777777" w:rsidTr="002A2CD1">
        <w:trPr>
          <w:cnfStyle w:val="000000100000" w:firstRow="0" w:lastRow="0" w:firstColumn="0" w:lastColumn="0" w:oddVBand="0" w:evenVBand="0" w:oddHBand="1" w:evenHBand="0" w:firstRowFirstColumn="0" w:firstRowLastColumn="0" w:lastRowFirstColumn="0" w:lastRowLastColumn="0"/>
        </w:trPr>
        <w:tc>
          <w:tcPr>
            <w:tcW w:w="506" w:type="pct"/>
          </w:tcPr>
          <w:p w14:paraId="4F601BA0" w14:textId="77777777" w:rsidR="00EE5AC1" w:rsidRDefault="00EE5AC1" w:rsidP="0050223A">
            <w:pPr>
              <w:spacing w:before="60" w:after="120"/>
            </w:pPr>
            <w:r>
              <w:t>Audits by Australian National Audit Office</w:t>
            </w:r>
            <w:r w:rsidR="00670C66">
              <w:t xml:space="preserve"> (ANAO)</w:t>
            </w:r>
            <w:r>
              <w:t xml:space="preserve"> (external)</w:t>
            </w:r>
          </w:p>
        </w:tc>
        <w:tc>
          <w:tcPr>
            <w:tcW w:w="1972" w:type="pct"/>
          </w:tcPr>
          <w:p w14:paraId="3510A54A" w14:textId="77777777" w:rsidR="00670C66" w:rsidRDefault="00670C66" w:rsidP="0050223A">
            <w:pPr>
              <w:spacing w:before="60" w:after="120"/>
            </w:pPr>
            <w:r w:rsidRPr="00915E90">
              <w:rPr>
                <w:b/>
                <w:color w:val="365F91" w:themeColor="accent1" w:themeShade="BF"/>
              </w:rPr>
              <w:t>• The Departments:</w:t>
            </w:r>
          </w:p>
          <w:p w14:paraId="5AA1CB64" w14:textId="77777777" w:rsidR="008C0D11" w:rsidRDefault="00EE5AC1" w:rsidP="0050223A">
            <w:pPr>
              <w:spacing w:before="60" w:after="120"/>
            </w:pPr>
            <w:r>
              <w:t xml:space="preserve">ANAO conducts regular audits on programs through a sample of specific contracts and projects, to determine compliance and delivery of best practice. The ANAO drives accountability and transparency in the Australian Government sector through quality evidence-based audit services and independent reporting to Parliament, Executive of agencies and the public, with the aim to improve public sector performance. </w:t>
            </w:r>
          </w:p>
          <w:p w14:paraId="0C04AE6C" w14:textId="77777777" w:rsidR="008C0D11" w:rsidRPr="00915E90" w:rsidRDefault="008C0D11" w:rsidP="0050223A">
            <w:pPr>
              <w:spacing w:before="60" w:after="120"/>
              <w:rPr>
                <w:b/>
                <w:color w:val="365F91" w:themeColor="accent1" w:themeShade="BF"/>
              </w:rPr>
            </w:pPr>
            <w:r w:rsidRPr="00915E90">
              <w:rPr>
                <w:b/>
                <w:color w:val="365F91" w:themeColor="accent1" w:themeShade="BF"/>
              </w:rPr>
              <w:t xml:space="preserve">• Service </w:t>
            </w:r>
            <w:r>
              <w:rPr>
                <w:b/>
                <w:color w:val="365F91" w:themeColor="accent1" w:themeShade="BF"/>
              </w:rPr>
              <w:t>P</w:t>
            </w:r>
            <w:r w:rsidR="004521AD">
              <w:rPr>
                <w:b/>
                <w:color w:val="365F91" w:themeColor="accent1" w:themeShade="BF"/>
              </w:rPr>
              <w:t>rovider</w:t>
            </w:r>
            <w:r w:rsidRPr="00915E90">
              <w:rPr>
                <w:b/>
                <w:color w:val="365F91" w:themeColor="accent1" w:themeShade="BF"/>
              </w:rPr>
              <w:t>s:</w:t>
            </w:r>
          </w:p>
          <w:p w14:paraId="2AA418B6" w14:textId="77777777" w:rsidR="00EE5AC1" w:rsidRDefault="008C0D11" w:rsidP="005A6B76">
            <w:pPr>
              <w:spacing w:before="60" w:after="120"/>
            </w:pPr>
            <w:r>
              <w:t xml:space="preserve">While an ANAO audit will </w:t>
            </w:r>
            <w:r w:rsidR="00563D9A">
              <w:t xml:space="preserve">generally </w:t>
            </w:r>
            <w:r>
              <w:t xml:space="preserve">not directly impact Service Providers, the findings may provide suggested improvements to the program and </w:t>
            </w:r>
            <w:r w:rsidR="00A56E04">
              <w:t>its ongoing management</w:t>
            </w:r>
            <w:r>
              <w:t>. This may have an indirect flow-on effect to Service Providers</w:t>
            </w:r>
            <w:r w:rsidR="005A6B76">
              <w:t xml:space="preserve"> through improvements the Departments’ may implement to program management</w:t>
            </w:r>
            <w:r>
              <w:t>.</w:t>
            </w:r>
          </w:p>
        </w:tc>
        <w:tc>
          <w:tcPr>
            <w:tcW w:w="966" w:type="pct"/>
          </w:tcPr>
          <w:p w14:paraId="7454CFC9" w14:textId="77777777" w:rsidR="00EE5AC1" w:rsidRDefault="00EE5AC1" w:rsidP="0050223A">
            <w:pPr>
              <w:pStyle w:val="ListParagraph"/>
              <w:numPr>
                <w:ilvl w:val="0"/>
                <w:numId w:val="8"/>
              </w:numPr>
              <w:spacing w:before="60" w:after="120"/>
              <w:ind w:left="330" w:hanging="284"/>
            </w:pPr>
            <w:r>
              <w:t xml:space="preserve">Scheduled </w:t>
            </w:r>
            <w:r w:rsidR="00A56E04">
              <w:t xml:space="preserve">by ANAO </w:t>
            </w:r>
            <w:r>
              <w:t>or as needed.</w:t>
            </w:r>
          </w:p>
        </w:tc>
        <w:tc>
          <w:tcPr>
            <w:tcW w:w="942" w:type="pct"/>
          </w:tcPr>
          <w:p w14:paraId="74B451C5" w14:textId="77777777" w:rsidR="00EE5AC1" w:rsidRDefault="00EE5AC1" w:rsidP="0050223A">
            <w:pPr>
              <w:pStyle w:val="ListParagraph"/>
              <w:numPr>
                <w:ilvl w:val="0"/>
                <w:numId w:val="8"/>
              </w:numPr>
              <w:spacing w:before="60" w:after="120"/>
              <w:ind w:left="330" w:hanging="284"/>
            </w:pPr>
            <w:r>
              <w:t>Scheduled as part of an annual work plan, or as needed.</w:t>
            </w:r>
            <w:r w:rsidR="000D41AD">
              <w:t xml:space="preserve"> The first ANAO audit of </w:t>
            </w:r>
            <w:r w:rsidR="0032074E">
              <w:t xml:space="preserve">Regional Land Partnerships is scheduled to be </w:t>
            </w:r>
            <w:r w:rsidR="000D41AD">
              <w:t>conducted in 2018</w:t>
            </w:r>
            <w:r w:rsidR="0032074E">
              <w:noBreakHyphen/>
            </w:r>
            <w:r w:rsidR="000D41AD">
              <w:t>19.</w:t>
            </w:r>
          </w:p>
          <w:p w14:paraId="44B1E73B" w14:textId="77777777" w:rsidR="00EE5AC1" w:rsidRDefault="00EE5AC1" w:rsidP="0050223A">
            <w:pPr>
              <w:spacing w:before="60" w:after="120"/>
              <w:jc w:val="center"/>
            </w:pPr>
          </w:p>
        </w:tc>
        <w:tc>
          <w:tcPr>
            <w:tcW w:w="614" w:type="pct"/>
          </w:tcPr>
          <w:p w14:paraId="7800953A" w14:textId="77777777" w:rsidR="00EE5AC1" w:rsidRDefault="00EE5AC1" w:rsidP="0050223A">
            <w:pPr>
              <w:spacing w:before="60" w:after="120"/>
            </w:pPr>
            <w:r>
              <w:t>4 – External</w:t>
            </w:r>
          </w:p>
          <w:p w14:paraId="4969C742" w14:textId="77777777" w:rsidR="00EE5AC1" w:rsidRDefault="00EE5AC1" w:rsidP="0050223A">
            <w:pPr>
              <w:spacing w:before="60" w:after="120"/>
              <w:jc w:val="center"/>
            </w:pPr>
          </w:p>
        </w:tc>
      </w:tr>
    </w:tbl>
    <w:p w14:paraId="07F385E9" w14:textId="77777777" w:rsidR="005E38CF" w:rsidRDefault="005E38CF" w:rsidP="0099496D">
      <w:pPr>
        <w:spacing w:after="120"/>
      </w:pPr>
    </w:p>
    <w:p w14:paraId="2464F950" w14:textId="77777777" w:rsidR="00730484" w:rsidRDefault="00730484" w:rsidP="005F1D9B">
      <w:pPr>
        <w:spacing w:after="120"/>
      </w:pPr>
    </w:p>
    <w:sectPr w:rsidR="00730484" w:rsidSect="004B66C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8A748" w14:textId="77777777" w:rsidR="004D6879" w:rsidRDefault="004D6879" w:rsidP="00005DC1">
      <w:pPr>
        <w:spacing w:after="0" w:line="240" w:lineRule="auto"/>
      </w:pPr>
      <w:r>
        <w:separator/>
      </w:r>
    </w:p>
  </w:endnote>
  <w:endnote w:type="continuationSeparator" w:id="0">
    <w:p w14:paraId="4F68636D" w14:textId="77777777" w:rsidR="004D6879" w:rsidRDefault="004D6879" w:rsidP="000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5E89" w14:textId="77777777" w:rsidR="0069569C" w:rsidRDefault="00695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E1CE2" w14:textId="77777777" w:rsidR="0079521C" w:rsidRDefault="0079521C" w:rsidP="006861A3">
    <w:pPr>
      <w:pStyle w:val="Header"/>
      <w:spacing w:before="120" w:after="120"/>
      <w:jc w:val="right"/>
    </w:pPr>
    <w:r w:rsidRPr="00B9370E">
      <w:rPr>
        <w:rFonts w:eastAsia="Times New Roman" w:cs="Arial"/>
        <w:noProof/>
        <w:kern w:val="36"/>
        <w:lang w:eastAsia="en-AU"/>
      </w:rPr>
      <mc:AlternateContent>
        <mc:Choice Requires="wps">
          <w:drawing>
            <wp:anchor distT="0" distB="0" distL="114300" distR="114300" simplePos="0" relativeHeight="251665408" behindDoc="0" locked="0" layoutInCell="1" allowOverlap="1" wp14:anchorId="35D12E1A" wp14:editId="34E26D58">
              <wp:simplePos x="0" y="0"/>
              <wp:positionH relativeFrom="column">
                <wp:posOffset>-76200</wp:posOffset>
              </wp:positionH>
              <wp:positionV relativeFrom="paragraph">
                <wp:posOffset>22630</wp:posOffset>
              </wp:positionV>
              <wp:extent cx="9885218"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9885218" cy="0"/>
                      </a:xfrm>
                      <a:prstGeom prst="line">
                        <a:avLst/>
                      </a:prstGeom>
                      <a:ln w="9525">
                        <a:solidFill>
                          <a:schemeClr val="tx2">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46D2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pt" to="77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" strokecolor="#548dd4 [1951]">
              <v:stroke dashstyle="1 1"/>
            </v:line>
          </w:pict>
        </mc:Fallback>
      </mc:AlternateContent>
    </w:r>
    <w:r>
      <w:rPr>
        <w:rFonts w:eastAsia="Times New Roman" w:cs="Arial"/>
        <w:kern w:val="36"/>
        <w:lang w:eastAsia="en-AU"/>
      </w:rPr>
      <w:t>RLP Assurance Framework: May</w:t>
    </w:r>
    <w:r w:rsidRPr="00B9370E">
      <w:rPr>
        <w:rFonts w:eastAsia="Times New Roman" w:cs="Arial"/>
        <w:kern w:val="36"/>
        <w:lang w:eastAsia="en-AU"/>
      </w:rPr>
      <w:t xml:space="preserve"> 2018</w:t>
    </w:r>
    <w:r>
      <w:rPr>
        <w:rFonts w:eastAsia="Times New Roman" w:cs="Arial"/>
        <w:kern w:val="36"/>
        <w:lang w:eastAsia="en-AU"/>
      </w:rPr>
      <w:tab/>
    </w:r>
    <w:r>
      <w:rPr>
        <w:rFonts w:eastAsia="Times New Roman" w:cs="Arial"/>
        <w:kern w:val="36"/>
        <w:lang w:eastAsia="en-AU"/>
      </w:rPr>
      <w:tab/>
    </w:r>
    <w:sdt>
      <w:sdtPr>
        <w:id w:val="34631362"/>
        <w:docPartObj>
          <w:docPartGallery w:val="Page Numbers (Bottom of Page)"/>
          <w:docPartUnique/>
        </w:docPartObj>
      </w:sdtPr>
      <w:sdtEndPr>
        <w:rPr>
          <w:noProof/>
        </w:rPr>
      </w:sdtEndPr>
      <w:sdtContent>
        <w:r>
          <w:tab/>
        </w:r>
        <w:r>
          <w:tab/>
        </w:r>
        <w:r>
          <w:tab/>
        </w:r>
        <w:r>
          <w:tab/>
        </w:r>
        <w:r>
          <w:tab/>
        </w:r>
        <w:r>
          <w:tab/>
        </w:r>
        <w:r>
          <w:tab/>
        </w:r>
        <w:r>
          <w:tab/>
        </w:r>
        <w:r>
          <w:fldChar w:fldCharType="begin"/>
        </w:r>
        <w:r>
          <w:instrText xml:space="preserve"> PAGE   \* MERGEFORMAT </w:instrText>
        </w:r>
        <w:r>
          <w:fldChar w:fldCharType="separate"/>
        </w:r>
        <w:r w:rsidR="0069569C">
          <w:rPr>
            <w:noProof/>
          </w:rPr>
          <w:t>4</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1031" w14:textId="77777777" w:rsidR="0069569C" w:rsidRDefault="0069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77059" w14:textId="77777777" w:rsidR="004D6879" w:rsidRDefault="004D6879" w:rsidP="00005DC1">
      <w:pPr>
        <w:spacing w:after="0" w:line="240" w:lineRule="auto"/>
      </w:pPr>
      <w:r>
        <w:separator/>
      </w:r>
    </w:p>
  </w:footnote>
  <w:footnote w:type="continuationSeparator" w:id="0">
    <w:p w14:paraId="53C36A30" w14:textId="77777777" w:rsidR="004D6879" w:rsidRDefault="004D6879" w:rsidP="00005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66D53" w14:textId="77777777" w:rsidR="0069569C" w:rsidRDefault="00695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63AD" w14:textId="77777777" w:rsidR="0079521C" w:rsidRPr="00D25D01" w:rsidRDefault="00795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F2B0" w14:textId="77777777" w:rsidR="0069569C" w:rsidRDefault="00695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2F12F1"/>
    <w:multiLevelType w:val="hybridMultilevel"/>
    <w:tmpl w:val="ACAE277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0B236430"/>
    <w:multiLevelType w:val="hybridMultilevel"/>
    <w:tmpl w:val="C1D48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56273"/>
    <w:multiLevelType w:val="hybridMultilevel"/>
    <w:tmpl w:val="33B6544A"/>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81ED9"/>
    <w:multiLevelType w:val="hybridMultilevel"/>
    <w:tmpl w:val="84449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3A5E39"/>
    <w:multiLevelType w:val="hybridMultilevel"/>
    <w:tmpl w:val="F4200074"/>
    <w:lvl w:ilvl="0" w:tplc="DDCC5CD0">
      <w:start w:val="1"/>
      <w:numFmt w:val="bullet"/>
      <w:lvlText w:val=""/>
      <w:lvlJc w:val="left"/>
      <w:pPr>
        <w:ind w:left="720" w:hanging="360"/>
      </w:pPr>
      <w:rPr>
        <w:rFonts w:ascii="Symbol" w:hAnsi="Symbol" w:hint="default"/>
        <w:color w:val="4F6228" w:themeColor="accent3" w:themeShade="80"/>
        <w:u w:color="9BBB59"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01A5E"/>
    <w:multiLevelType w:val="hybridMultilevel"/>
    <w:tmpl w:val="78C0B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E3C3B"/>
    <w:multiLevelType w:val="hybridMultilevel"/>
    <w:tmpl w:val="C6AAE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354FD"/>
    <w:multiLevelType w:val="hybridMultilevel"/>
    <w:tmpl w:val="4746C6C4"/>
    <w:lvl w:ilvl="0" w:tplc="E430932A">
      <w:start w:val="1"/>
      <w:numFmt w:val="bullet"/>
      <w:lvlText w:val=""/>
      <w:lvlJc w:val="left"/>
      <w:pPr>
        <w:ind w:left="720" w:hanging="360"/>
      </w:pPr>
      <w:rPr>
        <w:rFonts w:ascii="Symbol" w:hAnsi="Symbol" w:hint="default"/>
        <w:u w:color="76923C" w:themeColor="accent3"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61A4B"/>
    <w:multiLevelType w:val="hybridMultilevel"/>
    <w:tmpl w:val="39783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09E7B51"/>
    <w:multiLevelType w:val="hybridMultilevel"/>
    <w:tmpl w:val="5BDA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46DAE"/>
    <w:multiLevelType w:val="hybridMultilevel"/>
    <w:tmpl w:val="E5989A5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81747"/>
    <w:multiLevelType w:val="hybridMultilevel"/>
    <w:tmpl w:val="0C847212"/>
    <w:lvl w:ilvl="0" w:tplc="ABE64AE0">
      <w:start w:val="1"/>
      <w:numFmt w:val="bullet"/>
      <w:lvlText w:val=""/>
      <w:lvlJc w:val="left"/>
      <w:pPr>
        <w:ind w:left="720" w:hanging="360"/>
      </w:pPr>
      <w:rPr>
        <w:rFonts w:ascii="Symbol" w:hAnsi="Symbol" w:hint="default"/>
        <w:color w:val="365F91" w:themeColor="accent1" w:themeShade="BF"/>
        <w:u w:color="9BBB59" w:themeColor="accent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222A8"/>
    <w:multiLevelType w:val="hybridMultilevel"/>
    <w:tmpl w:val="7BC00FD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17" w15:restartNumberingAfterBreak="0">
    <w:nsid w:val="3D8C6628"/>
    <w:multiLevelType w:val="hybridMultilevel"/>
    <w:tmpl w:val="A028B1E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87604E"/>
    <w:multiLevelType w:val="hybridMultilevel"/>
    <w:tmpl w:val="9FE22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1D5F41"/>
    <w:multiLevelType w:val="multilevel"/>
    <w:tmpl w:val="8A708A7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0" w15:restartNumberingAfterBreak="0">
    <w:nsid w:val="40A07436"/>
    <w:multiLevelType w:val="hybridMultilevel"/>
    <w:tmpl w:val="3C307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706B6C"/>
    <w:multiLevelType w:val="hybridMultilevel"/>
    <w:tmpl w:val="94609A90"/>
    <w:lvl w:ilvl="0" w:tplc="E3B2B8E6">
      <w:start w:val="1"/>
      <w:numFmt w:val="bullet"/>
      <w:lvlText w:val=""/>
      <w:lvlJc w:val="left"/>
      <w:pPr>
        <w:ind w:left="720" w:hanging="360"/>
      </w:pPr>
      <w:rPr>
        <w:rFonts w:ascii="Symbol" w:hAnsi="Symbol" w:hint="default"/>
        <w:color w:val="00B050"/>
        <w:u w:color="9BBB59" w:themeColor="accent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B072E"/>
    <w:multiLevelType w:val="hybridMultilevel"/>
    <w:tmpl w:val="4BB01F04"/>
    <w:lvl w:ilvl="0" w:tplc="558AEDFE">
      <w:start w:val="1"/>
      <w:numFmt w:val="bullet"/>
      <w:lvlText w:val="•"/>
      <w:lvlJc w:val="left"/>
      <w:pPr>
        <w:tabs>
          <w:tab w:val="num" w:pos="720"/>
        </w:tabs>
        <w:ind w:left="720" w:hanging="360"/>
      </w:pPr>
      <w:rPr>
        <w:rFonts w:ascii="Times New Roman" w:hAnsi="Times New Roman" w:hint="default"/>
      </w:rPr>
    </w:lvl>
    <w:lvl w:ilvl="1" w:tplc="AD04F33E" w:tentative="1">
      <w:start w:val="1"/>
      <w:numFmt w:val="bullet"/>
      <w:lvlText w:val="•"/>
      <w:lvlJc w:val="left"/>
      <w:pPr>
        <w:tabs>
          <w:tab w:val="num" w:pos="1440"/>
        </w:tabs>
        <w:ind w:left="1440" w:hanging="360"/>
      </w:pPr>
      <w:rPr>
        <w:rFonts w:ascii="Times New Roman" w:hAnsi="Times New Roman" w:hint="default"/>
      </w:rPr>
    </w:lvl>
    <w:lvl w:ilvl="2" w:tplc="4D3AFA6A" w:tentative="1">
      <w:start w:val="1"/>
      <w:numFmt w:val="bullet"/>
      <w:lvlText w:val="•"/>
      <w:lvlJc w:val="left"/>
      <w:pPr>
        <w:tabs>
          <w:tab w:val="num" w:pos="2160"/>
        </w:tabs>
        <w:ind w:left="2160" w:hanging="360"/>
      </w:pPr>
      <w:rPr>
        <w:rFonts w:ascii="Times New Roman" w:hAnsi="Times New Roman" w:hint="default"/>
      </w:rPr>
    </w:lvl>
    <w:lvl w:ilvl="3" w:tplc="694E633C" w:tentative="1">
      <w:start w:val="1"/>
      <w:numFmt w:val="bullet"/>
      <w:lvlText w:val="•"/>
      <w:lvlJc w:val="left"/>
      <w:pPr>
        <w:tabs>
          <w:tab w:val="num" w:pos="2880"/>
        </w:tabs>
        <w:ind w:left="2880" w:hanging="360"/>
      </w:pPr>
      <w:rPr>
        <w:rFonts w:ascii="Times New Roman" w:hAnsi="Times New Roman" w:hint="default"/>
      </w:rPr>
    </w:lvl>
    <w:lvl w:ilvl="4" w:tplc="6810B0BE" w:tentative="1">
      <w:start w:val="1"/>
      <w:numFmt w:val="bullet"/>
      <w:lvlText w:val="•"/>
      <w:lvlJc w:val="left"/>
      <w:pPr>
        <w:tabs>
          <w:tab w:val="num" w:pos="3600"/>
        </w:tabs>
        <w:ind w:left="3600" w:hanging="360"/>
      </w:pPr>
      <w:rPr>
        <w:rFonts w:ascii="Times New Roman" w:hAnsi="Times New Roman" w:hint="default"/>
      </w:rPr>
    </w:lvl>
    <w:lvl w:ilvl="5" w:tplc="FA949EC8" w:tentative="1">
      <w:start w:val="1"/>
      <w:numFmt w:val="bullet"/>
      <w:lvlText w:val="•"/>
      <w:lvlJc w:val="left"/>
      <w:pPr>
        <w:tabs>
          <w:tab w:val="num" w:pos="4320"/>
        </w:tabs>
        <w:ind w:left="4320" w:hanging="360"/>
      </w:pPr>
      <w:rPr>
        <w:rFonts w:ascii="Times New Roman" w:hAnsi="Times New Roman" w:hint="default"/>
      </w:rPr>
    </w:lvl>
    <w:lvl w:ilvl="6" w:tplc="C4D239E8" w:tentative="1">
      <w:start w:val="1"/>
      <w:numFmt w:val="bullet"/>
      <w:lvlText w:val="•"/>
      <w:lvlJc w:val="left"/>
      <w:pPr>
        <w:tabs>
          <w:tab w:val="num" w:pos="5040"/>
        </w:tabs>
        <w:ind w:left="5040" w:hanging="360"/>
      </w:pPr>
      <w:rPr>
        <w:rFonts w:ascii="Times New Roman" w:hAnsi="Times New Roman" w:hint="default"/>
      </w:rPr>
    </w:lvl>
    <w:lvl w:ilvl="7" w:tplc="EE5AACE0" w:tentative="1">
      <w:start w:val="1"/>
      <w:numFmt w:val="bullet"/>
      <w:lvlText w:val="•"/>
      <w:lvlJc w:val="left"/>
      <w:pPr>
        <w:tabs>
          <w:tab w:val="num" w:pos="5760"/>
        </w:tabs>
        <w:ind w:left="5760" w:hanging="360"/>
      </w:pPr>
      <w:rPr>
        <w:rFonts w:ascii="Times New Roman" w:hAnsi="Times New Roman" w:hint="default"/>
      </w:rPr>
    </w:lvl>
    <w:lvl w:ilvl="8" w:tplc="AC8635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9190D14"/>
    <w:multiLevelType w:val="hybridMultilevel"/>
    <w:tmpl w:val="D5CA511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431E19"/>
    <w:multiLevelType w:val="hybridMultilevel"/>
    <w:tmpl w:val="AAD41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55D3A"/>
    <w:multiLevelType w:val="hybridMultilevel"/>
    <w:tmpl w:val="6792A59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A03206"/>
    <w:multiLevelType w:val="hybridMultilevel"/>
    <w:tmpl w:val="8FA8A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2135B"/>
    <w:multiLevelType w:val="hybridMultilevel"/>
    <w:tmpl w:val="592C3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5C2F15"/>
    <w:multiLevelType w:val="hybridMultilevel"/>
    <w:tmpl w:val="D7F0A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F54BD"/>
    <w:multiLevelType w:val="multilevel"/>
    <w:tmpl w:val="30F2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955FE5"/>
    <w:multiLevelType w:val="hybridMultilevel"/>
    <w:tmpl w:val="5BD467FE"/>
    <w:lvl w:ilvl="0" w:tplc="B762A372">
      <w:start w:val="1"/>
      <w:numFmt w:val="bullet"/>
      <w:lvlText w:val=""/>
      <w:lvlJc w:val="left"/>
      <w:pPr>
        <w:ind w:left="720" w:hanging="360"/>
      </w:pPr>
      <w:rPr>
        <w:rFonts w:ascii="Symbol" w:hAnsi="Symbol" w:hint="default"/>
        <w:u w:color="9BBB59" w:themeColor="accent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E43F67"/>
    <w:multiLevelType w:val="multilevel"/>
    <w:tmpl w:val="03C2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107E9"/>
    <w:multiLevelType w:val="hybridMultilevel"/>
    <w:tmpl w:val="567E8D56"/>
    <w:lvl w:ilvl="0" w:tplc="D368C896">
      <w:start w:val="1"/>
      <w:numFmt w:val="bullet"/>
      <w:lvlText w:val=""/>
      <w:lvlJc w:val="left"/>
      <w:pPr>
        <w:ind w:left="720" w:hanging="360"/>
      </w:pPr>
      <w:rPr>
        <w:rFonts w:ascii="Symbol" w:hAnsi="Symbol" w:hint="default"/>
        <w:color w:val="9BBB59" w:themeColor="accent3"/>
        <w:u w:color="9BBB59" w:themeColor="accent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5F1A84"/>
    <w:multiLevelType w:val="hybridMultilevel"/>
    <w:tmpl w:val="EC3A355E"/>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2F1006"/>
    <w:multiLevelType w:val="hybridMultilevel"/>
    <w:tmpl w:val="C980CD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166447"/>
    <w:multiLevelType w:val="hybridMultilevel"/>
    <w:tmpl w:val="8F3ECBFE"/>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430600"/>
    <w:multiLevelType w:val="hybridMultilevel"/>
    <w:tmpl w:val="241A7FB8"/>
    <w:lvl w:ilvl="0" w:tplc="5E0415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BB6A20"/>
    <w:multiLevelType w:val="hybridMultilevel"/>
    <w:tmpl w:val="176C0ED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A6715E"/>
    <w:multiLevelType w:val="hybridMultilevel"/>
    <w:tmpl w:val="E7E4D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7E39A7"/>
    <w:multiLevelType w:val="hybridMultilevel"/>
    <w:tmpl w:val="D44AB1D6"/>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193FDA"/>
    <w:multiLevelType w:val="hybridMultilevel"/>
    <w:tmpl w:val="D6C82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6"/>
  </w:num>
  <w:num w:numId="4">
    <w:abstractNumId w:val="0"/>
  </w:num>
  <w:num w:numId="5">
    <w:abstractNumId w:val="10"/>
  </w:num>
  <w:num w:numId="6">
    <w:abstractNumId w:val="15"/>
  </w:num>
  <w:num w:numId="7">
    <w:abstractNumId w:val="4"/>
  </w:num>
  <w:num w:numId="8">
    <w:abstractNumId w:val="20"/>
  </w:num>
  <w:num w:numId="9">
    <w:abstractNumId w:val="27"/>
  </w:num>
  <w:num w:numId="10">
    <w:abstractNumId w:val="26"/>
  </w:num>
  <w:num w:numId="11">
    <w:abstractNumId w:val="29"/>
  </w:num>
  <w:num w:numId="12">
    <w:abstractNumId w:val="19"/>
  </w:num>
  <w:num w:numId="13">
    <w:abstractNumId w:val="16"/>
  </w:num>
  <w:num w:numId="14">
    <w:abstractNumId w:val="1"/>
  </w:num>
  <w:num w:numId="15">
    <w:abstractNumId w:val="24"/>
  </w:num>
  <w:num w:numId="16">
    <w:abstractNumId w:val="38"/>
  </w:num>
  <w:num w:numId="17">
    <w:abstractNumId w:val="9"/>
  </w:num>
  <w:num w:numId="18">
    <w:abstractNumId w:val="34"/>
  </w:num>
  <w:num w:numId="19">
    <w:abstractNumId w:val="28"/>
  </w:num>
  <w:num w:numId="20">
    <w:abstractNumId w:val="11"/>
  </w:num>
  <w:num w:numId="21">
    <w:abstractNumId w:val="25"/>
  </w:num>
  <w:num w:numId="22">
    <w:abstractNumId w:val="31"/>
  </w:num>
  <w:num w:numId="23">
    <w:abstractNumId w:val="18"/>
  </w:num>
  <w:num w:numId="24">
    <w:abstractNumId w:val="2"/>
  </w:num>
  <w:num w:numId="25">
    <w:abstractNumId w:val="8"/>
  </w:num>
  <w:num w:numId="26">
    <w:abstractNumId w:val="30"/>
  </w:num>
  <w:num w:numId="27">
    <w:abstractNumId w:val="32"/>
  </w:num>
  <w:num w:numId="28">
    <w:abstractNumId w:val="21"/>
  </w:num>
  <w:num w:numId="29">
    <w:abstractNumId w:val="13"/>
  </w:num>
  <w:num w:numId="30">
    <w:abstractNumId w:val="22"/>
  </w:num>
  <w:num w:numId="31">
    <w:abstractNumId w:val="5"/>
  </w:num>
  <w:num w:numId="32">
    <w:abstractNumId w:val="36"/>
  </w:num>
  <w:num w:numId="33">
    <w:abstractNumId w:val="23"/>
  </w:num>
  <w:num w:numId="34">
    <w:abstractNumId w:val="12"/>
  </w:num>
  <w:num w:numId="35">
    <w:abstractNumId w:val="17"/>
  </w:num>
  <w:num w:numId="36">
    <w:abstractNumId w:val="3"/>
  </w:num>
  <w:num w:numId="37">
    <w:abstractNumId w:val="33"/>
  </w:num>
  <w:num w:numId="38">
    <w:abstractNumId w:val="14"/>
  </w:num>
  <w:num w:numId="39">
    <w:abstractNumId w:val="39"/>
  </w:num>
  <w:num w:numId="40">
    <w:abstractNumId w:val="3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AB"/>
    <w:rsid w:val="00001D8C"/>
    <w:rsid w:val="00004407"/>
    <w:rsid w:val="00005DC1"/>
    <w:rsid w:val="000075E4"/>
    <w:rsid w:val="0001110B"/>
    <w:rsid w:val="000112D4"/>
    <w:rsid w:val="00013A5E"/>
    <w:rsid w:val="00013F43"/>
    <w:rsid w:val="00021B99"/>
    <w:rsid w:val="0002341E"/>
    <w:rsid w:val="000263AE"/>
    <w:rsid w:val="00026815"/>
    <w:rsid w:val="00026D33"/>
    <w:rsid w:val="00033248"/>
    <w:rsid w:val="00041538"/>
    <w:rsid w:val="00047C9A"/>
    <w:rsid w:val="00052879"/>
    <w:rsid w:val="0005372E"/>
    <w:rsid w:val="000609AE"/>
    <w:rsid w:val="00061EEB"/>
    <w:rsid w:val="0006476E"/>
    <w:rsid w:val="00064847"/>
    <w:rsid w:val="000652EF"/>
    <w:rsid w:val="0007227A"/>
    <w:rsid w:val="0007733F"/>
    <w:rsid w:val="000775C0"/>
    <w:rsid w:val="000808DB"/>
    <w:rsid w:val="0008532E"/>
    <w:rsid w:val="00086992"/>
    <w:rsid w:val="00092BCA"/>
    <w:rsid w:val="00093E77"/>
    <w:rsid w:val="000A006A"/>
    <w:rsid w:val="000A024A"/>
    <w:rsid w:val="000A1117"/>
    <w:rsid w:val="000A14CB"/>
    <w:rsid w:val="000A4FBC"/>
    <w:rsid w:val="000A5A03"/>
    <w:rsid w:val="000B02E9"/>
    <w:rsid w:val="000B0549"/>
    <w:rsid w:val="000B5C73"/>
    <w:rsid w:val="000B5D97"/>
    <w:rsid w:val="000B5D9B"/>
    <w:rsid w:val="000C0C9B"/>
    <w:rsid w:val="000C0FA5"/>
    <w:rsid w:val="000D3237"/>
    <w:rsid w:val="000D41AD"/>
    <w:rsid w:val="000D7756"/>
    <w:rsid w:val="000E4229"/>
    <w:rsid w:val="000E5179"/>
    <w:rsid w:val="000F5BE1"/>
    <w:rsid w:val="000F749A"/>
    <w:rsid w:val="00104498"/>
    <w:rsid w:val="00105E44"/>
    <w:rsid w:val="00111665"/>
    <w:rsid w:val="00113919"/>
    <w:rsid w:val="00113F71"/>
    <w:rsid w:val="00114F15"/>
    <w:rsid w:val="00117A14"/>
    <w:rsid w:val="00122EA9"/>
    <w:rsid w:val="001346A9"/>
    <w:rsid w:val="00135758"/>
    <w:rsid w:val="00144AFD"/>
    <w:rsid w:val="00145CA2"/>
    <w:rsid w:val="00147E2A"/>
    <w:rsid w:val="00152CB3"/>
    <w:rsid w:val="00154090"/>
    <w:rsid w:val="00156F8D"/>
    <w:rsid w:val="0015776A"/>
    <w:rsid w:val="0018179C"/>
    <w:rsid w:val="0018573B"/>
    <w:rsid w:val="0018615E"/>
    <w:rsid w:val="00187938"/>
    <w:rsid w:val="0019029B"/>
    <w:rsid w:val="001977CE"/>
    <w:rsid w:val="001B21ED"/>
    <w:rsid w:val="001B611D"/>
    <w:rsid w:val="001C355C"/>
    <w:rsid w:val="001D41F2"/>
    <w:rsid w:val="001D4D77"/>
    <w:rsid w:val="001D58B0"/>
    <w:rsid w:val="001D5BB5"/>
    <w:rsid w:val="001E294A"/>
    <w:rsid w:val="001F210F"/>
    <w:rsid w:val="001F3965"/>
    <w:rsid w:val="001F515B"/>
    <w:rsid w:val="001F724D"/>
    <w:rsid w:val="00202AFA"/>
    <w:rsid w:val="0020557D"/>
    <w:rsid w:val="002120FF"/>
    <w:rsid w:val="002240E9"/>
    <w:rsid w:val="002257E4"/>
    <w:rsid w:val="00225D21"/>
    <w:rsid w:val="00230199"/>
    <w:rsid w:val="00232D22"/>
    <w:rsid w:val="00233EB9"/>
    <w:rsid w:val="002416A0"/>
    <w:rsid w:val="0024288B"/>
    <w:rsid w:val="00252566"/>
    <w:rsid w:val="00253D13"/>
    <w:rsid w:val="00254079"/>
    <w:rsid w:val="0026788A"/>
    <w:rsid w:val="002728FB"/>
    <w:rsid w:val="002762EA"/>
    <w:rsid w:val="00280318"/>
    <w:rsid w:val="00283A12"/>
    <w:rsid w:val="00284120"/>
    <w:rsid w:val="002A2CD1"/>
    <w:rsid w:val="002C3969"/>
    <w:rsid w:val="002C55FC"/>
    <w:rsid w:val="002C6FAF"/>
    <w:rsid w:val="002C753C"/>
    <w:rsid w:val="002C7BAD"/>
    <w:rsid w:val="002D2583"/>
    <w:rsid w:val="002D42D7"/>
    <w:rsid w:val="002E5BB3"/>
    <w:rsid w:val="002F08EA"/>
    <w:rsid w:val="002F123F"/>
    <w:rsid w:val="002F385F"/>
    <w:rsid w:val="002F6889"/>
    <w:rsid w:val="002F6DF2"/>
    <w:rsid w:val="00304614"/>
    <w:rsid w:val="00306DCA"/>
    <w:rsid w:val="0030744A"/>
    <w:rsid w:val="003106FA"/>
    <w:rsid w:val="00312D87"/>
    <w:rsid w:val="00313BB1"/>
    <w:rsid w:val="00316575"/>
    <w:rsid w:val="0032074E"/>
    <w:rsid w:val="00325DCE"/>
    <w:rsid w:val="003307E8"/>
    <w:rsid w:val="0033412E"/>
    <w:rsid w:val="00336A50"/>
    <w:rsid w:val="00345EA7"/>
    <w:rsid w:val="00347517"/>
    <w:rsid w:val="00350D62"/>
    <w:rsid w:val="00353D15"/>
    <w:rsid w:val="00354723"/>
    <w:rsid w:val="00357171"/>
    <w:rsid w:val="00360760"/>
    <w:rsid w:val="00363866"/>
    <w:rsid w:val="003662CA"/>
    <w:rsid w:val="003669D8"/>
    <w:rsid w:val="00371415"/>
    <w:rsid w:val="003729A1"/>
    <w:rsid w:val="00376264"/>
    <w:rsid w:val="00386525"/>
    <w:rsid w:val="003936A4"/>
    <w:rsid w:val="00393F66"/>
    <w:rsid w:val="003A13F7"/>
    <w:rsid w:val="003A3128"/>
    <w:rsid w:val="003A72FB"/>
    <w:rsid w:val="003B35BE"/>
    <w:rsid w:val="003C6BBE"/>
    <w:rsid w:val="003C6CC3"/>
    <w:rsid w:val="003D0166"/>
    <w:rsid w:val="003D1FFC"/>
    <w:rsid w:val="003E22AA"/>
    <w:rsid w:val="003E2961"/>
    <w:rsid w:val="003E35C8"/>
    <w:rsid w:val="003E550D"/>
    <w:rsid w:val="003E787E"/>
    <w:rsid w:val="00400BC4"/>
    <w:rsid w:val="0040352E"/>
    <w:rsid w:val="00404212"/>
    <w:rsid w:val="00407745"/>
    <w:rsid w:val="00410F00"/>
    <w:rsid w:val="00411A48"/>
    <w:rsid w:val="00413BA1"/>
    <w:rsid w:val="00417D74"/>
    <w:rsid w:val="00424CE1"/>
    <w:rsid w:val="0042774A"/>
    <w:rsid w:val="00430284"/>
    <w:rsid w:val="004422F5"/>
    <w:rsid w:val="004424AB"/>
    <w:rsid w:val="00443CCE"/>
    <w:rsid w:val="0044537F"/>
    <w:rsid w:val="004511C5"/>
    <w:rsid w:val="004521AD"/>
    <w:rsid w:val="00452CE2"/>
    <w:rsid w:val="004569F0"/>
    <w:rsid w:val="00457D9D"/>
    <w:rsid w:val="00462A63"/>
    <w:rsid w:val="004633B0"/>
    <w:rsid w:val="00477EA6"/>
    <w:rsid w:val="0048026E"/>
    <w:rsid w:val="00481FA3"/>
    <w:rsid w:val="0048742E"/>
    <w:rsid w:val="00491985"/>
    <w:rsid w:val="004A03C3"/>
    <w:rsid w:val="004A0506"/>
    <w:rsid w:val="004B37B9"/>
    <w:rsid w:val="004B3EAF"/>
    <w:rsid w:val="004B66C6"/>
    <w:rsid w:val="004C40C3"/>
    <w:rsid w:val="004C439F"/>
    <w:rsid w:val="004D05F2"/>
    <w:rsid w:val="004D3267"/>
    <w:rsid w:val="004D4F62"/>
    <w:rsid w:val="004D6879"/>
    <w:rsid w:val="004E344D"/>
    <w:rsid w:val="004E3A76"/>
    <w:rsid w:val="004E48DF"/>
    <w:rsid w:val="004F4739"/>
    <w:rsid w:val="004F4946"/>
    <w:rsid w:val="004F64EC"/>
    <w:rsid w:val="004F7679"/>
    <w:rsid w:val="005000C8"/>
    <w:rsid w:val="005021A7"/>
    <w:rsid w:val="0050223A"/>
    <w:rsid w:val="005040BC"/>
    <w:rsid w:val="005050A3"/>
    <w:rsid w:val="005058E8"/>
    <w:rsid w:val="00515AA1"/>
    <w:rsid w:val="00515EB0"/>
    <w:rsid w:val="00520406"/>
    <w:rsid w:val="0052181C"/>
    <w:rsid w:val="005253A2"/>
    <w:rsid w:val="0053035F"/>
    <w:rsid w:val="005305C8"/>
    <w:rsid w:val="00533D07"/>
    <w:rsid w:val="005405DC"/>
    <w:rsid w:val="0055111B"/>
    <w:rsid w:val="00563D9A"/>
    <w:rsid w:val="00564486"/>
    <w:rsid w:val="00566ADE"/>
    <w:rsid w:val="005838B5"/>
    <w:rsid w:val="005851BB"/>
    <w:rsid w:val="00591057"/>
    <w:rsid w:val="0059163F"/>
    <w:rsid w:val="00596505"/>
    <w:rsid w:val="005A4800"/>
    <w:rsid w:val="005A534C"/>
    <w:rsid w:val="005A5C88"/>
    <w:rsid w:val="005A6B76"/>
    <w:rsid w:val="005B18DB"/>
    <w:rsid w:val="005B2181"/>
    <w:rsid w:val="005B4B95"/>
    <w:rsid w:val="005B5BB4"/>
    <w:rsid w:val="005D7E25"/>
    <w:rsid w:val="005E2814"/>
    <w:rsid w:val="005E38CF"/>
    <w:rsid w:val="005E430E"/>
    <w:rsid w:val="005E69B0"/>
    <w:rsid w:val="005F1D9B"/>
    <w:rsid w:val="005F56EF"/>
    <w:rsid w:val="00601012"/>
    <w:rsid w:val="00601996"/>
    <w:rsid w:val="0060513D"/>
    <w:rsid w:val="00610AF2"/>
    <w:rsid w:val="00611872"/>
    <w:rsid w:val="00616A86"/>
    <w:rsid w:val="006210DA"/>
    <w:rsid w:val="00624BBC"/>
    <w:rsid w:val="0062580F"/>
    <w:rsid w:val="00626B44"/>
    <w:rsid w:val="0063062A"/>
    <w:rsid w:val="00635CA5"/>
    <w:rsid w:val="006377B1"/>
    <w:rsid w:val="00641295"/>
    <w:rsid w:val="006421A8"/>
    <w:rsid w:val="00646EA1"/>
    <w:rsid w:val="00647C04"/>
    <w:rsid w:val="006639D4"/>
    <w:rsid w:val="00666A2F"/>
    <w:rsid w:val="00670C66"/>
    <w:rsid w:val="00673CA1"/>
    <w:rsid w:val="00675580"/>
    <w:rsid w:val="00676E70"/>
    <w:rsid w:val="006818F4"/>
    <w:rsid w:val="00683794"/>
    <w:rsid w:val="006861A3"/>
    <w:rsid w:val="006869F1"/>
    <w:rsid w:val="00690952"/>
    <w:rsid w:val="0069569C"/>
    <w:rsid w:val="006A316C"/>
    <w:rsid w:val="006A4332"/>
    <w:rsid w:val="006B2B4E"/>
    <w:rsid w:val="006B41DE"/>
    <w:rsid w:val="006C5FC3"/>
    <w:rsid w:val="006D0B8A"/>
    <w:rsid w:val="006D3415"/>
    <w:rsid w:val="006D39CC"/>
    <w:rsid w:val="006E575E"/>
    <w:rsid w:val="006F05C5"/>
    <w:rsid w:val="006F53AC"/>
    <w:rsid w:val="007022DA"/>
    <w:rsid w:val="0070317F"/>
    <w:rsid w:val="0070319A"/>
    <w:rsid w:val="007101BB"/>
    <w:rsid w:val="00710A79"/>
    <w:rsid w:val="0071133B"/>
    <w:rsid w:val="007144B7"/>
    <w:rsid w:val="007157A6"/>
    <w:rsid w:val="00716AE2"/>
    <w:rsid w:val="00716C5B"/>
    <w:rsid w:val="00727629"/>
    <w:rsid w:val="00730484"/>
    <w:rsid w:val="00747931"/>
    <w:rsid w:val="00755C11"/>
    <w:rsid w:val="00756F05"/>
    <w:rsid w:val="0076362D"/>
    <w:rsid w:val="00766CB3"/>
    <w:rsid w:val="007703C4"/>
    <w:rsid w:val="007742CF"/>
    <w:rsid w:val="0077539C"/>
    <w:rsid w:val="00782ED1"/>
    <w:rsid w:val="007838C2"/>
    <w:rsid w:val="00784523"/>
    <w:rsid w:val="00786197"/>
    <w:rsid w:val="00786921"/>
    <w:rsid w:val="00792073"/>
    <w:rsid w:val="0079521C"/>
    <w:rsid w:val="007A0AC5"/>
    <w:rsid w:val="007A4E98"/>
    <w:rsid w:val="007A5818"/>
    <w:rsid w:val="007B0CE6"/>
    <w:rsid w:val="007B4CB0"/>
    <w:rsid w:val="007B5D36"/>
    <w:rsid w:val="007C26AD"/>
    <w:rsid w:val="007C469B"/>
    <w:rsid w:val="007C4E1B"/>
    <w:rsid w:val="007C5939"/>
    <w:rsid w:val="007C738D"/>
    <w:rsid w:val="007C7E47"/>
    <w:rsid w:val="007D3837"/>
    <w:rsid w:val="007D663C"/>
    <w:rsid w:val="007D78B3"/>
    <w:rsid w:val="007E4F5B"/>
    <w:rsid w:val="007E5B89"/>
    <w:rsid w:val="007F0285"/>
    <w:rsid w:val="007F25BE"/>
    <w:rsid w:val="007F57E8"/>
    <w:rsid w:val="007F5C91"/>
    <w:rsid w:val="008011BC"/>
    <w:rsid w:val="00802025"/>
    <w:rsid w:val="00802B4F"/>
    <w:rsid w:val="00810243"/>
    <w:rsid w:val="00810A3D"/>
    <w:rsid w:val="0081683C"/>
    <w:rsid w:val="00822A16"/>
    <w:rsid w:val="008403FC"/>
    <w:rsid w:val="00843719"/>
    <w:rsid w:val="00845A66"/>
    <w:rsid w:val="00845DA8"/>
    <w:rsid w:val="00850CCB"/>
    <w:rsid w:val="00850E4E"/>
    <w:rsid w:val="00853D6B"/>
    <w:rsid w:val="0085591F"/>
    <w:rsid w:val="00857556"/>
    <w:rsid w:val="008648F8"/>
    <w:rsid w:val="00873799"/>
    <w:rsid w:val="00874E94"/>
    <w:rsid w:val="00882AD3"/>
    <w:rsid w:val="00885A9F"/>
    <w:rsid w:val="00892E1A"/>
    <w:rsid w:val="008964FE"/>
    <w:rsid w:val="008A565E"/>
    <w:rsid w:val="008A5B0C"/>
    <w:rsid w:val="008A644B"/>
    <w:rsid w:val="008B1D83"/>
    <w:rsid w:val="008B6CA2"/>
    <w:rsid w:val="008C0D11"/>
    <w:rsid w:val="008C1D7C"/>
    <w:rsid w:val="008C206A"/>
    <w:rsid w:val="008C5C29"/>
    <w:rsid w:val="008D09FB"/>
    <w:rsid w:val="008D4548"/>
    <w:rsid w:val="008D461B"/>
    <w:rsid w:val="008D5814"/>
    <w:rsid w:val="008E1B1F"/>
    <w:rsid w:val="008E3AF8"/>
    <w:rsid w:val="008E600E"/>
    <w:rsid w:val="008F21D5"/>
    <w:rsid w:val="00902174"/>
    <w:rsid w:val="00903878"/>
    <w:rsid w:val="00903EDD"/>
    <w:rsid w:val="00906EBB"/>
    <w:rsid w:val="0090744F"/>
    <w:rsid w:val="00910370"/>
    <w:rsid w:val="00915839"/>
    <w:rsid w:val="00915E90"/>
    <w:rsid w:val="00916750"/>
    <w:rsid w:val="00926896"/>
    <w:rsid w:val="00927FE3"/>
    <w:rsid w:val="0093524D"/>
    <w:rsid w:val="00936AFF"/>
    <w:rsid w:val="00955B82"/>
    <w:rsid w:val="009603CB"/>
    <w:rsid w:val="00961EBE"/>
    <w:rsid w:val="00964CD9"/>
    <w:rsid w:val="009668FD"/>
    <w:rsid w:val="0097362A"/>
    <w:rsid w:val="00981590"/>
    <w:rsid w:val="009819F6"/>
    <w:rsid w:val="00981DDA"/>
    <w:rsid w:val="009838FA"/>
    <w:rsid w:val="00983C3B"/>
    <w:rsid w:val="00984E1B"/>
    <w:rsid w:val="00985DAB"/>
    <w:rsid w:val="009906A0"/>
    <w:rsid w:val="0099488C"/>
    <w:rsid w:val="0099496D"/>
    <w:rsid w:val="00994F3B"/>
    <w:rsid w:val="009A0062"/>
    <w:rsid w:val="009A25AB"/>
    <w:rsid w:val="009B2FC0"/>
    <w:rsid w:val="009D15F8"/>
    <w:rsid w:val="009D45D9"/>
    <w:rsid w:val="009D4BBB"/>
    <w:rsid w:val="009D5167"/>
    <w:rsid w:val="009D6923"/>
    <w:rsid w:val="009D7C11"/>
    <w:rsid w:val="009D7D49"/>
    <w:rsid w:val="009F474A"/>
    <w:rsid w:val="009F5961"/>
    <w:rsid w:val="009F5B03"/>
    <w:rsid w:val="009F79B2"/>
    <w:rsid w:val="00A00A44"/>
    <w:rsid w:val="00A02410"/>
    <w:rsid w:val="00A02E0D"/>
    <w:rsid w:val="00A037AE"/>
    <w:rsid w:val="00A04FB2"/>
    <w:rsid w:val="00A07553"/>
    <w:rsid w:val="00A13E5B"/>
    <w:rsid w:val="00A1779C"/>
    <w:rsid w:val="00A17CD6"/>
    <w:rsid w:val="00A25935"/>
    <w:rsid w:val="00A26A69"/>
    <w:rsid w:val="00A279FA"/>
    <w:rsid w:val="00A325BB"/>
    <w:rsid w:val="00A36AA4"/>
    <w:rsid w:val="00A373C3"/>
    <w:rsid w:val="00A3743A"/>
    <w:rsid w:val="00A4542C"/>
    <w:rsid w:val="00A46156"/>
    <w:rsid w:val="00A46E51"/>
    <w:rsid w:val="00A50D9D"/>
    <w:rsid w:val="00A51F08"/>
    <w:rsid w:val="00A5583F"/>
    <w:rsid w:val="00A56E04"/>
    <w:rsid w:val="00A57C64"/>
    <w:rsid w:val="00A62830"/>
    <w:rsid w:val="00A708D6"/>
    <w:rsid w:val="00A768DA"/>
    <w:rsid w:val="00A77565"/>
    <w:rsid w:val="00A858F1"/>
    <w:rsid w:val="00A92B8A"/>
    <w:rsid w:val="00A9325A"/>
    <w:rsid w:val="00AB0FF3"/>
    <w:rsid w:val="00AB5C47"/>
    <w:rsid w:val="00AB5D87"/>
    <w:rsid w:val="00AB79F9"/>
    <w:rsid w:val="00AC1B0F"/>
    <w:rsid w:val="00AC2A92"/>
    <w:rsid w:val="00AC4B41"/>
    <w:rsid w:val="00AC78C4"/>
    <w:rsid w:val="00AC7EBC"/>
    <w:rsid w:val="00AD0414"/>
    <w:rsid w:val="00AD0C46"/>
    <w:rsid w:val="00AD19CD"/>
    <w:rsid w:val="00AD6B14"/>
    <w:rsid w:val="00AF106D"/>
    <w:rsid w:val="00AF7693"/>
    <w:rsid w:val="00B00BEC"/>
    <w:rsid w:val="00B015FA"/>
    <w:rsid w:val="00B018BE"/>
    <w:rsid w:val="00B029CB"/>
    <w:rsid w:val="00B062A5"/>
    <w:rsid w:val="00B07639"/>
    <w:rsid w:val="00B145BF"/>
    <w:rsid w:val="00B24E2D"/>
    <w:rsid w:val="00B35220"/>
    <w:rsid w:val="00B36501"/>
    <w:rsid w:val="00B37675"/>
    <w:rsid w:val="00B37BB9"/>
    <w:rsid w:val="00B4084F"/>
    <w:rsid w:val="00B425E2"/>
    <w:rsid w:val="00B44C02"/>
    <w:rsid w:val="00B5785D"/>
    <w:rsid w:val="00B63DF9"/>
    <w:rsid w:val="00B82A29"/>
    <w:rsid w:val="00B87C3D"/>
    <w:rsid w:val="00B9370E"/>
    <w:rsid w:val="00B94A70"/>
    <w:rsid w:val="00B954E0"/>
    <w:rsid w:val="00BA5891"/>
    <w:rsid w:val="00BA7172"/>
    <w:rsid w:val="00BB24BD"/>
    <w:rsid w:val="00BB6744"/>
    <w:rsid w:val="00BB7DB5"/>
    <w:rsid w:val="00BC0070"/>
    <w:rsid w:val="00BC26CC"/>
    <w:rsid w:val="00BC2C02"/>
    <w:rsid w:val="00BC7B18"/>
    <w:rsid w:val="00BD0350"/>
    <w:rsid w:val="00BD1C6B"/>
    <w:rsid w:val="00BE1AC8"/>
    <w:rsid w:val="00BE5A75"/>
    <w:rsid w:val="00BE5D44"/>
    <w:rsid w:val="00BE7C0A"/>
    <w:rsid w:val="00BF0F6A"/>
    <w:rsid w:val="00BF217E"/>
    <w:rsid w:val="00BF28A5"/>
    <w:rsid w:val="00BF7BB7"/>
    <w:rsid w:val="00C02B7D"/>
    <w:rsid w:val="00C0556A"/>
    <w:rsid w:val="00C127D7"/>
    <w:rsid w:val="00C1403D"/>
    <w:rsid w:val="00C14AF8"/>
    <w:rsid w:val="00C22386"/>
    <w:rsid w:val="00C25F42"/>
    <w:rsid w:val="00C33390"/>
    <w:rsid w:val="00C34259"/>
    <w:rsid w:val="00C35184"/>
    <w:rsid w:val="00C401EA"/>
    <w:rsid w:val="00C508EE"/>
    <w:rsid w:val="00C53119"/>
    <w:rsid w:val="00C54D93"/>
    <w:rsid w:val="00C65D43"/>
    <w:rsid w:val="00C76787"/>
    <w:rsid w:val="00C8067D"/>
    <w:rsid w:val="00C84931"/>
    <w:rsid w:val="00C874BE"/>
    <w:rsid w:val="00CA2859"/>
    <w:rsid w:val="00CA63EA"/>
    <w:rsid w:val="00CA6F24"/>
    <w:rsid w:val="00CB0EA5"/>
    <w:rsid w:val="00CB1895"/>
    <w:rsid w:val="00CB2686"/>
    <w:rsid w:val="00CB3A04"/>
    <w:rsid w:val="00CB3CD3"/>
    <w:rsid w:val="00CB6260"/>
    <w:rsid w:val="00CC0385"/>
    <w:rsid w:val="00CC33E6"/>
    <w:rsid w:val="00CC4294"/>
    <w:rsid w:val="00CD0741"/>
    <w:rsid w:val="00CD2E26"/>
    <w:rsid w:val="00CD4EBE"/>
    <w:rsid w:val="00CD6B28"/>
    <w:rsid w:val="00CE6586"/>
    <w:rsid w:val="00CE6D67"/>
    <w:rsid w:val="00CF46B4"/>
    <w:rsid w:val="00D01CB1"/>
    <w:rsid w:val="00D04142"/>
    <w:rsid w:val="00D0448A"/>
    <w:rsid w:val="00D06466"/>
    <w:rsid w:val="00D11109"/>
    <w:rsid w:val="00D11807"/>
    <w:rsid w:val="00D13A9A"/>
    <w:rsid w:val="00D14092"/>
    <w:rsid w:val="00D14115"/>
    <w:rsid w:val="00D25D01"/>
    <w:rsid w:val="00D32B1A"/>
    <w:rsid w:val="00D34271"/>
    <w:rsid w:val="00D421FE"/>
    <w:rsid w:val="00D42C9F"/>
    <w:rsid w:val="00D44A89"/>
    <w:rsid w:val="00D55923"/>
    <w:rsid w:val="00D65EF0"/>
    <w:rsid w:val="00D72BE6"/>
    <w:rsid w:val="00D7568E"/>
    <w:rsid w:val="00D86B4F"/>
    <w:rsid w:val="00D87DCC"/>
    <w:rsid w:val="00D90999"/>
    <w:rsid w:val="00D9421F"/>
    <w:rsid w:val="00DA2F3E"/>
    <w:rsid w:val="00DA3EF2"/>
    <w:rsid w:val="00DA4B01"/>
    <w:rsid w:val="00DA576A"/>
    <w:rsid w:val="00DB3B15"/>
    <w:rsid w:val="00DB42E6"/>
    <w:rsid w:val="00DC1175"/>
    <w:rsid w:val="00DC1657"/>
    <w:rsid w:val="00DE3793"/>
    <w:rsid w:val="00DE4260"/>
    <w:rsid w:val="00DE55BB"/>
    <w:rsid w:val="00DF388B"/>
    <w:rsid w:val="00DF407F"/>
    <w:rsid w:val="00DF7662"/>
    <w:rsid w:val="00E0284D"/>
    <w:rsid w:val="00E117F2"/>
    <w:rsid w:val="00E12D1E"/>
    <w:rsid w:val="00E13210"/>
    <w:rsid w:val="00E22AB7"/>
    <w:rsid w:val="00E31FA5"/>
    <w:rsid w:val="00E32DEE"/>
    <w:rsid w:val="00E3368B"/>
    <w:rsid w:val="00E36F3C"/>
    <w:rsid w:val="00E3772E"/>
    <w:rsid w:val="00E41D14"/>
    <w:rsid w:val="00E46B5E"/>
    <w:rsid w:val="00E513FD"/>
    <w:rsid w:val="00E51644"/>
    <w:rsid w:val="00E52D7B"/>
    <w:rsid w:val="00E53B23"/>
    <w:rsid w:val="00E56801"/>
    <w:rsid w:val="00E61389"/>
    <w:rsid w:val="00E61BD3"/>
    <w:rsid w:val="00E626CD"/>
    <w:rsid w:val="00E62767"/>
    <w:rsid w:val="00E7456E"/>
    <w:rsid w:val="00E96201"/>
    <w:rsid w:val="00EA5760"/>
    <w:rsid w:val="00EB3C37"/>
    <w:rsid w:val="00EB482D"/>
    <w:rsid w:val="00EB5CE1"/>
    <w:rsid w:val="00EB6780"/>
    <w:rsid w:val="00EB6F6A"/>
    <w:rsid w:val="00EC25B1"/>
    <w:rsid w:val="00EC6115"/>
    <w:rsid w:val="00EC685F"/>
    <w:rsid w:val="00ED23C6"/>
    <w:rsid w:val="00EE2D59"/>
    <w:rsid w:val="00EE5AC1"/>
    <w:rsid w:val="00EE78E4"/>
    <w:rsid w:val="00EF5A97"/>
    <w:rsid w:val="00F06565"/>
    <w:rsid w:val="00F068D0"/>
    <w:rsid w:val="00F135A1"/>
    <w:rsid w:val="00F227CC"/>
    <w:rsid w:val="00F268DA"/>
    <w:rsid w:val="00F26E10"/>
    <w:rsid w:val="00F3277F"/>
    <w:rsid w:val="00F331E2"/>
    <w:rsid w:val="00F3330D"/>
    <w:rsid w:val="00F37DCA"/>
    <w:rsid w:val="00F4068D"/>
    <w:rsid w:val="00F419DF"/>
    <w:rsid w:val="00F42627"/>
    <w:rsid w:val="00F477B4"/>
    <w:rsid w:val="00F56C13"/>
    <w:rsid w:val="00F577F1"/>
    <w:rsid w:val="00F615EB"/>
    <w:rsid w:val="00F72DE0"/>
    <w:rsid w:val="00F7603B"/>
    <w:rsid w:val="00F769DD"/>
    <w:rsid w:val="00F76B43"/>
    <w:rsid w:val="00F77057"/>
    <w:rsid w:val="00F82AAF"/>
    <w:rsid w:val="00F85E40"/>
    <w:rsid w:val="00F905E0"/>
    <w:rsid w:val="00F97007"/>
    <w:rsid w:val="00F974F7"/>
    <w:rsid w:val="00FA0C7E"/>
    <w:rsid w:val="00FB16CE"/>
    <w:rsid w:val="00FB2392"/>
    <w:rsid w:val="00FB3DE2"/>
    <w:rsid w:val="00FC3009"/>
    <w:rsid w:val="00FC5BC0"/>
    <w:rsid w:val="00FC7AEC"/>
    <w:rsid w:val="00FD4AFB"/>
    <w:rsid w:val="00FD5EE2"/>
    <w:rsid w:val="00FD6513"/>
    <w:rsid w:val="00FE4D74"/>
    <w:rsid w:val="00FE7A80"/>
    <w:rsid w:val="00FF1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88AF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370"/>
  </w:style>
  <w:style w:type="paragraph" w:styleId="Heading1">
    <w:name w:val="heading 1"/>
    <w:basedOn w:val="Normal"/>
    <w:next w:val="Normal"/>
    <w:link w:val="Heading1Char"/>
    <w:uiPriority w:val="9"/>
    <w:qFormat/>
    <w:rsid w:val="002F12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A43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909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DC1"/>
  </w:style>
  <w:style w:type="paragraph" w:styleId="Footer">
    <w:name w:val="footer"/>
    <w:basedOn w:val="Normal"/>
    <w:link w:val="FooterChar"/>
    <w:uiPriority w:val="99"/>
    <w:unhideWhenUsed/>
    <w:rsid w:val="00005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DC1"/>
  </w:style>
  <w:style w:type="paragraph" w:styleId="ListParagraph">
    <w:name w:val="List Paragraph"/>
    <w:basedOn w:val="Normal"/>
    <w:uiPriority w:val="34"/>
    <w:qFormat/>
    <w:rsid w:val="00005DC1"/>
    <w:pPr>
      <w:ind w:left="720"/>
      <w:contextualSpacing/>
    </w:pPr>
  </w:style>
  <w:style w:type="character" w:styleId="CommentReference">
    <w:name w:val="annotation reference"/>
    <w:basedOn w:val="DefaultParagraphFont"/>
    <w:uiPriority w:val="99"/>
    <w:semiHidden/>
    <w:unhideWhenUsed/>
    <w:rsid w:val="00D11109"/>
    <w:rPr>
      <w:sz w:val="16"/>
      <w:szCs w:val="16"/>
    </w:rPr>
  </w:style>
  <w:style w:type="paragraph" w:styleId="CommentText">
    <w:name w:val="annotation text"/>
    <w:basedOn w:val="Normal"/>
    <w:link w:val="CommentTextChar"/>
    <w:uiPriority w:val="99"/>
    <w:unhideWhenUsed/>
    <w:rsid w:val="00D11109"/>
    <w:pPr>
      <w:spacing w:after="12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D11109"/>
    <w:rPr>
      <w:rFonts w:eastAsia="Calibri" w:cs="Times New Roman"/>
      <w:sz w:val="20"/>
      <w:szCs w:val="20"/>
    </w:rPr>
  </w:style>
  <w:style w:type="paragraph" w:styleId="BalloonText">
    <w:name w:val="Balloon Text"/>
    <w:basedOn w:val="Normal"/>
    <w:link w:val="BalloonTextChar"/>
    <w:uiPriority w:val="99"/>
    <w:semiHidden/>
    <w:unhideWhenUsed/>
    <w:rsid w:val="00D11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09"/>
    <w:rPr>
      <w:rFonts w:ascii="Segoe UI" w:hAnsi="Segoe UI" w:cs="Segoe UI"/>
      <w:sz w:val="18"/>
      <w:szCs w:val="18"/>
    </w:rPr>
  </w:style>
  <w:style w:type="numbering" w:customStyle="1" w:styleId="BulletList">
    <w:name w:val="Bullet List"/>
    <w:uiPriority w:val="99"/>
    <w:rsid w:val="00DA3EF2"/>
    <w:pPr>
      <w:numPr>
        <w:numId w:val="4"/>
      </w:numPr>
    </w:pPr>
  </w:style>
  <w:style w:type="paragraph" w:styleId="ListBullet">
    <w:name w:val="List Bullet"/>
    <w:basedOn w:val="Normal"/>
    <w:uiPriority w:val="99"/>
    <w:unhideWhenUsed/>
    <w:qFormat/>
    <w:rsid w:val="00DA3EF2"/>
    <w:pPr>
      <w:numPr>
        <w:numId w:val="5"/>
      </w:numPr>
    </w:pPr>
    <w:rPr>
      <w:rFonts w:eastAsia="Calibri" w:cs="Times New Roman"/>
      <w:sz w:val="20"/>
    </w:rPr>
  </w:style>
  <w:style w:type="paragraph" w:styleId="ListBullet2">
    <w:name w:val="List Bullet 2"/>
    <w:basedOn w:val="Normal"/>
    <w:uiPriority w:val="99"/>
    <w:unhideWhenUsed/>
    <w:rsid w:val="00DA3EF2"/>
    <w:pPr>
      <w:numPr>
        <w:ilvl w:val="1"/>
        <w:numId w:val="5"/>
      </w:numPr>
      <w:spacing w:after="120"/>
    </w:pPr>
    <w:rPr>
      <w:rFonts w:eastAsia="Calibri" w:cs="Times New Roman"/>
    </w:rPr>
  </w:style>
  <w:style w:type="paragraph" w:styleId="ListBullet3">
    <w:name w:val="List Bullet 3"/>
    <w:basedOn w:val="Normal"/>
    <w:uiPriority w:val="99"/>
    <w:unhideWhenUsed/>
    <w:rsid w:val="00DA3EF2"/>
    <w:pPr>
      <w:numPr>
        <w:ilvl w:val="2"/>
        <w:numId w:val="5"/>
      </w:numPr>
      <w:spacing w:after="120"/>
    </w:pPr>
    <w:rPr>
      <w:rFonts w:eastAsia="Calibri" w:cs="Times New Roman"/>
    </w:rPr>
  </w:style>
  <w:style w:type="paragraph" w:styleId="ListBullet4">
    <w:name w:val="List Bullet 4"/>
    <w:basedOn w:val="Normal"/>
    <w:uiPriority w:val="99"/>
    <w:unhideWhenUsed/>
    <w:rsid w:val="00DA3EF2"/>
    <w:pPr>
      <w:numPr>
        <w:ilvl w:val="3"/>
        <w:numId w:val="5"/>
      </w:numPr>
      <w:spacing w:after="120"/>
    </w:pPr>
    <w:rPr>
      <w:rFonts w:eastAsia="Calibri" w:cs="Times New Roman"/>
    </w:rPr>
  </w:style>
  <w:style w:type="paragraph" w:styleId="ListBullet5">
    <w:name w:val="List Bullet 5"/>
    <w:basedOn w:val="Normal"/>
    <w:uiPriority w:val="99"/>
    <w:unhideWhenUsed/>
    <w:rsid w:val="00DA3EF2"/>
    <w:pPr>
      <w:numPr>
        <w:ilvl w:val="4"/>
        <w:numId w:val="5"/>
      </w:numPr>
      <w:spacing w:after="120"/>
    </w:pPr>
    <w:rPr>
      <w:rFonts w:eastAsia="Calibri" w:cs="Times New Roman"/>
    </w:rPr>
  </w:style>
  <w:style w:type="table" w:styleId="TableGrid">
    <w:name w:val="Table Grid"/>
    <w:basedOn w:val="TableNormal"/>
    <w:uiPriority w:val="59"/>
    <w:rsid w:val="00DA3EF2"/>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CommentSubject">
    <w:name w:val="annotation subject"/>
    <w:basedOn w:val="CommentText"/>
    <w:next w:val="CommentText"/>
    <w:link w:val="CommentSubjectChar"/>
    <w:uiPriority w:val="99"/>
    <w:semiHidden/>
    <w:unhideWhenUsed/>
    <w:rsid w:val="006377B1"/>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6377B1"/>
    <w:rPr>
      <w:rFonts w:eastAsia="Calibri" w:cs="Times New Roman"/>
      <w:b/>
      <w:bCs/>
      <w:sz w:val="20"/>
      <w:szCs w:val="20"/>
    </w:rPr>
  </w:style>
  <w:style w:type="paragraph" w:customStyle="1" w:styleId="Default">
    <w:name w:val="Default"/>
    <w:rsid w:val="00F3277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16575"/>
    <w:rPr>
      <w:b/>
      <w:bCs/>
      <w:sz w:val="24"/>
      <w:szCs w:val="24"/>
      <w:bdr w:val="none" w:sz="0" w:space="0" w:color="auto" w:frame="1"/>
      <w:vertAlign w:val="baseline"/>
    </w:rPr>
  </w:style>
  <w:style w:type="paragraph" w:styleId="NormalWeb">
    <w:name w:val="Normal (Web)"/>
    <w:basedOn w:val="Normal"/>
    <w:uiPriority w:val="99"/>
    <w:semiHidden/>
    <w:unhideWhenUsed/>
    <w:rsid w:val="00316575"/>
    <w:pPr>
      <w:spacing w:after="240" w:line="240" w:lineRule="auto"/>
      <w:textAlignment w:val="baseline"/>
    </w:pPr>
    <w:rPr>
      <w:rFonts w:ascii="Times New Roman" w:eastAsia="Times New Roman" w:hAnsi="Times New Roman" w:cs="Times New Roman"/>
      <w:sz w:val="24"/>
      <w:szCs w:val="24"/>
      <w:lang w:eastAsia="en-AU"/>
    </w:rPr>
  </w:style>
  <w:style w:type="paragraph" w:customStyle="1" w:styleId="CM11">
    <w:name w:val="CM11"/>
    <w:basedOn w:val="Default"/>
    <w:next w:val="Default"/>
    <w:uiPriority w:val="99"/>
    <w:rsid w:val="00316575"/>
    <w:rPr>
      <w:rFonts w:ascii="Calibri" w:hAnsi="Calibri" w:cstheme="minorBidi"/>
      <w:color w:val="auto"/>
    </w:rPr>
  </w:style>
  <w:style w:type="character" w:styleId="Hyperlink">
    <w:name w:val="Hyperlink"/>
    <w:basedOn w:val="DefaultParagraphFont"/>
    <w:uiPriority w:val="99"/>
    <w:unhideWhenUsed/>
    <w:rsid w:val="008D461B"/>
    <w:rPr>
      <w:color w:val="0000FF" w:themeColor="hyperlink"/>
      <w:u w:val="single"/>
    </w:rPr>
  </w:style>
  <w:style w:type="character" w:customStyle="1" w:styleId="Heading1Char">
    <w:name w:val="Heading 1 Char"/>
    <w:basedOn w:val="DefaultParagraphFont"/>
    <w:link w:val="Heading1"/>
    <w:uiPriority w:val="9"/>
    <w:rsid w:val="002F123F"/>
    <w:rPr>
      <w:rFonts w:asciiTheme="majorHAnsi" w:eastAsiaTheme="majorEastAsia" w:hAnsiTheme="majorHAnsi" w:cstheme="majorBidi"/>
      <w:color w:val="365F91" w:themeColor="accent1" w:themeShade="BF"/>
      <w:sz w:val="32"/>
      <w:szCs w:val="32"/>
    </w:rPr>
  </w:style>
  <w:style w:type="numbering" w:customStyle="1" w:styleId="MELegal">
    <w:name w:val="ME Legal"/>
    <w:uiPriority w:val="99"/>
    <w:rsid w:val="00F26E10"/>
    <w:pPr>
      <w:numPr>
        <w:numId w:val="12"/>
      </w:numPr>
    </w:pPr>
  </w:style>
  <w:style w:type="paragraph" w:customStyle="1" w:styleId="MELegal1">
    <w:name w:val="ME Legal 1"/>
    <w:aliases w:val="l1,ME Legal 11,RFTLevel1"/>
    <w:basedOn w:val="Normal"/>
    <w:next w:val="Normal"/>
    <w:qFormat/>
    <w:rsid w:val="00F26E10"/>
    <w:pPr>
      <w:keepNext/>
      <w:numPr>
        <w:numId w:val="12"/>
      </w:numPr>
      <w:spacing w:before="480" w:after="60" w:line="240" w:lineRule="atLeast"/>
      <w:outlineLvl w:val="0"/>
    </w:pPr>
    <w:rPr>
      <w:rFonts w:ascii="Arial" w:eastAsia="Times New Roman" w:hAnsi="Arial" w:cs="Angsana New"/>
      <w:spacing w:val="-6"/>
      <w:sz w:val="28"/>
      <w:lang w:eastAsia="zh-CN" w:bidi="th-TH"/>
    </w:rPr>
  </w:style>
  <w:style w:type="paragraph" w:customStyle="1" w:styleId="MELegal2">
    <w:name w:val="ME Legal 2"/>
    <w:aliases w:val="l2,RFTLevel2,ME Legal 21"/>
    <w:basedOn w:val="Normal"/>
    <w:next w:val="Normal"/>
    <w:qFormat/>
    <w:rsid w:val="00F26E10"/>
    <w:pPr>
      <w:keepNext/>
      <w:numPr>
        <w:ilvl w:val="1"/>
        <w:numId w:val="12"/>
      </w:numPr>
      <w:spacing w:before="240" w:after="60" w:line="240" w:lineRule="atLeast"/>
      <w:outlineLvl w:val="1"/>
    </w:pPr>
    <w:rPr>
      <w:rFonts w:ascii="Arial Bold" w:eastAsia="Times New Roman" w:hAnsi="Arial Bold" w:cs="Angsana New"/>
      <w:b/>
      <w:spacing w:val="-6"/>
      <w:lang w:eastAsia="zh-CN" w:bidi="th-TH"/>
    </w:rPr>
  </w:style>
  <w:style w:type="paragraph" w:customStyle="1" w:styleId="MELegal3">
    <w:name w:val="ME Legal 3"/>
    <w:aliases w:val="l3,ME Legal 31,3"/>
    <w:basedOn w:val="Normal"/>
    <w:link w:val="MELegal3Char"/>
    <w:qFormat/>
    <w:rsid w:val="00F26E10"/>
    <w:pPr>
      <w:numPr>
        <w:ilvl w:val="2"/>
        <w:numId w:val="12"/>
      </w:numPr>
      <w:spacing w:after="120" w:line="240" w:lineRule="atLeast"/>
      <w:outlineLvl w:val="2"/>
    </w:pPr>
    <w:rPr>
      <w:rFonts w:ascii="Arial" w:eastAsia="Times New Roman" w:hAnsi="Arial" w:cs="Angsana New"/>
      <w:sz w:val="20"/>
      <w:lang w:eastAsia="zh-CN" w:bidi="th-TH"/>
    </w:rPr>
  </w:style>
  <w:style w:type="paragraph" w:customStyle="1" w:styleId="MELegal4">
    <w:name w:val="ME Legal 4"/>
    <w:aliases w:val="l4,ME Legal 41"/>
    <w:basedOn w:val="Normal"/>
    <w:qFormat/>
    <w:rsid w:val="00F26E10"/>
    <w:pPr>
      <w:numPr>
        <w:ilvl w:val="3"/>
        <w:numId w:val="12"/>
      </w:numPr>
      <w:spacing w:after="120" w:line="240" w:lineRule="atLeast"/>
      <w:outlineLvl w:val="3"/>
    </w:pPr>
    <w:rPr>
      <w:rFonts w:ascii="Arial" w:eastAsia="Times New Roman" w:hAnsi="Arial" w:cs="Angsana New"/>
      <w:sz w:val="20"/>
      <w:lang w:eastAsia="zh-CN" w:bidi="th-TH"/>
    </w:rPr>
  </w:style>
  <w:style w:type="paragraph" w:customStyle="1" w:styleId="MELegal5">
    <w:name w:val="ME Legal 5"/>
    <w:aliases w:val="l5,ME Legal 51"/>
    <w:basedOn w:val="Normal"/>
    <w:qFormat/>
    <w:rsid w:val="00F26E10"/>
    <w:pPr>
      <w:numPr>
        <w:ilvl w:val="4"/>
        <w:numId w:val="12"/>
      </w:numPr>
      <w:spacing w:after="120" w:line="240" w:lineRule="atLeast"/>
      <w:outlineLvl w:val="4"/>
    </w:pPr>
    <w:rPr>
      <w:rFonts w:ascii="Arial" w:eastAsia="Times New Roman" w:hAnsi="Arial" w:cs="Angsana New"/>
      <w:sz w:val="20"/>
      <w:lang w:eastAsia="zh-CN" w:bidi="th-TH"/>
    </w:rPr>
  </w:style>
  <w:style w:type="paragraph" w:customStyle="1" w:styleId="MELegal6">
    <w:name w:val="ME Legal 6"/>
    <w:basedOn w:val="Normal"/>
    <w:qFormat/>
    <w:rsid w:val="00F26E10"/>
    <w:pPr>
      <w:numPr>
        <w:ilvl w:val="5"/>
        <w:numId w:val="12"/>
      </w:numPr>
      <w:spacing w:after="120" w:line="240" w:lineRule="atLeast"/>
      <w:outlineLvl w:val="5"/>
    </w:pPr>
    <w:rPr>
      <w:rFonts w:ascii="Arial" w:eastAsia="Times New Roman" w:hAnsi="Arial" w:cs="Angsana New"/>
      <w:sz w:val="20"/>
      <w:lang w:eastAsia="zh-CN" w:bidi="th-TH"/>
    </w:rPr>
  </w:style>
  <w:style w:type="paragraph" w:customStyle="1" w:styleId="MELegal7">
    <w:name w:val="ME Legal 7"/>
    <w:basedOn w:val="Normal"/>
    <w:qFormat/>
    <w:rsid w:val="00F26E10"/>
    <w:pPr>
      <w:numPr>
        <w:ilvl w:val="6"/>
        <w:numId w:val="12"/>
      </w:numPr>
      <w:spacing w:after="120" w:line="240" w:lineRule="atLeast"/>
    </w:pPr>
    <w:rPr>
      <w:rFonts w:ascii="Arial" w:eastAsia="Times New Roman" w:hAnsi="Arial" w:cs="Angsana New"/>
      <w:sz w:val="20"/>
      <w:lang w:eastAsia="zh-CN" w:bidi="th-TH"/>
    </w:rPr>
  </w:style>
  <w:style w:type="paragraph" w:customStyle="1" w:styleId="MELegal8">
    <w:name w:val="ME Legal 8"/>
    <w:basedOn w:val="Normal"/>
    <w:unhideWhenUsed/>
    <w:qFormat/>
    <w:rsid w:val="00F26E10"/>
    <w:pPr>
      <w:numPr>
        <w:ilvl w:val="7"/>
        <w:numId w:val="12"/>
      </w:numPr>
      <w:spacing w:after="120" w:line="240" w:lineRule="atLeast"/>
    </w:pPr>
    <w:rPr>
      <w:rFonts w:ascii="Arial" w:eastAsia="Times New Roman" w:hAnsi="Arial" w:cs="Angsana New"/>
      <w:sz w:val="20"/>
      <w:lang w:eastAsia="zh-CN" w:bidi="th-TH"/>
    </w:rPr>
  </w:style>
  <w:style w:type="paragraph" w:customStyle="1" w:styleId="MELegal9">
    <w:name w:val="ME Legal 9"/>
    <w:basedOn w:val="Normal"/>
    <w:unhideWhenUsed/>
    <w:qFormat/>
    <w:rsid w:val="00F26E10"/>
    <w:pPr>
      <w:numPr>
        <w:ilvl w:val="8"/>
        <w:numId w:val="12"/>
      </w:numPr>
      <w:spacing w:after="120" w:line="240" w:lineRule="atLeast"/>
    </w:pPr>
    <w:rPr>
      <w:rFonts w:ascii="Arial" w:eastAsia="Times New Roman" w:hAnsi="Arial" w:cs="Angsana New"/>
      <w:sz w:val="20"/>
      <w:lang w:eastAsia="zh-CN" w:bidi="th-TH"/>
    </w:rPr>
  </w:style>
  <w:style w:type="character" w:customStyle="1" w:styleId="MELegal3Char">
    <w:name w:val="ME Legal 3 Char"/>
    <w:aliases w:val="l3 Char Char,l3 Char,3 Char Char,ME Legal 31 Char,l3 + Arial Char,11 pt Char,Left:  0 cm Char,First line:  0 cm + (Latin) Arial Char,(C... Char Char,ME Legal 31 Char Char,ME Legal 3 Char1,Level 1 - 2 Char,Level 1 - 1 Char,head3 Char"/>
    <w:basedOn w:val="DefaultParagraphFont"/>
    <w:link w:val="MELegal3"/>
    <w:rsid w:val="00F26E10"/>
    <w:rPr>
      <w:rFonts w:ascii="Arial" w:eastAsia="Times New Roman" w:hAnsi="Arial" w:cs="Angsana New"/>
      <w:sz w:val="20"/>
      <w:lang w:eastAsia="zh-CN" w:bidi="th-TH"/>
    </w:rPr>
  </w:style>
  <w:style w:type="paragraph" w:customStyle="1" w:styleId="Level1">
    <w:name w:val="Level 1"/>
    <w:basedOn w:val="Normal"/>
    <w:uiPriority w:val="3"/>
    <w:qFormat/>
    <w:rsid w:val="00C65D43"/>
    <w:pPr>
      <w:numPr>
        <w:numId w:val="13"/>
      </w:numPr>
      <w:spacing w:after="120" w:line="240" w:lineRule="atLeast"/>
      <w:outlineLvl w:val="0"/>
    </w:pPr>
    <w:rPr>
      <w:rFonts w:ascii="Arial" w:eastAsia="Times New Roman" w:hAnsi="Arial" w:cs="Angsana New"/>
      <w:sz w:val="20"/>
      <w:lang w:eastAsia="zh-CN" w:bidi="th-TH"/>
    </w:rPr>
  </w:style>
  <w:style w:type="paragraph" w:customStyle="1" w:styleId="Level2">
    <w:name w:val="Level 2"/>
    <w:basedOn w:val="Normal"/>
    <w:uiPriority w:val="3"/>
    <w:qFormat/>
    <w:rsid w:val="00C65D43"/>
    <w:pPr>
      <w:numPr>
        <w:ilvl w:val="1"/>
        <w:numId w:val="13"/>
      </w:numPr>
      <w:spacing w:after="120" w:line="240" w:lineRule="atLeast"/>
      <w:outlineLvl w:val="1"/>
    </w:pPr>
    <w:rPr>
      <w:rFonts w:ascii="Arial" w:eastAsia="Times New Roman" w:hAnsi="Arial" w:cs="Angsana New"/>
      <w:sz w:val="20"/>
      <w:lang w:eastAsia="zh-CN" w:bidi="th-TH"/>
    </w:rPr>
  </w:style>
  <w:style w:type="paragraph" w:customStyle="1" w:styleId="Level3">
    <w:name w:val="Level 3"/>
    <w:basedOn w:val="Normal"/>
    <w:uiPriority w:val="3"/>
    <w:qFormat/>
    <w:rsid w:val="00C65D43"/>
    <w:pPr>
      <w:numPr>
        <w:ilvl w:val="2"/>
        <w:numId w:val="13"/>
      </w:numPr>
      <w:spacing w:after="120" w:line="240" w:lineRule="atLeast"/>
      <w:outlineLvl w:val="2"/>
    </w:pPr>
    <w:rPr>
      <w:rFonts w:ascii="Arial" w:eastAsia="Times New Roman" w:hAnsi="Arial" w:cs="Angsana New"/>
      <w:sz w:val="20"/>
      <w:lang w:eastAsia="zh-CN" w:bidi="th-TH"/>
    </w:rPr>
  </w:style>
  <w:style w:type="numbering" w:customStyle="1" w:styleId="Level">
    <w:name w:val="Level"/>
    <w:uiPriority w:val="99"/>
    <w:rsid w:val="00C65D43"/>
    <w:pPr>
      <w:numPr>
        <w:numId w:val="13"/>
      </w:numPr>
    </w:pPr>
  </w:style>
  <w:style w:type="paragraph" w:customStyle="1" w:styleId="Level4">
    <w:name w:val="Level 4"/>
    <w:basedOn w:val="Normal"/>
    <w:uiPriority w:val="3"/>
    <w:qFormat/>
    <w:rsid w:val="00C65D43"/>
    <w:pPr>
      <w:numPr>
        <w:ilvl w:val="3"/>
        <w:numId w:val="13"/>
      </w:numPr>
      <w:spacing w:after="120" w:line="240" w:lineRule="atLeast"/>
    </w:pPr>
    <w:rPr>
      <w:rFonts w:ascii="Arial" w:eastAsia="Times New Roman" w:hAnsi="Arial" w:cs="Angsana New"/>
      <w:sz w:val="20"/>
      <w:lang w:eastAsia="zh-CN" w:bidi="th-TH"/>
    </w:rPr>
  </w:style>
  <w:style w:type="paragraph" w:customStyle="1" w:styleId="Level5">
    <w:name w:val="Level 5"/>
    <w:basedOn w:val="Normal"/>
    <w:uiPriority w:val="3"/>
    <w:qFormat/>
    <w:rsid w:val="00C65D43"/>
    <w:pPr>
      <w:numPr>
        <w:ilvl w:val="4"/>
        <w:numId w:val="13"/>
      </w:numPr>
      <w:spacing w:after="120" w:line="240" w:lineRule="atLeast"/>
    </w:pPr>
    <w:rPr>
      <w:rFonts w:ascii="Arial" w:eastAsia="Times New Roman" w:hAnsi="Arial" w:cs="Angsana New"/>
      <w:sz w:val="20"/>
      <w:lang w:eastAsia="zh-CN" w:bidi="th-TH"/>
    </w:rPr>
  </w:style>
  <w:style w:type="paragraph" w:customStyle="1" w:styleId="Level6">
    <w:name w:val="Level 6"/>
    <w:basedOn w:val="Normal"/>
    <w:uiPriority w:val="3"/>
    <w:qFormat/>
    <w:rsid w:val="00C65D43"/>
    <w:pPr>
      <w:numPr>
        <w:ilvl w:val="5"/>
        <w:numId w:val="13"/>
      </w:numPr>
      <w:spacing w:after="120" w:line="240" w:lineRule="atLeast"/>
    </w:pPr>
    <w:rPr>
      <w:rFonts w:ascii="Arial" w:eastAsia="Times New Roman" w:hAnsi="Arial" w:cs="Angsana New"/>
      <w:sz w:val="20"/>
      <w:lang w:eastAsia="zh-CN" w:bidi="th-TH"/>
    </w:rPr>
  </w:style>
  <w:style w:type="paragraph" w:customStyle="1" w:styleId="Level7">
    <w:name w:val="Level 7"/>
    <w:basedOn w:val="Normal"/>
    <w:uiPriority w:val="3"/>
    <w:unhideWhenUsed/>
    <w:qFormat/>
    <w:rsid w:val="00C65D43"/>
    <w:pPr>
      <w:numPr>
        <w:ilvl w:val="6"/>
        <w:numId w:val="13"/>
      </w:numPr>
      <w:spacing w:after="120" w:line="240" w:lineRule="atLeast"/>
    </w:pPr>
    <w:rPr>
      <w:rFonts w:ascii="Arial" w:eastAsia="Times New Roman" w:hAnsi="Arial" w:cs="Angsana New"/>
      <w:sz w:val="20"/>
      <w:lang w:eastAsia="zh-CN" w:bidi="th-TH"/>
    </w:rPr>
  </w:style>
  <w:style w:type="paragraph" w:customStyle="1" w:styleId="Level8">
    <w:name w:val="Level 8"/>
    <w:basedOn w:val="Normal"/>
    <w:uiPriority w:val="3"/>
    <w:unhideWhenUsed/>
    <w:qFormat/>
    <w:rsid w:val="00C65D43"/>
    <w:pPr>
      <w:numPr>
        <w:ilvl w:val="7"/>
        <w:numId w:val="13"/>
      </w:numPr>
      <w:spacing w:after="120" w:line="240" w:lineRule="atLeast"/>
    </w:pPr>
    <w:rPr>
      <w:rFonts w:ascii="Arial" w:eastAsia="Times New Roman" w:hAnsi="Arial" w:cs="Angsana New"/>
      <w:sz w:val="20"/>
      <w:lang w:eastAsia="zh-CN" w:bidi="th-TH"/>
    </w:rPr>
  </w:style>
  <w:style w:type="paragraph" w:customStyle="1" w:styleId="Level9">
    <w:name w:val="Level 9"/>
    <w:basedOn w:val="Normal"/>
    <w:uiPriority w:val="3"/>
    <w:unhideWhenUsed/>
    <w:qFormat/>
    <w:rsid w:val="00C65D43"/>
    <w:pPr>
      <w:numPr>
        <w:ilvl w:val="8"/>
        <w:numId w:val="13"/>
      </w:numPr>
      <w:spacing w:after="120" w:line="240" w:lineRule="atLeast"/>
    </w:pPr>
    <w:rPr>
      <w:rFonts w:ascii="Arial" w:eastAsia="Times New Roman" w:hAnsi="Arial" w:cs="Angsana New"/>
      <w:sz w:val="20"/>
      <w:lang w:eastAsia="zh-CN" w:bidi="th-TH"/>
    </w:rPr>
  </w:style>
  <w:style w:type="paragraph" w:styleId="TOCHeading">
    <w:name w:val="TOC Heading"/>
    <w:basedOn w:val="Heading1"/>
    <w:next w:val="Normal"/>
    <w:uiPriority w:val="39"/>
    <w:unhideWhenUsed/>
    <w:qFormat/>
    <w:rsid w:val="00885A9F"/>
    <w:pPr>
      <w:spacing w:line="259" w:lineRule="auto"/>
      <w:outlineLvl w:val="9"/>
    </w:pPr>
    <w:rPr>
      <w:lang w:val="en-US"/>
    </w:rPr>
  </w:style>
  <w:style w:type="paragraph" w:styleId="TOC1">
    <w:name w:val="toc 1"/>
    <w:basedOn w:val="Normal"/>
    <w:next w:val="Normal"/>
    <w:autoRedefine/>
    <w:uiPriority w:val="39"/>
    <w:unhideWhenUsed/>
    <w:rsid w:val="00430284"/>
    <w:pPr>
      <w:tabs>
        <w:tab w:val="right" w:leader="dot" w:pos="9016"/>
      </w:tabs>
      <w:spacing w:after="100"/>
    </w:pPr>
  </w:style>
  <w:style w:type="character" w:styleId="FollowedHyperlink">
    <w:name w:val="FollowedHyperlink"/>
    <w:basedOn w:val="DefaultParagraphFont"/>
    <w:uiPriority w:val="99"/>
    <w:semiHidden/>
    <w:unhideWhenUsed/>
    <w:rsid w:val="0055111B"/>
    <w:rPr>
      <w:color w:val="800080" w:themeColor="followedHyperlink"/>
      <w:u w:val="single"/>
    </w:rPr>
  </w:style>
  <w:style w:type="paragraph" w:styleId="Revision">
    <w:name w:val="Revision"/>
    <w:hidden/>
    <w:uiPriority w:val="99"/>
    <w:semiHidden/>
    <w:rsid w:val="00BF0F6A"/>
    <w:pPr>
      <w:spacing w:after="0" w:line="240" w:lineRule="auto"/>
    </w:pPr>
  </w:style>
  <w:style w:type="character" w:customStyle="1" w:styleId="Heading2Char">
    <w:name w:val="Heading 2 Char"/>
    <w:basedOn w:val="DefaultParagraphFont"/>
    <w:link w:val="Heading2"/>
    <w:uiPriority w:val="9"/>
    <w:rsid w:val="006A433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675580"/>
    <w:pPr>
      <w:spacing w:after="100"/>
      <w:ind w:left="220"/>
    </w:pPr>
  </w:style>
  <w:style w:type="paragraph" w:styleId="FootnoteText">
    <w:name w:val="footnote text"/>
    <w:basedOn w:val="Normal"/>
    <w:link w:val="FootnoteTextChar"/>
    <w:uiPriority w:val="99"/>
    <w:semiHidden/>
    <w:unhideWhenUsed/>
    <w:rsid w:val="00C14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03D"/>
    <w:rPr>
      <w:sz w:val="20"/>
      <w:szCs w:val="20"/>
    </w:rPr>
  </w:style>
  <w:style w:type="character" w:styleId="FootnoteReference">
    <w:name w:val="footnote reference"/>
    <w:basedOn w:val="DefaultParagraphFont"/>
    <w:uiPriority w:val="99"/>
    <w:semiHidden/>
    <w:unhideWhenUsed/>
    <w:rsid w:val="00C1403D"/>
    <w:rPr>
      <w:vertAlign w:val="superscript"/>
    </w:rPr>
  </w:style>
  <w:style w:type="character" w:customStyle="1" w:styleId="Heading4Char">
    <w:name w:val="Heading 4 Char"/>
    <w:basedOn w:val="DefaultParagraphFont"/>
    <w:link w:val="Heading4"/>
    <w:uiPriority w:val="9"/>
    <w:semiHidden/>
    <w:rsid w:val="00690952"/>
    <w:rPr>
      <w:rFonts w:asciiTheme="majorHAnsi" w:eastAsiaTheme="majorEastAsia" w:hAnsiTheme="majorHAnsi" w:cstheme="majorBidi"/>
      <w:i/>
      <w:iCs/>
      <w:color w:val="365F91" w:themeColor="accent1" w:themeShade="BF"/>
    </w:rPr>
  </w:style>
  <w:style w:type="paragraph" w:customStyle="1" w:styleId="s4-wptoptable1">
    <w:name w:val="s4-wptoptable1"/>
    <w:basedOn w:val="Normal"/>
    <w:rsid w:val="006909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FE4D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4D74"/>
    <w:rPr>
      <w:sz w:val="20"/>
      <w:szCs w:val="20"/>
    </w:rPr>
  </w:style>
  <w:style w:type="character" w:styleId="EndnoteReference">
    <w:name w:val="endnote reference"/>
    <w:basedOn w:val="DefaultParagraphFont"/>
    <w:uiPriority w:val="99"/>
    <w:semiHidden/>
    <w:unhideWhenUsed/>
    <w:rsid w:val="00FE4D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555">
      <w:bodyDiv w:val="1"/>
      <w:marLeft w:val="0"/>
      <w:marRight w:val="0"/>
      <w:marTop w:val="0"/>
      <w:marBottom w:val="0"/>
      <w:divBdr>
        <w:top w:val="none" w:sz="0" w:space="0" w:color="auto"/>
        <w:left w:val="none" w:sz="0" w:space="0" w:color="auto"/>
        <w:bottom w:val="none" w:sz="0" w:space="0" w:color="auto"/>
        <w:right w:val="none" w:sz="0" w:space="0" w:color="auto"/>
      </w:divBdr>
      <w:divsChild>
        <w:div w:id="1052191834">
          <w:marLeft w:val="0"/>
          <w:marRight w:val="0"/>
          <w:marTop w:val="0"/>
          <w:marBottom w:val="0"/>
          <w:divBdr>
            <w:top w:val="none" w:sz="0" w:space="0" w:color="auto"/>
            <w:left w:val="none" w:sz="0" w:space="0" w:color="auto"/>
            <w:bottom w:val="none" w:sz="0" w:space="0" w:color="auto"/>
            <w:right w:val="none" w:sz="0" w:space="0" w:color="auto"/>
          </w:divBdr>
          <w:divsChild>
            <w:div w:id="1604848319">
              <w:marLeft w:val="0"/>
              <w:marRight w:val="0"/>
              <w:marTop w:val="0"/>
              <w:marBottom w:val="0"/>
              <w:divBdr>
                <w:top w:val="none" w:sz="0" w:space="0" w:color="auto"/>
                <w:left w:val="none" w:sz="0" w:space="0" w:color="auto"/>
                <w:bottom w:val="none" w:sz="0" w:space="0" w:color="auto"/>
                <w:right w:val="none" w:sz="0" w:space="0" w:color="auto"/>
              </w:divBdr>
              <w:divsChild>
                <w:div w:id="1892307783">
                  <w:marLeft w:val="0"/>
                  <w:marRight w:val="0"/>
                  <w:marTop w:val="0"/>
                  <w:marBottom w:val="0"/>
                  <w:divBdr>
                    <w:top w:val="none" w:sz="0" w:space="0" w:color="auto"/>
                    <w:left w:val="none" w:sz="0" w:space="0" w:color="auto"/>
                    <w:bottom w:val="none" w:sz="0" w:space="0" w:color="auto"/>
                    <w:right w:val="none" w:sz="0" w:space="0" w:color="auto"/>
                  </w:divBdr>
                  <w:divsChild>
                    <w:div w:id="2017228551">
                      <w:marLeft w:val="3000"/>
                      <w:marRight w:val="0"/>
                      <w:marTop w:val="0"/>
                      <w:marBottom w:val="0"/>
                      <w:divBdr>
                        <w:top w:val="none" w:sz="0" w:space="0" w:color="auto"/>
                        <w:left w:val="none" w:sz="0" w:space="0" w:color="auto"/>
                        <w:bottom w:val="none" w:sz="0" w:space="0" w:color="auto"/>
                        <w:right w:val="none" w:sz="0" w:space="0" w:color="auto"/>
                      </w:divBdr>
                      <w:divsChild>
                        <w:div w:id="330371240">
                          <w:marLeft w:val="0"/>
                          <w:marRight w:val="0"/>
                          <w:marTop w:val="0"/>
                          <w:marBottom w:val="0"/>
                          <w:divBdr>
                            <w:top w:val="none" w:sz="0" w:space="0" w:color="auto"/>
                            <w:left w:val="none" w:sz="0" w:space="0" w:color="auto"/>
                            <w:bottom w:val="none" w:sz="0" w:space="0" w:color="auto"/>
                            <w:right w:val="none" w:sz="0" w:space="0" w:color="auto"/>
                          </w:divBdr>
                          <w:divsChild>
                            <w:div w:id="29769506">
                              <w:marLeft w:val="0"/>
                              <w:marRight w:val="0"/>
                              <w:marTop w:val="0"/>
                              <w:marBottom w:val="0"/>
                              <w:divBdr>
                                <w:top w:val="none" w:sz="0" w:space="0" w:color="auto"/>
                                <w:left w:val="none" w:sz="0" w:space="0" w:color="auto"/>
                                <w:bottom w:val="none" w:sz="0" w:space="0" w:color="auto"/>
                                <w:right w:val="none" w:sz="0" w:space="0" w:color="auto"/>
                              </w:divBdr>
                              <w:divsChild>
                                <w:div w:id="1436486623">
                                  <w:marLeft w:val="1"/>
                                  <w:marRight w:val="1"/>
                                  <w:marTop w:val="0"/>
                                  <w:marBottom w:val="0"/>
                                  <w:divBdr>
                                    <w:top w:val="none" w:sz="0" w:space="0" w:color="auto"/>
                                    <w:left w:val="none" w:sz="0" w:space="0" w:color="auto"/>
                                    <w:bottom w:val="none" w:sz="0" w:space="0" w:color="auto"/>
                                    <w:right w:val="none" w:sz="0" w:space="0" w:color="auto"/>
                                  </w:divBdr>
                                  <w:divsChild>
                                    <w:div w:id="2041973659">
                                      <w:marLeft w:val="0"/>
                                      <w:marRight w:val="0"/>
                                      <w:marTop w:val="0"/>
                                      <w:marBottom w:val="0"/>
                                      <w:divBdr>
                                        <w:top w:val="none" w:sz="0" w:space="0" w:color="auto"/>
                                        <w:left w:val="none" w:sz="0" w:space="0" w:color="auto"/>
                                        <w:bottom w:val="none" w:sz="0" w:space="0" w:color="auto"/>
                                        <w:right w:val="none" w:sz="0" w:space="0" w:color="auto"/>
                                      </w:divBdr>
                                      <w:divsChild>
                                        <w:div w:id="1992517098">
                                          <w:marLeft w:val="0"/>
                                          <w:marRight w:val="0"/>
                                          <w:marTop w:val="0"/>
                                          <w:marBottom w:val="0"/>
                                          <w:divBdr>
                                            <w:top w:val="none" w:sz="0" w:space="0" w:color="auto"/>
                                            <w:left w:val="none" w:sz="0" w:space="0" w:color="auto"/>
                                            <w:bottom w:val="none" w:sz="0" w:space="0" w:color="auto"/>
                                            <w:right w:val="none" w:sz="0" w:space="0" w:color="auto"/>
                                          </w:divBdr>
                                          <w:divsChild>
                                            <w:div w:id="1265848399">
                                              <w:marLeft w:val="0"/>
                                              <w:marRight w:val="0"/>
                                              <w:marTop w:val="0"/>
                                              <w:marBottom w:val="0"/>
                                              <w:divBdr>
                                                <w:top w:val="none" w:sz="0" w:space="0" w:color="auto"/>
                                                <w:left w:val="none" w:sz="0" w:space="0" w:color="auto"/>
                                                <w:bottom w:val="none" w:sz="0" w:space="0" w:color="auto"/>
                                                <w:right w:val="none" w:sz="0" w:space="0" w:color="auto"/>
                                              </w:divBdr>
                                              <w:divsChild>
                                                <w:div w:id="349374460">
                                                  <w:marLeft w:val="0"/>
                                                  <w:marRight w:val="0"/>
                                                  <w:marTop w:val="0"/>
                                                  <w:marBottom w:val="0"/>
                                                  <w:divBdr>
                                                    <w:top w:val="none" w:sz="0" w:space="0" w:color="auto"/>
                                                    <w:left w:val="none" w:sz="0" w:space="0" w:color="auto"/>
                                                    <w:bottom w:val="none" w:sz="0" w:space="0" w:color="auto"/>
                                                    <w:right w:val="none" w:sz="0" w:space="0" w:color="auto"/>
                                                  </w:divBdr>
                                                  <w:divsChild>
                                                    <w:div w:id="671177091">
                                                      <w:marLeft w:val="0"/>
                                                      <w:marRight w:val="0"/>
                                                      <w:marTop w:val="0"/>
                                                      <w:marBottom w:val="0"/>
                                                      <w:divBdr>
                                                        <w:top w:val="none" w:sz="0" w:space="0" w:color="auto"/>
                                                        <w:left w:val="none" w:sz="0" w:space="0" w:color="auto"/>
                                                        <w:bottom w:val="none" w:sz="0" w:space="0" w:color="auto"/>
                                                        <w:right w:val="none" w:sz="0" w:space="0" w:color="auto"/>
                                                      </w:divBdr>
                                                      <w:divsChild>
                                                        <w:div w:id="1499076440">
                                                          <w:marLeft w:val="0"/>
                                                          <w:marRight w:val="0"/>
                                                          <w:marTop w:val="0"/>
                                                          <w:marBottom w:val="0"/>
                                                          <w:divBdr>
                                                            <w:top w:val="none" w:sz="0" w:space="0" w:color="auto"/>
                                                            <w:left w:val="none" w:sz="0" w:space="0" w:color="auto"/>
                                                            <w:bottom w:val="none" w:sz="0" w:space="0" w:color="auto"/>
                                                            <w:right w:val="none" w:sz="0" w:space="0" w:color="auto"/>
                                                          </w:divBdr>
                                                          <w:divsChild>
                                                            <w:div w:id="18004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5201968">
      <w:bodyDiv w:val="1"/>
      <w:marLeft w:val="0"/>
      <w:marRight w:val="0"/>
      <w:marTop w:val="0"/>
      <w:marBottom w:val="0"/>
      <w:divBdr>
        <w:top w:val="none" w:sz="0" w:space="0" w:color="auto"/>
        <w:left w:val="none" w:sz="0" w:space="0" w:color="auto"/>
        <w:bottom w:val="none" w:sz="0" w:space="0" w:color="auto"/>
        <w:right w:val="none" w:sz="0" w:space="0" w:color="auto"/>
      </w:divBdr>
      <w:divsChild>
        <w:div w:id="647130125">
          <w:marLeft w:val="547"/>
          <w:marRight w:val="0"/>
          <w:marTop w:val="0"/>
          <w:marBottom w:val="0"/>
          <w:divBdr>
            <w:top w:val="none" w:sz="0" w:space="0" w:color="auto"/>
            <w:left w:val="none" w:sz="0" w:space="0" w:color="auto"/>
            <w:bottom w:val="none" w:sz="0" w:space="0" w:color="auto"/>
            <w:right w:val="none" w:sz="0" w:space="0" w:color="auto"/>
          </w:divBdr>
        </w:div>
      </w:divsChild>
    </w:div>
    <w:div w:id="1705599114">
      <w:bodyDiv w:val="1"/>
      <w:marLeft w:val="0"/>
      <w:marRight w:val="0"/>
      <w:marTop w:val="0"/>
      <w:marBottom w:val="0"/>
      <w:divBdr>
        <w:top w:val="none" w:sz="0" w:space="0" w:color="auto"/>
        <w:left w:val="none" w:sz="0" w:space="0" w:color="auto"/>
        <w:bottom w:val="none" w:sz="0" w:space="0" w:color="auto"/>
        <w:right w:val="none" w:sz="0" w:space="0" w:color="auto"/>
      </w:divBdr>
      <w:divsChild>
        <w:div w:id="27728180">
          <w:marLeft w:val="0"/>
          <w:marRight w:val="0"/>
          <w:marTop w:val="0"/>
          <w:marBottom w:val="0"/>
          <w:divBdr>
            <w:top w:val="none" w:sz="0" w:space="0" w:color="auto"/>
            <w:left w:val="none" w:sz="0" w:space="0" w:color="auto"/>
            <w:bottom w:val="none" w:sz="0" w:space="0" w:color="auto"/>
            <w:right w:val="none" w:sz="0" w:space="0" w:color="auto"/>
          </w:divBdr>
          <w:divsChild>
            <w:div w:id="1390496510">
              <w:marLeft w:val="0"/>
              <w:marRight w:val="0"/>
              <w:marTop w:val="0"/>
              <w:marBottom w:val="0"/>
              <w:divBdr>
                <w:top w:val="none" w:sz="0" w:space="0" w:color="auto"/>
                <w:left w:val="none" w:sz="0" w:space="0" w:color="auto"/>
                <w:bottom w:val="none" w:sz="0" w:space="0" w:color="auto"/>
                <w:right w:val="none" w:sz="0" w:space="0" w:color="auto"/>
              </w:divBdr>
              <w:divsChild>
                <w:div w:id="1643463763">
                  <w:marLeft w:val="0"/>
                  <w:marRight w:val="0"/>
                  <w:marTop w:val="0"/>
                  <w:marBottom w:val="0"/>
                  <w:divBdr>
                    <w:top w:val="none" w:sz="0" w:space="0" w:color="auto"/>
                    <w:left w:val="none" w:sz="0" w:space="0" w:color="auto"/>
                    <w:bottom w:val="none" w:sz="0" w:space="0" w:color="auto"/>
                    <w:right w:val="none" w:sz="0" w:space="0" w:color="auto"/>
                  </w:divBdr>
                  <w:divsChild>
                    <w:div w:id="851994263">
                      <w:marLeft w:val="3000"/>
                      <w:marRight w:val="0"/>
                      <w:marTop w:val="0"/>
                      <w:marBottom w:val="0"/>
                      <w:divBdr>
                        <w:top w:val="none" w:sz="0" w:space="0" w:color="auto"/>
                        <w:left w:val="none" w:sz="0" w:space="0" w:color="auto"/>
                        <w:bottom w:val="none" w:sz="0" w:space="0" w:color="auto"/>
                        <w:right w:val="none" w:sz="0" w:space="0" w:color="auto"/>
                      </w:divBdr>
                      <w:divsChild>
                        <w:div w:id="1511528561">
                          <w:marLeft w:val="0"/>
                          <w:marRight w:val="0"/>
                          <w:marTop w:val="0"/>
                          <w:marBottom w:val="0"/>
                          <w:divBdr>
                            <w:top w:val="none" w:sz="0" w:space="0" w:color="auto"/>
                            <w:left w:val="none" w:sz="0" w:space="0" w:color="auto"/>
                            <w:bottom w:val="none" w:sz="0" w:space="0" w:color="auto"/>
                            <w:right w:val="none" w:sz="0" w:space="0" w:color="auto"/>
                          </w:divBdr>
                          <w:divsChild>
                            <w:div w:id="1255477852">
                              <w:marLeft w:val="0"/>
                              <w:marRight w:val="0"/>
                              <w:marTop w:val="0"/>
                              <w:marBottom w:val="0"/>
                              <w:divBdr>
                                <w:top w:val="none" w:sz="0" w:space="0" w:color="auto"/>
                                <w:left w:val="none" w:sz="0" w:space="0" w:color="auto"/>
                                <w:bottom w:val="none" w:sz="0" w:space="0" w:color="auto"/>
                                <w:right w:val="none" w:sz="0" w:space="0" w:color="auto"/>
                              </w:divBdr>
                              <w:divsChild>
                                <w:div w:id="1983459009">
                                  <w:marLeft w:val="1"/>
                                  <w:marRight w:val="1"/>
                                  <w:marTop w:val="0"/>
                                  <w:marBottom w:val="0"/>
                                  <w:divBdr>
                                    <w:top w:val="none" w:sz="0" w:space="0" w:color="auto"/>
                                    <w:left w:val="none" w:sz="0" w:space="0" w:color="auto"/>
                                    <w:bottom w:val="none" w:sz="0" w:space="0" w:color="auto"/>
                                    <w:right w:val="none" w:sz="0" w:space="0" w:color="auto"/>
                                  </w:divBdr>
                                  <w:divsChild>
                                    <w:div w:id="1210999324">
                                      <w:marLeft w:val="0"/>
                                      <w:marRight w:val="0"/>
                                      <w:marTop w:val="0"/>
                                      <w:marBottom w:val="0"/>
                                      <w:divBdr>
                                        <w:top w:val="none" w:sz="0" w:space="0" w:color="auto"/>
                                        <w:left w:val="none" w:sz="0" w:space="0" w:color="auto"/>
                                        <w:bottom w:val="none" w:sz="0" w:space="0" w:color="auto"/>
                                        <w:right w:val="none" w:sz="0" w:space="0" w:color="auto"/>
                                      </w:divBdr>
                                      <w:divsChild>
                                        <w:div w:id="193465243">
                                          <w:marLeft w:val="0"/>
                                          <w:marRight w:val="0"/>
                                          <w:marTop w:val="0"/>
                                          <w:marBottom w:val="0"/>
                                          <w:divBdr>
                                            <w:top w:val="none" w:sz="0" w:space="0" w:color="auto"/>
                                            <w:left w:val="none" w:sz="0" w:space="0" w:color="auto"/>
                                            <w:bottom w:val="none" w:sz="0" w:space="0" w:color="auto"/>
                                            <w:right w:val="none" w:sz="0" w:space="0" w:color="auto"/>
                                          </w:divBdr>
                                          <w:divsChild>
                                            <w:div w:id="2089576245">
                                              <w:marLeft w:val="0"/>
                                              <w:marRight w:val="0"/>
                                              <w:marTop w:val="0"/>
                                              <w:marBottom w:val="0"/>
                                              <w:divBdr>
                                                <w:top w:val="none" w:sz="0" w:space="0" w:color="auto"/>
                                                <w:left w:val="none" w:sz="0" w:space="0" w:color="auto"/>
                                                <w:bottom w:val="none" w:sz="0" w:space="0" w:color="auto"/>
                                                <w:right w:val="none" w:sz="0" w:space="0" w:color="auto"/>
                                              </w:divBdr>
                                              <w:divsChild>
                                                <w:div w:id="14420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747188">
      <w:bodyDiv w:val="1"/>
      <w:marLeft w:val="0"/>
      <w:marRight w:val="0"/>
      <w:marTop w:val="0"/>
      <w:marBottom w:val="0"/>
      <w:divBdr>
        <w:top w:val="none" w:sz="0" w:space="0" w:color="auto"/>
        <w:left w:val="none" w:sz="0" w:space="0" w:color="auto"/>
        <w:bottom w:val="none" w:sz="0" w:space="0" w:color="auto"/>
        <w:right w:val="none" w:sz="0" w:space="0" w:color="auto"/>
      </w:divBdr>
      <w:divsChild>
        <w:div w:id="660354422">
          <w:marLeft w:val="0"/>
          <w:marRight w:val="0"/>
          <w:marTop w:val="0"/>
          <w:marBottom w:val="0"/>
          <w:divBdr>
            <w:top w:val="none" w:sz="0" w:space="0" w:color="auto"/>
            <w:left w:val="none" w:sz="0" w:space="0" w:color="auto"/>
            <w:bottom w:val="none" w:sz="0" w:space="0" w:color="auto"/>
            <w:right w:val="none" w:sz="0" w:space="0" w:color="auto"/>
          </w:divBdr>
          <w:divsChild>
            <w:div w:id="356471778">
              <w:marLeft w:val="0"/>
              <w:marRight w:val="0"/>
              <w:marTop w:val="0"/>
              <w:marBottom w:val="0"/>
              <w:divBdr>
                <w:top w:val="none" w:sz="0" w:space="0" w:color="auto"/>
                <w:left w:val="none" w:sz="0" w:space="0" w:color="auto"/>
                <w:bottom w:val="none" w:sz="0" w:space="0" w:color="auto"/>
                <w:right w:val="none" w:sz="0" w:space="0" w:color="auto"/>
              </w:divBdr>
              <w:divsChild>
                <w:div w:id="73089863">
                  <w:marLeft w:val="0"/>
                  <w:marRight w:val="0"/>
                  <w:marTop w:val="0"/>
                  <w:marBottom w:val="0"/>
                  <w:divBdr>
                    <w:top w:val="none" w:sz="0" w:space="0" w:color="auto"/>
                    <w:left w:val="none" w:sz="0" w:space="0" w:color="auto"/>
                    <w:bottom w:val="none" w:sz="0" w:space="0" w:color="auto"/>
                    <w:right w:val="none" w:sz="0" w:space="0" w:color="auto"/>
                  </w:divBdr>
                  <w:divsChild>
                    <w:div w:id="1676418047">
                      <w:marLeft w:val="150"/>
                      <w:marRight w:val="150"/>
                      <w:marTop w:val="0"/>
                      <w:marBottom w:val="0"/>
                      <w:divBdr>
                        <w:top w:val="none" w:sz="0" w:space="0" w:color="auto"/>
                        <w:left w:val="none" w:sz="0" w:space="0" w:color="auto"/>
                        <w:bottom w:val="none" w:sz="0" w:space="0" w:color="auto"/>
                        <w:right w:val="none" w:sz="0" w:space="0" w:color="auto"/>
                      </w:divBdr>
                      <w:divsChild>
                        <w:div w:id="2054378748">
                          <w:marLeft w:val="0"/>
                          <w:marRight w:val="0"/>
                          <w:marTop w:val="0"/>
                          <w:marBottom w:val="0"/>
                          <w:divBdr>
                            <w:top w:val="none" w:sz="0" w:space="0" w:color="auto"/>
                            <w:left w:val="none" w:sz="0" w:space="0" w:color="auto"/>
                            <w:bottom w:val="none" w:sz="0" w:space="0" w:color="auto"/>
                            <w:right w:val="none" w:sz="0" w:space="0" w:color="auto"/>
                          </w:divBdr>
                          <w:divsChild>
                            <w:div w:id="1772818029">
                              <w:marLeft w:val="0"/>
                              <w:marRight w:val="0"/>
                              <w:marTop w:val="0"/>
                              <w:marBottom w:val="0"/>
                              <w:divBdr>
                                <w:top w:val="none" w:sz="0" w:space="0" w:color="auto"/>
                                <w:left w:val="none" w:sz="0" w:space="0" w:color="auto"/>
                                <w:bottom w:val="none" w:sz="0" w:space="0" w:color="auto"/>
                                <w:right w:val="none" w:sz="0" w:space="0" w:color="auto"/>
                              </w:divBdr>
                              <w:divsChild>
                                <w:div w:id="1569222076">
                                  <w:marLeft w:val="0"/>
                                  <w:marRight w:val="0"/>
                                  <w:marTop w:val="0"/>
                                  <w:marBottom w:val="0"/>
                                  <w:divBdr>
                                    <w:top w:val="none" w:sz="0" w:space="0" w:color="auto"/>
                                    <w:left w:val="none" w:sz="0" w:space="0" w:color="auto"/>
                                    <w:bottom w:val="none" w:sz="0" w:space="0" w:color="auto"/>
                                    <w:right w:val="none" w:sz="0" w:space="0" w:color="auto"/>
                                  </w:divBdr>
                                  <w:divsChild>
                                    <w:div w:id="223834049">
                                      <w:marLeft w:val="0"/>
                                      <w:marRight w:val="0"/>
                                      <w:marTop w:val="0"/>
                                      <w:marBottom w:val="0"/>
                                      <w:divBdr>
                                        <w:top w:val="none" w:sz="0" w:space="0" w:color="auto"/>
                                        <w:left w:val="none" w:sz="0" w:space="0" w:color="auto"/>
                                        <w:bottom w:val="none" w:sz="0" w:space="0" w:color="auto"/>
                                        <w:right w:val="none" w:sz="0" w:space="0" w:color="auto"/>
                                      </w:divBdr>
                                      <w:divsChild>
                                        <w:div w:id="876814245">
                                          <w:marLeft w:val="0"/>
                                          <w:marRight w:val="0"/>
                                          <w:marTop w:val="0"/>
                                          <w:marBottom w:val="0"/>
                                          <w:divBdr>
                                            <w:top w:val="none" w:sz="0" w:space="0" w:color="auto"/>
                                            <w:left w:val="none" w:sz="0" w:space="0" w:color="auto"/>
                                            <w:bottom w:val="none" w:sz="0" w:space="0" w:color="auto"/>
                                            <w:right w:val="none" w:sz="0" w:space="0" w:color="auto"/>
                                          </w:divBdr>
                                          <w:divsChild>
                                            <w:div w:id="995106683">
                                              <w:marLeft w:val="0"/>
                                              <w:marRight w:val="0"/>
                                              <w:marTop w:val="0"/>
                                              <w:marBottom w:val="0"/>
                                              <w:divBdr>
                                                <w:top w:val="none" w:sz="0" w:space="0" w:color="auto"/>
                                                <w:left w:val="none" w:sz="0" w:space="0" w:color="auto"/>
                                                <w:bottom w:val="none" w:sz="0" w:space="0" w:color="auto"/>
                                                <w:right w:val="none" w:sz="0" w:space="0" w:color="auto"/>
                                              </w:divBdr>
                                              <w:divsChild>
                                                <w:div w:id="1193492816">
                                                  <w:marLeft w:val="0"/>
                                                  <w:marRight w:val="0"/>
                                                  <w:marTop w:val="0"/>
                                                  <w:marBottom w:val="0"/>
                                                  <w:divBdr>
                                                    <w:top w:val="none" w:sz="0" w:space="0" w:color="auto"/>
                                                    <w:left w:val="none" w:sz="0" w:space="0" w:color="auto"/>
                                                    <w:bottom w:val="none" w:sz="0" w:space="0" w:color="auto"/>
                                                    <w:right w:val="none" w:sz="0" w:space="0" w:color="auto"/>
                                                  </w:divBdr>
                                                  <w:divsChild>
                                                    <w:div w:id="588662744">
                                                      <w:marLeft w:val="0"/>
                                                      <w:marRight w:val="0"/>
                                                      <w:marTop w:val="0"/>
                                                      <w:marBottom w:val="0"/>
                                                      <w:divBdr>
                                                        <w:top w:val="none" w:sz="0" w:space="0" w:color="auto"/>
                                                        <w:left w:val="none" w:sz="0" w:space="0" w:color="auto"/>
                                                        <w:bottom w:val="none" w:sz="0" w:space="0" w:color="auto"/>
                                                        <w:right w:val="none" w:sz="0" w:space="0" w:color="auto"/>
                                                      </w:divBdr>
                                                      <w:divsChild>
                                                        <w:div w:id="3784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91882">
      <w:bodyDiv w:val="1"/>
      <w:marLeft w:val="0"/>
      <w:marRight w:val="0"/>
      <w:marTop w:val="0"/>
      <w:marBottom w:val="0"/>
      <w:divBdr>
        <w:top w:val="none" w:sz="0" w:space="0" w:color="auto"/>
        <w:left w:val="none" w:sz="0" w:space="0" w:color="auto"/>
        <w:bottom w:val="none" w:sz="0" w:space="0" w:color="auto"/>
        <w:right w:val="none" w:sz="0" w:space="0" w:color="auto"/>
      </w:divBdr>
      <w:divsChild>
        <w:div w:id="125392028">
          <w:marLeft w:val="0"/>
          <w:marRight w:val="0"/>
          <w:marTop w:val="0"/>
          <w:marBottom w:val="0"/>
          <w:divBdr>
            <w:top w:val="none" w:sz="0" w:space="0" w:color="auto"/>
            <w:left w:val="none" w:sz="0" w:space="0" w:color="auto"/>
            <w:bottom w:val="none" w:sz="0" w:space="0" w:color="auto"/>
            <w:right w:val="none" w:sz="0" w:space="0" w:color="auto"/>
          </w:divBdr>
          <w:divsChild>
            <w:div w:id="96946148">
              <w:marLeft w:val="0"/>
              <w:marRight w:val="0"/>
              <w:marTop w:val="0"/>
              <w:marBottom w:val="0"/>
              <w:divBdr>
                <w:top w:val="none" w:sz="0" w:space="0" w:color="auto"/>
                <w:left w:val="none" w:sz="0" w:space="0" w:color="auto"/>
                <w:bottom w:val="none" w:sz="0" w:space="0" w:color="auto"/>
                <w:right w:val="none" w:sz="0" w:space="0" w:color="auto"/>
              </w:divBdr>
              <w:divsChild>
                <w:div w:id="2120181377">
                  <w:marLeft w:val="0"/>
                  <w:marRight w:val="0"/>
                  <w:marTop w:val="0"/>
                  <w:marBottom w:val="0"/>
                  <w:divBdr>
                    <w:top w:val="none" w:sz="0" w:space="0" w:color="auto"/>
                    <w:left w:val="none" w:sz="0" w:space="0" w:color="auto"/>
                    <w:bottom w:val="none" w:sz="0" w:space="0" w:color="auto"/>
                    <w:right w:val="none" w:sz="0" w:space="0" w:color="auto"/>
                  </w:divBdr>
                  <w:divsChild>
                    <w:div w:id="1442651725">
                      <w:marLeft w:val="3000"/>
                      <w:marRight w:val="0"/>
                      <w:marTop w:val="0"/>
                      <w:marBottom w:val="0"/>
                      <w:divBdr>
                        <w:top w:val="none" w:sz="0" w:space="0" w:color="auto"/>
                        <w:left w:val="none" w:sz="0" w:space="0" w:color="auto"/>
                        <w:bottom w:val="none" w:sz="0" w:space="0" w:color="auto"/>
                        <w:right w:val="none" w:sz="0" w:space="0" w:color="auto"/>
                      </w:divBdr>
                      <w:divsChild>
                        <w:div w:id="951589251">
                          <w:marLeft w:val="0"/>
                          <w:marRight w:val="0"/>
                          <w:marTop w:val="0"/>
                          <w:marBottom w:val="0"/>
                          <w:divBdr>
                            <w:top w:val="none" w:sz="0" w:space="0" w:color="auto"/>
                            <w:left w:val="none" w:sz="0" w:space="0" w:color="auto"/>
                            <w:bottom w:val="none" w:sz="0" w:space="0" w:color="auto"/>
                            <w:right w:val="none" w:sz="0" w:space="0" w:color="auto"/>
                          </w:divBdr>
                          <w:divsChild>
                            <w:div w:id="57215171">
                              <w:marLeft w:val="0"/>
                              <w:marRight w:val="0"/>
                              <w:marTop w:val="0"/>
                              <w:marBottom w:val="0"/>
                              <w:divBdr>
                                <w:top w:val="none" w:sz="0" w:space="0" w:color="auto"/>
                                <w:left w:val="none" w:sz="0" w:space="0" w:color="auto"/>
                                <w:bottom w:val="none" w:sz="0" w:space="0" w:color="auto"/>
                                <w:right w:val="none" w:sz="0" w:space="0" w:color="auto"/>
                              </w:divBdr>
                              <w:divsChild>
                                <w:div w:id="134298004">
                                  <w:marLeft w:val="1"/>
                                  <w:marRight w:val="1"/>
                                  <w:marTop w:val="0"/>
                                  <w:marBottom w:val="0"/>
                                  <w:divBdr>
                                    <w:top w:val="none" w:sz="0" w:space="0" w:color="auto"/>
                                    <w:left w:val="none" w:sz="0" w:space="0" w:color="auto"/>
                                    <w:bottom w:val="none" w:sz="0" w:space="0" w:color="auto"/>
                                    <w:right w:val="none" w:sz="0" w:space="0" w:color="auto"/>
                                  </w:divBdr>
                                  <w:divsChild>
                                    <w:div w:id="123235873">
                                      <w:marLeft w:val="0"/>
                                      <w:marRight w:val="0"/>
                                      <w:marTop w:val="0"/>
                                      <w:marBottom w:val="0"/>
                                      <w:divBdr>
                                        <w:top w:val="none" w:sz="0" w:space="0" w:color="auto"/>
                                        <w:left w:val="none" w:sz="0" w:space="0" w:color="auto"/>
                                        <w:bottom w:val="none" w:sz="0" w:space="0" w:color="auto"/>
                                        <w:right w:val="none" w:sz="0" w:space="0" w:color="auto"/>
                                      </w:divBdr>
                                      <w:divsChild>
                                        <w:div w:id="407387377">
                                          <w:marLeft w:val="0"/>
                                          <w:marRight w:val="0"/>
                                          <w:marTop w:val="0"/>
                                          <w:marBottom w:val="0"/>
                                          <w:divBdr>
                                            <w:top w:val="none" w:sz="0" w:space="0" w:color="auto"/>
                                            <w:left w:val="none" w:sz="0" w:space="0" w:color="auto"/>
                                            <w:bottom w:val="none" w:sz="0" w:space="0" w:color="auto"/>
                                            <w:right w:val="none" w:sz="0" w:space="0" w:color="auto"/>
                                          </w:divBdr>
                                          <w:divsChild>
                                            <w:div w:id="984433983">
                                              <w:marLeft w:val="0"/>
                                              <w:marRight w:val="0"/>
                                              <w:marTop w:val="0"/>
                                              <w:marBottom w:val="0"/>
                                              <w:divBdr>
                                                <w:top w:val="none" w:sz="0" w:space="0" w:color="auto"/>
                                                <w:left w:val="none" w:sz="0" w:space="0" w:color="auto"/>
                                                <w:bottom w:val="none" w:sz="0" w:space="0" w:color="auto"/>
                                                <w:right w:val="none" w:sz="0" w:space="0" w:color="auto"/>
                                              </w:divBdr>
                                              <w:divsChild>
                                                <w:div w:id="11038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BACECE39-FDCD-460B-9E2D-37E560DC6F8A}"/>
</file>

<file path=customXml/itemProps2.xml><?xml version="1.0" encoding="utf-8"?>
<ds:datastoreItem xmlns:ds="http://schemas.openxmlformats.org/officeDocument/2006/customXml" ds:itemID="{1DE74CFD-DDB3-4EB6-A9D0-1F2A5D5E3A33}"/>
</file>

<file path=customXml/itemProps3.xml><?xml version="1.0" encoding="utf-8"?>
<ds:datastoreItem xmlns:ds="http://schemas.openxmlformats.org/officeDocument/2006/customXml" ds:itemID="{6BE3CF6A-5EAF-4324-87DB-750049CDAD9B}"/>
</file>

<file path=docProps/app.xml><?xml version="1.0" encoding="utf-8"?>
<Properties xmlns="http://schemas.openxmlformats.org/officeDocument/2006/extended-properties" xmlns:vt="http://schemas.openxmlformats.org/officeDocument/2006/docPropsVTypes">
  <Template>441B6D38.dotm</Template>
  <TotalTime>0</TotalTime>
  <Pages>4</Pages>
  <Words>1942</Words>
  <Characters>11071</Characters>
  <Application>Microsoft Office Word</Application>
  <DocSecurity>4</DocSecurity>
  <Lines>92</Lines>
  <Paragraphs>25</Paragraphs>
  <ScaleCrop>false</ScaleCrop>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Summary of assurance activities for Regional Land Partnerships</dc:title>
  <dc:subject/>
  <dc:creator/>
  <cp:keywords/>
  <dc:description/>
  <cp:lastModifiedBy/>
  <cp:revision>1</cp:revision>
  <dcterms:created xsi:type="dcterms:W3CDTF">2018-07-03T01:37:00Z</dcterms:created>
  <dcterms:modified xsi:type="dcterms:W3CDTF">2018-07-03T01:37:00Z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