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7.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customizations.xml" ContentType="application/vnd.ms-word.keyMapCustomization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E1EA8" w14:textId="77777777" w:rsidR="00CF74B1" w:rsidRDefault="00341D17" w:rsidP="00D63292">
      <w:pPr>
        <w:pStyle w:val="CoverVersionDate"/>
      </w:pPr>
      <w:r>
        <w:t>June 2018</w:t>
      </w:r>
    </w:p>
    <w:sdt>
      <w:sdtPr>
        <w:id w:val="-61405618"/>
        <w:placeholder>
          <w:docPart w:val="2AA7D412B34C804AADB1629A3E90AF5B"/>
        </w:placeholder>
      </w:sdtPr>
      <w:sdtEndPr/>
      <w:sdtContent>
        <w:p w14:paraId="3B7B0CF1" w14:textId="77777777" w:rsidR="00AB44C2" w:rsidRDefault="00341D17" w:rsidP="00033BC8">
          <w:pPr>
            <w:pStyle w:val="Title"/>
            <w:framePr w:wrap="notBeside"/>
          </w:pPr>
          <w:r>
            <w:t>Regional L</w:t>
          </w:r>
          <w:bookmarkStart w:id="0" w:name="_GoBack"/>
          <w:bookmarkEnd w:id="0"/>
          <w:r>
            <w:t>and Partnerships Evaluation Plan</w:t>
          </w:r>
        </w:p>
      </w:sdtContent>
    </w:sdt>
    <w:sdt>
      <w:sdtPr>
        <w:id w:val="1265267376"/>
        <w:placeholder>
          <w:docPart w:val="BD8FFB16F8EF8C439F5DC1D0EE7FC7CD"/>
        </w:placeholder>
      </w:sdtPr>
      <w:sdtEndPr/>
      <w:sdtContent>
        <w:p w14:paraId="7AAC4154" w14:textId="250A3BF9" w:rsidR="000D37E9" w:rsidRPr="000D37E9" w:rsidRDefault="00680283" w:rsidP="000D37E9">
          <w:pPr>
            <w:pStyle w:val="CoverSubtitle"/>
          </w:pPr>
          <w:r>
            <w:t xml:space="preserve">Final </w:t>
          </w:r>
          <w:r w:rsidR="00341D17">
            <w:t>Report</w:t>
          </w:r>
        </w:p>
        <w:p w14:paraId="3D53342B" w14:textId="77777777" w:rsidR="00AB44C2" w:rsidRPr="00A75604" w:rsidRDefault="00341D17" w:rsidP="000D37E9">
          <w:pPr>
            <w:pStyle w:val="CoverSubtitle"/>
          </w:pPr>
          <w:r>
            <w:t>Department of the Environment and Energy</w:t>
          </w:r>
        </w:p>
      </w:sdtContent>
    </w:sdt>
    <w:p w14:paraId="3C052AD1" w14:textId="77777777" w:rsidR="0040572D" w:rsidRDefault="00584AEA" w:rsidP="00584AEA">
      <w:pPr>
        <w:pStyle w:val="CoverAdress"/>
        <w:framePr w:wrap="around"/>
      </w:pPr>
      <w:r>
        <w:t>Level 1, 357 Camberwell Rd, Camberwell</w:t>
      </w:r>
      <w:r w:rsidR="00CF74B1">
        <w:t>,</w:t>
      </w:r>
      <w:r w:rsidR="00033BC8">
        <w:t xml:space="preserve"> Victoria</w:t>
      </w:r>
      <w:r>
        <w:t xml:space="preserve"> 3124</w:t>
      </w:r>
    </w:p>
    <w:p w14:paraId="2D485B8F" w14:textId="77777777" w:rsidR="00584AEA" w:rsidRDefault="00584AEA" w:rsidP="00584AEA">
      <w:pPr>
        <w:pStyle w:val="CoverAdress"/>
        <w:framePr w:wrap="around"/>
      </w:pPr>
      <w:r>
        <w:t xml:space="preserve">(03) 9882 2670 – </w:t>
      </w:r>
      <w:r w:rsidR="00033BC8">
        <w:t>rmcg.com.au</w:t>
      </w:r>
    </w:p>
    <w:p w14:paraId="4BED494D" w14:textId="77777777" w:rsidR="00584AEA" w:rsidRDefault="00584AEA"/>
    <w:p w14:paraId="6921EC55" w14:textId="77777777" w:rsidR="009F5209" w:rsidRDefault="009F5209">
      <w:pPr>
        <w:sectPr w:rsidR="009F5209" w:rsidSect="008630C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2268" w:left="1134" w:header="680" w:footer="680" w:gutter="0"/>
          <w:pgNumType w:start="1"/>
          <w:cols w:space="708"/>
          <w:docGrid w:linePitch="360"/>
        </w:sectPr>
      </w:pPr>
    </w:p>
    <w:p w14:paraId="55745F28" w14:textId="77777777" w:rsidR="00AB44C2" w:rsidRDefault="00AB44C2" w:rsidP="00AB44C2">
      <w:pPr>
        <w:pStyle w:val="TOCHeading"/>
      </w:pPr>
      <w:r w:rsidRPr="00AB44C2">
        <w:lastRenderedPageBreak/>
        <w:t>Table of Contents</w:t>
      </w:r>
    </w:p>
    <w:p w14:paraId="63395CA4" w14:textId="6F23BA99" w:rsidR="00A92BCB" w:rsidRDefault="008011CE">
      <w:pPr>
        <w:pStyle w:val="TOC1"/>
        <w:rPr>
          <w:rFonts w:asciiTheme="minorHAnsi" w:eastAsiaTheme="minorEastAsia" w:hAnsiTheme="minorHAnsi"/>
          <w:b w:val="0"/>
          <w:noProof/>
          <w:color w:val="auto"/>
          <w:szCs w:val="24"/>
        </w:rPr>
      </w:pPr>
      <w:r>
        <w:rPr>
          <w:caps/>
        </w:rPr>
        <w:fldChar w:fldCharType="begin"/>
      </w:r>
      <w:r>
        <w:rPr>
          <w:caps/>
        </w:rPr>
        <w:instrText xml:space="preserve"> TOC \o "1-1" \t "Heading 2,2,Heading 1 No Numbers,1,Heading 2 no Numbers,2" </w:instrText>
      </w:r>
      <w:r>
        <w:rPr>
          <w:caps/>
        </w:rPr>
        <w:fldChar w:fldCharType="separate"/>
      </w:r>
      <w:r w:rsidR="00A92BCB">
        <w:rPr>
          <w:noProof/>
        </w:rPr>
        <w:t>1</w:t>
      </w:r>
      <w:r w:rsidR="00A92BCB">
        <w:rPr>
          <w:rFonts w:asciiTheme="minorHAnsi" w:eastAsiaTheme="minorEastAsia" w:hAnsiTheme="minorHAnsi"/>
          <w:b w:val="0"/>
          <w:noProof/>
          <w:color w:val="auto"/>
          <w:szCs w:val="24"/>
        </w:rPr>
        <w:tab/>
      </w:r>
      <w:r w:rsidR="00A92BCB">
        <w:rPr>
          <w:noProof/>
        </w:rPr>
        <w:t>Introduction</w:t>
      </w:r>
      <w:r w:rsidR="00A92BCB">
        <w:rPr>
          <w:noProof/>
        </w:rPr>
        <w:tab/>
      </w:r>
      <w:r w:rsidR="00A92BCB">
        <w:rPr>
          <w:noProof/>
        </w:rPr>
        <w:fldChar w:fldCharType="begin"/>
      </w:r>
      <w:r w:rsidR="00A92BCB">
        <w:rPr>
          <w:noProof/>
        </w:rPr>
        <w:instrText xml:space="preserve"> PAGEREF _Toc517949167 \h </w:instrText>
      </w:r>
      <w:r w:rsidR="00A92BCB">
        <w:rPr>
          <w:noProof/>
        </w:rPr>
      </w:r>
      <w:r w:rsidR="00A92BCB">
        <w:rPr>
          <w:noProof/>
        </w:rPr>
        <w:fldChar w:fldCharType="separate"/>
      </w:r>
      <w:r w:rsidR="00A92BCB">
        <w:rPr>
          <w:noProof/>
        </w:rPr>
        <w:t>1</w:t>
      </w:r>
      <w:r w:rsidR="00A92BCB">
        <w:rPr>
          <w:noProof/>
        </w:rPr>
        <w:fldChar w:fldCharType="end"/>
      </w:r>
    </w:p>
    <w:p w14:paraId="2AA3FC8F" w14:textId="7469B879" w:rsidR="00A92BCB" w:rsidRDefault="00A92BCB">
      <w:pPr>
        <w:pStyle w:val="TOC2"/>
        <w:rPr>
          <w:rFonts w:asciiTheme="minorHAnsi" w:eastAsiaTheme="minorEastAsia" w:hAnsiTheme="minorHAnsi"/>
          <w:caps w:val="0"/>
          <w:noProof/>
          <w:color w:val="auto"/>
          <w:sz w:val="24"/>
          <w:szCs w:val="24"/>
        </w:rPr>
      </w:pPr>
      <w:r>
        <w:rPr>
          <w:noProof/>
        </w:rPr>
        <w:t>1.1</w:t>
      </w:r>
      <w:r>
        <w:rPr>
          <w:rFonts w:asciiTheme="minorHAnsi" w:eastAsiaTheme="minorEastAsia" w:hAnsiTheme="minorHAnsi"/>
          <w:caps w:val="0"/>
          <w:noProof/>
          <w:color w:val="auto"/>
          <w:sz w:val="24"/>
          <w:szCs w:val="24"/>
        </w:rPr>
        <w:tab/>
      </w:r>
      <w:r>
        <w:rPr>
          <w:noProof/>
        </w:rPr>
        <w:t>This document</w:t>
      </w:r>
      <w:r>
        <w:rPr>
          <w:noProof/>
        </w:rPr>
        <w:tab/>
      </w:r>
      <w:r>
        <w:rPr>
          <w:noProof/>
        </w:rPr>
        <w:fldChar w:fldCharType="begin"/>
      </w:r>
      <w:r>
        <w:rPr>
          <w:noProof/>
        </w:rPr>
        <w:instrText xml:space="preserve"> PAGEREF _Toc517949168 \h </w:instrText>
      </w:r>
      <w:r>
        <w:rPr>
          <w:noProof/>
        </w:rPr>
      </w:r>
      <w:r>
        <w:rPr>
          <w:noProof/>
        </w:rPr>
        <w:fldChar w:fldCharType="separate"/>
      </w:r>
      <w:r>
        <w:rPr>
          <w:noProof/>
        </w:rPr>
        <w:t>1</w:t>
      </w:r>
      <w:r>
        <w:rPr>
          <w:noProof/>
        </w:rPr>
        <w:fldChar w:fldCharType="end"/>
      </w:r>
    </w:p>
    <w:p w14:paraId="701CD2E3" w14:textId="21F6C129" w:rsidR="00A92BCB" w:rsidRDefault="00A92BCB">
      <w:pPr>
        <w:pStyle w:val="TOC2"/>
        <w:rPr>
          <w:rFonts w:asciiTheme="minorHAnsi" w:eastAsiaTheme="minorEastAsia" w:hAnsiTheme="minorHAnsi"/>
          <w:caps w:val="0"/>
          <w:noProof/>
          <w:color w:val="auto"/>
          <w:sz w:val="24"/>
          <w:szCs w:val="24"/>
        </w:rPr>
      </w:pPr>
      <w:r>
        <w:rPr>
          <w:noProof/>
        </w:rPr>
        <w:t>1.2</w:t>
      </w:r>
      <w:r>
        <w:rPr>
          <w:rFonts w:asciiTheme="minorHAnsi" w:eastAsiaTheme="minorEastAsia" w:hAnsiTheme="minorHAnsi"/>
          <w:caps w:val="0"/>
          <w:noProof/>
          <w:color w:val="auto"/>
          <w:sz w:val="24"/>
          <w:szCs w:val="24"/>
        </w:rPr>
        <w:tab/>
      </w:r>
      <w:r>
        <w:rPr>
          <w:noProof/>
        </w:rPr>
        <w:t>Intended audience</w:t>
      </w:r>
      <w:r>
        <w:rPr>
          <w:noProof/>
        </w:rPr>
        <w:tab/>
      </w:r>
      <w:r>
        <w:rPr>
          <w:noProof/>
        </w:rPr>
        <w:fldChar w:fldCharType="begin"/>
      </w:r>
      <w:r>
        <w:rPr>
          <w:noProof/>
        </w:rPr>
        <w:instrText xml:space="preserve"> PAGEREF _Toc517949169 \h </w:instrText>
      </w:r>
      <w:r>
        <w:rPr>
          <w:noProof/>
        </w:rPr>
      </w:r>
      <w:r>
        <w:rPr>
          <w:noProof/>
        </w:rPr>
        <w:fldChar w:fldCharType="separate"/>
      </w:r>
      <w:r>
        <w:rPr>
          <w:noProof/>
        </w:rPr>
        <w:t>2</w:t>
      </w:r>
      <w:r>
        <w:rPr>
          <w:noProof/>
        </w:rPr>
        <w:fldChar w:fldCharType="end"/>
      </w:r>
    </w:p>
    <w:p w14:paraId="1CD33F9C" w14:textId="625AB487" w:rsidR="00A92BCB" w:rsidRDefault="00A92BCB">
      <w:pPr>
        <w:pStyle w:val="TOC1"/>
        <w:rPr>
          <w:rFonts w:asciiTheme="minorHAnsi" w:eastAsiaTheme="minorEastAsia" w:hAnsiTheme="minorHAnsi"/>
          <w:b w:val="0"/>
          <w:noProof/>
          <w:color w:val="auto"/>
          <w:szCs w:val="24"/>
        </w:rPr>
      </w:pPr>
      <w:r>
        <w:rPr>
          <w:noProof/>
        </w:rPr>
        <w:t>2</w:t>
      </w:r>
      <w:r>
        <w:rPr>
          <w:rFonts w:asciiTheme="minorHAnsi" w:eastAsiaTheme="minorEastAsia" w:hAnsiTheme="minorHAnsi"/>
          <w:b w:val="0"/>
          <w:noProof/>
          <w:color w:val="auto"/>
          <w:szCs w:val="24"/>
        </w:rPr>
        <w:tab/>
      </w:r>
      <w:r>
        <w:rPr>
          <w:noProof/>
        </w:rPr>
        <w:t>Evaluation plans</w:t>
      </w:r>
      <w:r>
        <w:rPr>
          <w:noProof/>
        </w:rPr>
        <w:tab/>
      </w:r>
      <w:r>
        <w:rPr>
          <w:noProof/>
        </w:rPr>
        <w:fldChar w:fldCharType="begin"/>
      </w:r>
      <w:r>
        <w:rPr>
          <w:noProof/>
        </w:rPr>
        <w:instrText xml:space="preserve"> PAGEREF _Toc517949170 \h </w:instrText>
      </w:r>
      <w:r>
        <w:rPr>
          <w:noProof/>
        </w:rPr>
      </w:r>
      <w:r>
        <w:rPr>
          <w:noProof/>
        </w:rPr>
        <w:fldChar w:fldCharType="separate"/>
      </w:r>
      <w:r>
        <w:rPr>
          <w:noProof/>
        </w:rPr>
        <w:t>2</w:t>
      </w:r>
      <w:r>
        <w:rPr>
          <w:noProof/>
        </w:rPr>
        <w:fldChar w:fldCharType="end"/>
      </w:r>
    </w:p>
    <w:p w14:paraId="6F3C01EF" w14:textId="4F210499" w:rsidR="00A92BCB" w:rsidRDefault="00A92BCB">
      <w:pPr>
        <w:pStyle w:val="TOC2"/>
        <w:rPr>
          <w:rFonts w:asciiTheme="minorHAnsi" w:eastAsiaTheme="minorEastAsia" w:hAnsiTheme="minorHAnsi"/>
          <w:caps w:val="0"/>
          <w:noProof/>
          <w:color w:val="auto"/>
          <w:sz w:val="24"/>
          <w:szCs w:val="24"/>
        </w:rPr>
      </w:pPr>
      <w:r>
        <w:rPr>
          <w:noProof/>
        </w:rPr>
        <w:t>2.1</w:t>
      </w:r>
      <w:r>
        <w:rPr>
          <w:rFonts w:asciiTheme="minorHAnsi" w:eastAsiaTheme="minorEastAsia" w:hAnsiTheme="minorHAnsi"/>
          <w:caps w:val="0"/>
          <w:noProof/>
          <w:color w:val="auto"/>
          <w:sz w:val="24"/>
          <w:szCs w:val="24"/>
        </w:rPr>
        <w:tab/>
      </w:r>
      <w:r>
        <w:rPr>
          <w:noProof/>
        </w:rPr>
        <w:t>Program Logics</w:t>
      </w:r>
      <w:r>
        <w:rPr>
          <w:noProof/>
        </w:rPr>
        <w:tab/>
      </w:r>
      <w:r>
        <w:rPr>
          <w:noProof/>
        </w:rPr>
        <w:fldChar w:fldCharType="begin"/>
      </w:r>
      <w:r>
        <w:rPr>
          <w:noProof/>
        </w:rPr>
        <w:instrText xml:space="preserve"> PAGEREF _Toc517949171 \h </w:instrText>
      </w:r>
      <w:r>
        <w:rPr>
          <w:noProof/>
        </w:rPr>
      </w:r>
      <w:r>
        <w:rPr>
          <w:noProof/>
        </w:rPr>
        <w:fldChar w:fldCharType="separate"/>
      </w:r>
      <w:r>
        <w:rPr>
          <w:noProof/>
        </w:rPr>
        <w:t>2</w:t>
      </w:r>
      <w:r>
        <w:rPr>
          <w:noProof/>
        </w:rPr>
        <w:fldChar w:fldCharType="end"/>
      </w:r>
    </w:p>
    <w:p w14:paraId="6C232BDA" w14:textId="3CDA00F4" w:rsidR="00A92BCB" w:rsidRDefault="00A92BCB">
      <w:pPr>
        <w:pStyle w:val="TOC2"/>
        <w:rPr>
          <w:rFonts w:asciiTheme="minorHAnsi" w:eastAsiaTheme="minorEastAsia" w:hAnsiTheme="minorHAnsi"/>
          <w:caps w:val="0"/>
          <w:noProof/>
          <w:color w:val="auto"/>
          <w:sz w:val="24"/>
          <w:szCs w:val="24"/>
        </w:rPr>
      </w:pPr>
      <w:r>
        <w:rPr>
          <w:noProof/>
        </w:rPr>
        <w:t>2.2</w:t>
      </w:r>
      <w:r>
        <w:rPr>
          <w:rFonts w:asciiTheme="minorHAnsi" w:eastAsiaTheme="minorEastAsia" w:hAnsiTheme="minorHAnsi"/>
          <w:caps w:val="0"/>
          <w:noProof/>
          <w:color w:val="auto"/>
          <w:sz w:val="24"/>
          <w:szCs w:val="24"/>
        </w:rPr>
        <w:tab/>
      </w:r>
      <w:r>
        <w:rPr>
          <w:noProof/>
        </w:rPr>
        <w:t>Key evaluation questions</w:t>
      </w:r>
      <w:r>
        <w:rPr>
          <w:noProof/>
        </w:rPr>
        <w:tab/>
      </w:r>
      <w:r>
        <w:rPr>
          <w:noProof/>
        </w:rPr>
        <w:fldChar w:fldCharType="begin"/>
      </w:r>
      <w:r>
        <w:rPr>
          <w:noProof/>
        </w:rPr>
        <w:instrText xml:space="preserve"> PAGEREF _Toc517949172 \h </w:instrText>
      </w:r>
      <w:r>
        <w:rPr>
          <w:noProof/>
        </w:rPr>
      </w:r>
      <w:r>
        <w:rPr>
          <w:noProof/>
        </w:rPr>
        <w:fldChar w:fldCharType="separate"/>
      </w:r>
      <w:r>
        <w:rPr>
          <w:noProof/>
        </w:rPr>
        <w:t>4</w:t>
      </w:r>
      <w:r>
        <w:rPr>
          <w:noProof/>
        </w:rPr>
        <w:fldChar w:fldCharType="end"/>
      </w:r>
    </w:p>
    <w:p w14:paraId="1C56381E" w14:textId="7A652ACE" w:rsidR="00A92BCB" w:rsidRDefault="00A92BCB">
      <w:pPr>
        <w:pStyle w:val="TOC2"/>
        <w:rPr>
          <w:rFonts w:asciiTheme="minorHAnsi" w:eastAsiaTheme="minorEastAsia" w:hAnsiTheme="minorHAnsi"/>
          <w:caps w:val="0"/>
          <w:noProof/>
          <w:color w:val="auto"/>
          <w:sz w:val="24"/>
          <w:szCs w:val="24"/>
        </w:rPr>
      </w:pPr>
      <w:r>
        <w:rPr>
          <w:noProof/>
        </w:rPr>
        <w:t>2.3</w:t>
      </w:r>
      <w:r>
        <w:rPr>
          <w:rFonts w:asciiTheme="minorHAnsi" w:eastAsiaTheme="minorEastAsia" w:hAnsiTheme="minorHAnsi"/>
          <w:caps w:val="0"/>
          <w:noProof/>
          <w:color w:val="auto"/>
          <w:sz w:val="24"/>
          <w:szCs w:val="24"/>
        </w:rPr>
        <w:tab/>
      </w:r>
      <w:r>
        <w:rPr>
          <w:noProof/>
        </w:rPr>
        <w:t>Monitoring plans</w:t>
      </w:r>
      <w:r>
        <w:rPr>
          <w:noProof/>
        </w:rPr>
        <w:tab/>
      </w:r>
      <w:r>
        <w:rPr>
          <w:noProof/>
        </w:rPr>
        <w:fldChar w:fldCharType="begin"/>
      </w:r>
      <w:r>
        <w:rPr>
          <w:noProof/>
        </w:rPr>
        <w:instrText xml:space="preserve"> PAGEREF _Toc517949173 \h </w:instrText>
      </w:r>
      <w:r>
        <w:rPr>
          <w:noProof/>
        </w:rPr>
      </w:r>
      <w:r>
        <w:rPr>
          <w:noProof/>
        </w:rPr>
        <w:fldChar w:fldCharType="separate"/>
      </w:r>
      <w:r>
        <w:rPr>
          <w:noProof/>
        </w:rPr>
        <w:t>4</w:t>
      </w:r>
      <w:r>
        <w:rPr>
          <w:noProof/>
        </w:rPr>
        <w:fldChar w:fldCharType="end"/>
      </w:r>
    </w:p>
    <w:p w14:paraId="32B39C5C" w14:textId="3E32A858" w:rsidR="00A92BCB" w:rsidRDefault="00A92BCB">
      <w:pPr>
        <w:pStyle w:val="TOC1"/>
        <w:rPr>
          <w:rFonts w:asciiTheme="minorHAnsi" w:eastAsiaTheme="minorEastAsia" w:hAnsiTheme="minorHAnsi"/>
          <w:b w:val="0"/>
          <w:noProof/>
          <w:color w:val="auto"/>
          <w:szCs w:val="24"/>
        </w:rPr>
      </w:pPr>
      <w:r>
        <w:rPr>
          <w:noProof/>
        </w:rPr>
        <w:t>3</w:t>
      </w:r>
      <w:r>
        <w:rPr>
          <w:rFonts w:asciiTheme="minorHAnsi" w:eastAsiaTheme="minorEastAsia" w:hAnsiTheme="minorHAnsi"/>
          <w:b w:val="0"/>
          <w:noProof/>
          <w:color w:val="auto"/>
          <w:szCs w:val="24"/>
        </w:rPr>
        <w:tab/>
      </w:r>
      <w:r>
        <w:rPr>
          <w:noProof/>
        </w:rPr>
        <w:t>Reporting</w:t>
      </w:r>
      <w:r>
        <w:rPr>
          <w:noProof/>
        </w:rPr>
        <w:tab/>
      </w:r>
      <w:r>
        <w:rPr>
          <w:noProof/>
        </w:rPr>
        <w:fldChar w:fldCharType="begin"/>
      </w:r>
      <w:r>
        <w:rPr>
          <w:noProof/>
        </w:rPr>
        <w:instrText xml:space="preserve"> PAGEREF _Toc517949174 \h </w:instrText>
      </w:r>
      <w:r>
        <w:rPr>
          <w:noProof/>
        </w:rPr>
      </w:r>
      <w:r>
        <w:rPr>
          <w:noProof/>
        </w:rPr>
        <w:fldChar w:fldCharType="separate"/>
      </w:r>
      <w:r>
        <w:rPr>
          <w:noProof/>
        </w:rPr>
        <w:t>5</w:t>
      </w:r>
      <w:r>
        <w:rPr>
          <w:noProof/>
        </w:rPr>
        <w:fldChar w:fldCharType="end"/>
      </w:r>
    </w:p>
    <w:p w14:paraId="2F823783" w14:textId="3E3DD21E" w:rsidR="00A92BCB" w:rsidRDefault="00A92BCB">
      <w:pPr>
        <w:pStyle w:val="TOC2"/>
        <w:rPr>
          <w:rFonts w:asciiTheme="minorHAnsi" w:eastAsiaTheme="minorEastAsia" w:hAnsiTheme="minorHAnsi"/>
          <w:caps w:val="0"/>
          <w:noProof/>
          <w:color w:val="auto"/>
          <w:sz w:val="24"/>
          <w:szCs w:val="24"/>
        </w:rPr>
      </w:pPr>
      <w:r>
        <w:rPr>
          <w:noProof/>
        </w:rPr>
        <w:t>3.1</w:t>
      </w:r>
      <w:r>
        <w:rPr>
          <w:rFonts w:asciiTheme="minorHAnsi" w:eastAsiaTheme="minorEastAsia" w:hAnsiTheme="minorHAnsi"/>
          <w:caps w:val="0"/>
          <w:noProof/>
          <w:color w:val="auto"/>
          <w:sz w:val="24"/>
          <w:szCs w:val="24"/>
        </w:rPr>
        <w:tab/>
      </w:r>
      <w:r>
        <w:rPr>
          <w:noProof/>
        </w:rPr>
        <w:t>Service Provider Reporting</w:t>
      </w:r>
      <w:r>
        <w:rPr>
          <w:noProof/>
        </w:rPr>
        <w:tab/>
      </w:r>
      <w:r>
        <w:rPr>
          <w:noProof/>
        </w:rPr>
        <w:fldChar w:fldCharType="begin"/>
      </w:r>
      <w:r>
        <w:rPr>
          <w:noProof/>
        </w:rPr>
        <w:instrText xml:space="preserve"> PAGEREF _Toc517949175 \h </w:instrText>
      </w:r>
      <w:r>
        <w:rPr>
          <w:noProof/>
        </w:rPr>
      </w:r>
      <w:r>
        <w:rPr>
          <w:noProof/>
        </w:rPr>
        <w:fldChar w:fldCharType="separate"/>
      </w:r>
      <w:r>
        <w:rPr>
          <w:noProof/>
        </w:rPr>
        <w:t>5</w:t>
      </w:r>
      <w:r>
        <w:rPr>
          <w:noProof/>
        </w:rPr>
        <w:fldChar w:fldCharType="end"/>
      </w:r>
    </w:p>
    <w:p w14:paraId="31985802" w14:textId="19A9D8D0" w:rsidR="00A92BCB" w:rsidRDefault="00A92BCB">
      <w:pPr>
        <w:pStyle w:val="TOC2"/>
        <w:rPr>
          <w:rFonts w:asciiTheme="minorHAnsi" w:eastAsiaTheme="minorEastAsia" w:hAnsiTheme="minorHAnsi"/>
          <w:caps w:val="0"/>
          <w:noProof/>
          <w:color w:val="auto"/>
          <w:sz w:val="24"/>
          <w:szCs w:val="24"/>
        </w:rPr>
      </w:pPr>
      <w:r>
        <w:rPr>
          <w:noProof/>
        </w:rPr>
        <w:t>3.2</w:t>
      </w:r>
      <w:r>
        <w:rPr>
          <w:rFonts w:asciiTheme="minorHAnsi" w:eastAsiaTheme="minorEastAsia" w:hAnsiTheme="minorHAnsi"/>
          <w:caps w:val="0"/>
          <w:noProof/>
          <w:color w:val="auto"/>
          <w:sz w:val="24"/>
          <w:szCs w:val="24"/>
        </w:rPr>
        <w:tab/>
      </w:r>
      <w:r>
        <w:rPr>
          <w:noProof/>
        </w:rPr>
        <w:t>Australian Government Reporting</w:t>
      </w:r>
      <w:r>
        <w:rPr>
          <w:noProof/>
        </w:rPr>
        <w:tab/>
      </w:r>
      <w:r>
        <w:rPr>
          <w:noProof/>
        </w:rPr>
        <w:fldChar w:fldCharType="begin"/>
      </w:r>
      <w:r>
        <w:rPr>
          <w:noProof/>
        </w:rPr>
        <w:instrText xml:space="preserve"> PAGEREF _Toc517949176 \h </w:instrText>
      </w:r>
      <w:r>
        <w:rPr>
          <w:noProof/>
        </w:rPr>
      </w:r>
      <w:r>
        <w:rPr>
          <w:noProof/>
        </w:rPr>
        <w:fldChar w:fldCharType="separate"/>
      </w:r>
      <w:r>
        <w:rPr>
          <w:noProof/>
        </w:rPr>
        <w:t>6</w:t>
      </w:r>
      <w:r>
        <w:rPr>
          <w:noProof/>
        </w:rPr>
        <w:fldChar w:fldCharType="end"/>
      </w:r>
    </w:p>
    <w:p w14:paraId="3C752024" w14:textId="4294A76C" w:rsidR="00A92BCB" w:rsidRDefault="00A92BCB">
      <w:pPr>
        <w:pStyle w:val="TOC1"/>
        <w:rPr>
          <w:rFonts w:asciiTheme="minorHAnsi" w:eastAsiaTheme="minorEastAsia" w:hAnsiTheme="minorHAnsi"/>
          <w:b w:val="0"/>
          <w:noProof/>
          <w:color w:val="auto"/>
          <w:szCs w:val="24"/>
        </w:rPr>
      </w:pPr>
      <w:r>
        <w:rPr>
          <w:noProof/>
        </w:rPr>
        <w:t>Appendix 1: Outcome 1</w:t>
      </w:r>
      <w:r>
        <w:rPr>
          <w:noProof/>
        </w:rPr>
        <w:tab/>
      </w:r>
      <w:r>
        <w:rPr>
          <w:noProof/>
        </w:rPr>
        <w:fldChar w:fldCharType="begin"/>
      </w:r>
      <w:r>
        <w:rPr>
          <w:noProof/>
        </w:rPr>
        <w:instrText xml:space="preserve"> PAGEREF _Toc517949177 \h </w:instrText>
      </w:r>
      <w:r>
        <w:rPr>
          <w:noProof/>
        </w:rPr>
      </w:r>
      <w:r>
        <w:rPr>
          <w:noProof/>
        </w:rPr>
        <w:fldChar w:fldCharType="separate"/>
      </w:r>
      <w:r>
        <w:rPr>
          <w:noProof/>
        </w:rPr>
        <w:t>7</w:t>
      </w:r>
      <w:r>
        <w:rPr>
          <w:noProof/>
        </w:rPr>
        <w:fldChar w:fldCharType="end"/>
      </w:r>
    </w:p>
    <w:p w14:paraId="745ECFA1" w14:textId="4A24322D" w:rsidR="00A92BCB" w:rsidRDefault="00A92BCB">
      <w:pPr>
        <w:pStyle w:val="TOC1"/>
        <w:rPr>
          <w:rFonts w:asciiTheme="minorHAnsi" w:eastAsiaTheme="minorEastAsia" w:hAnsiTheme="minorHAnsi"/>
          <w:b w:val="0"/>
          <w:noProof/>
          <w:color w:val="auto"/>
          <w:szCs w:val="24"/>
        </w:rPr>
      </w:pPr>
      <w:r>
        <w:rPr>
          <w:noProof/>
        </w:rPr>
        <w:t>Appendix 2: Outcome 2</w:t>
      </w:r>
      <w:r>
        <w:rPr>
          <w:noProof/>
        </w:rPr>
        <w:tab/>
      </w:r>
      <w:r>
        <w:rPr>
          <w:noProof/>
        </w:rPr>
        <w:fldChar w:fldCharType="begin"/>
      </w:r>
      <w:r>
        <w:rPr>
          <w:noProof/>
        </w:rPr>
        <w:instrText xml:space="preserve"> PAGEREF _Toc517949178 \h </w:instrText>
      </w:r>
      <w:r>
        <w:rPr>
          <w:noProof/>
        </w:rPr>
      </w:r>
      <w:r>
        <w:rPr>
          <w:noProof/>
        </w:rPr>
        <w:fldChar w:fldCharType="separate"/>
      </w:r>
      <w:r>
        <w:rPr>
          <w:noProof/>
        </w:rPr>
        <w:t>17</w:t>
      </w:r>
      <w:r>
        <w:rPr>
          <w:noProof/>
        </w:rPr>
        <w:fldChar w:fldCharType="end"/>
      </w:r>
    </w:p>
    <w:p w14:paraId="7450496C" w14:textId="5B821078" w:rsidR="00A92BCB" w:rsidRDefault="00A92BCB">
      <w:pPr>
        <w:pStyle w:val="TOC1"/>
        <w:rPr>
          <w:rFonts w:asciiTheme="minorHAnsi" w:eastAsiaTheme="minorEastAsia" w:hAnsiTheme="minorHAnsi"/>
          <w:b w:val="0"/>
          <w:noProof/>
          <w:color w:val="auto"/>
          <w:szCs w:val="24"/>
        </w:rPr>
      </w:pPr>
      <w:r>
        <w:rPr>
          <w:noProof/>
        </w:rPr>
        <w:t>Appendix 3: Outcome 3</w:t>
      </w:r>
      <w:r>
        <w:rPr>
          <w:noProof/>
        </w:rPr>
        <w:tab/>
      </w:r>
      <w:r>
        <w:rPr>
          <w:noProof/>
        </w:rPr>
        <w:fldChar w:fldCharType="begin"/>
      </w:r>
      <w:r>
        <w:rPr>
          <w:noProof/>
        </w:rPr>
        <w:instrText xml:space="preserve"> PAGEREF _Toc517949179 \h </w:instrText>
      </w:r>
      <w:r>
        <w:rPr>
          <w:noProof/>
        </w:rPr>
      </w:r>
      <w:r>
        <w:rPr>
          <w:noProof/>
        </w:rPr>
        <w:fldChar w:fldCharType="separate"/>
      </w:r>
      <w:r>
        <w:rPr>
          <w:noProof/>
        </w:rPr>
        <w:t>27</w:t>
      </w:r>
      <w:r>
        <w:rPr>
          <w:noProof/>
        </w:rPr>
        <w:fldChar w:fldCharType="end"/>
      </w:r>
    </w:p>
    <w:p w14:paraId="471DB0D7" w14:textId="009B5286" w:rsidR="00A92BCB" w:rsidRDefault="00A92BCB">
      <w:pPr>
        <w:pStyle w:val="TOC1"/>
        <w:rPr>
          <w:rFonts w:asciiTheme="minorHAnsi" w:eastAsiaTheme="minorEastAsia" w:hAnsiTheme="minorHAnsi"/>
          <w:b w:val="0"/>
          <w:noProof/>
          <w:color w:val="auto"/>
          <w:szCs w:val="24"/>
        </w:rPr>
      </w:pPr>
      <w:r>
        <w:rPr>
          <w:noProof/>
        </w:rPr>
        <w:t>Appendix 4: Outcome 4</w:t>
      </w:r>
      <w:r>
        <w:rPr>
          <w:noProof/>
        </w:rPr>
        <w:tab/>
      </w:r>
      <w:r>
        <w:rPr>
          <w:noProof/>
        </w:rPr>
        <w:fldChar w:fldCharType="begin"/>
      </w:r>
      <w:r>
        <w:rPr>
          <w:noProof/>
        </w:rPr>
        <w:instrText xml:space="preserve"> PAGEREF _Toc517949180 \h </w:instrText>
      </w:r>
      <w:r>
        <w:rPr>
          <w:noProof/>
        </w:rPr>
      </w:r>
      <w:r>
        <w:rPr>
          <w:noProof/>
        </w:rPr>
        <w:fldChar w:fldCharType="separate"/>
      </w:r>
      <w:r>
        <w:rPr>
          <w:noProof/>
        </w:rPr>
        <w:t>36</w:t>
      </w:r>
      <w:r>
        <w:rPr>
          <w:noProof/>
        </w:rPr>
        <w:fldChar w:fldCharType="end"/>
      </w:r>
    </w:p>
    <w:p w14:paraId="591604A4" w14:textId="18ACDD1E" w:rsidR="00A92BCB" w:rsidRDefault="00A92BCB">
      <w:pPr>
        <w:pStyle w:val="TOC1"/>
        <w:rPr>
          <w:rFonts w:asciiTheme="minorHAnsi" w:eastAsiaTheme="minorEastAsia" w:hAnsiTheme="minorHAnsi"/>
          <w:b w:val="0"/>
          <w:noProof/>
          <w:color w:val="auto"/>
          <w:szCs w:val="24"/>
        </w:rPr>
      </w:pPr>
      <w:r>
        <w:rPr>
          <w:noProof/>
        </w:rPr>
        <w:t>Appendix 5: Outcome 5</w:t>
      </w:r>
      <w:r>
        <w:rPr>
          <w:noProof/>
        </w:rPr>
        <w:tab/>
      </w:r>
      <w:r>
        <w:rPr>
          <w:noProof/>
        </w:rPr>
        <w:fldChar w:fldCharType="begin"/>
      </w:r>
      <w:r>
        <w:rPr>
          <w:noProof/>
        </w:rPr>
        <w:instrText xml:space="preserve"> PAGEREF _Toc517949181 \h </w:instrText>
      </w:r>
      <w:r>
        <w:rPr>
          <w:noProof/>
        </w:rPr>
      </w:r>
      <w:r>
        <w:rPr>
          <w:noProof/>
        </w:rPr>
        <w:fldChar w:fldCharType="separate"/>
      </w:r>
      <w:r>
        <w:rPr>
          <w:noProof/>
        </w:rPr>
        <w:t>46</w:t>
      </w:r>
      <w:r>
        <w:rPr>
          <w:noProof/>
        </w:rPr>
        <w:fldChar w:fldCharType="end"/>
      </w:r>
    </w:p>
    <w:p w14:paraId="3CBCEDEE" w14:textId="2BBE64CA" w:rsidR="00A92BCB" w:rsidRDefault="00A92BCB">
      <w:pPr>
        <w:pStyle w:val="TOC1"/>
        <w:rPr>
          <w:rFonts w:asciiTheme="minorHAnsi" w:eastAsiaTheme="minorEastAsia" w:hAnsiTheme="minorHAnsi"/>
          <w:b w:val="0"/>
          <w:noProof/>
          <w:color w:val="auto"/>
          <w:szCs w:val="24"/>
        </w:rPr>
      </w:pPr>
      <w:r>
        <w:rPr>
          <w:noProof/>
        </w:rPr>
        <w:t>Appendix 6: Outcome 6</w:t>
      </w:r>
      <w:r>
        <w:rPr>
          <w:noProof/>
        </w:rPr>
        <w:tab/>
      </w:r>
      <w:r>
        <w:rPr>
          <w:noProof/>
        </w:rPr>
        <w:fldChar w:fldCharType="begin"/>
      </w:r>
      <w:r>
        <w:rPr>
          <w:noProof/>
        </w:rPr>
        <w:instrText xml:space="preserve"> PAGEREF _Toc517949182 \h </w:instrText>
      </w:r>
      <w:r>
        <w:rPr>
          <w:noProof/>
        </w:rPr>
      </w:r>
      <w:r>
        <w:rPr>
          <w:noProof/>
        </w:rPr>
        <w:fldChar w:fldCharType="separate"/>
      </w:r>
      <w:r>
        <w:rPr>
          <w:noProof/>
        </w:rPr>
        <w:t>55</w:t>
      </w:r>
      <w:r>
        <w:rPr>
          <w:noProof/>
        </w:rPr>
        <w:fldChar w:fldCharType="end"/>
      </w:r>
    </w:p>
    <w:p w14:paraId="47D79FCB" w14:textId="516322C2" w:rsidR="00705927" w:rsidRDefault="008011CE" w:rsidP="0049743E">
      <w:pPr>
        <w:rPr>
          <w:b/>
        </w:rPr>
        <w:sectPr w:rsidR="00705927" w:rsidSect="008630C3">
          <w:headerReference w:type="default" r:id="rId14"/>
          <w:footerReference w:type="default" r:id="rId15"/>
          <w:headerReference w:type="first" r:id="rId16"/>
          <w:footerReference w:type="first" r:id="rId17"/>
          <w:pgSz w:w="11906" w:h="16838" w:code="9"/>
          <w:pgMar w:top="1134" w:right="1134" w:bottom="2268" w:left="1134" w:header="680" w:footer="680" w:gutter="0"/>
          <w:pgNumType w:fmt="lowerRoman" w:start="1"/>
          <w:cols w:space="708"/>
          <w:docGrid w:linePitch="360"/>
        </w:sectPr>
      </w:pPr>
      <w:r>
        <w:rPr>
          <w:caps/>
          <w:color w:val="203145" w:themeColor="text2"/>
          <w:sz w:val="24"/>
        </w:rPr>
        <w:fldChar w:fldCharType="end"/>
      </w:r>
    </w:p>
    <w:p w14:paraId="361A1B9E" w14:textId="77777777" w:rsidR="00362ADA" w:rsidRDefault="00942E56" w:rsidP="00004000">
      <w:pPr>
        <w:pStyle w:val="Heading1"/>
      </w:pPr>
      <w:bookmarkStart w:id="1" w:name="_Toc517949167"/>
      <w:r w:rsidRPr="00942E56">
        <w:t>Introduction</w:t>
      </w:r>
      <w:bookmarkEnd w:id="1"/>
    </w:p>
    <w:p w14:paraId="22A25351" w14:textId="6ACA2C34" w:rsidR="00341D17" w:rsidRPr="00341D17" w:rsidRDefault="0096085A" w:rsidP="00602B4B">
      <w:pPr>
        <w:pStyle w:val="BodyNormal"/>
      </w:pPr>
      <w:r>
        <w:t xml:space="preserve">This report </w:t>
      </w:r>
      <w:r w:rsidR="00DA1C2C">
        <w:t>presents an</w:t>
      </w:r>
      <w:r>
        <w:t xml:space="preserve"> </w:t>
      </w:r>
      <w:r w:rsidR="00341D17">
        <w:t>evaluation plan</w:t>
      </w:r>
      <w:r>
        <w:t xml:space="preserve"> for </w:t>
      </w:r>
      <w:r w:rsidR="00244311">
        <w:t xml:space="preserve">the </w:t>
      </w:r>
      <w:r w:rsidR="00DA1C2C">
        <w:t xml:space="preserve">six outcomes of </w:t>
      </w:r>
      <w:r>
        <w:t>the</w:t>
      </w:r>
      <w:r w:rsidRPr="0096085A">
        <w:t xml:space="preserve"> </w:t>
      </w:r>
      <w:r>
        <w:t>Regional Land Partnerships (RLP)</w:t>
      </w:r>
      <w:r w:rsidR="00244311">
        <w:t xml:space="preserve"> component of the National Landcare</w:t>
      </w:r>
      <w:r w:rsidR="00DA1C2C">
        <w:t xml:space="preserve"> </w:t>
      </w:r>
      <w:r w:rsidR="00244311">
        <w:t>P</w:t>
      </w:r>
      <w:r w:rsidR="00DA1C2C">
        <w:t>rogram</w:t>
      </w:r>
      <w:r>
        <w:t>.</w:t>
      </w:r>
      <w:r w:rsidRPr="0096085A">
        <w:t xml:space="preserve"> </w:t>
      </w:r>
      <w:r w:rsidR="00DA1C2C">
        <w:t>The plan</w:t>
      </w:r>
      <w:r>
        <w:t xml:space="preserve"> aims to </w:t>
      </w:r>
      <w:r w:rsidR="00DA1C2C">
        <w:t>create</w:t>
      </w:r>
      <w:r>
        <w:t xml:space="preserve"> an approach that will drive clear and effective reporting on the achievements across </w:t>
      </w:r>
      <w:r w:rsidR="00244311">
        <w:t>RLP</w:t>
      </w:r>
      <w:r>
        <w:t xml:space="preserve">. It is also intended </w:t>
      </w:r>
      <w:r w:rsidR="00341D17" w:rsidRPr="00AB6E72">
        <w:t>to provide advice</w:t>
      </w:r>
      <w:r w:rsidR="00DA1C2C">
        <w:t xml:space="preserve"> for the </w:t>
      </w:r>
      <w:r w:rsidR="00333D89">
        <w:t>Australian</w:t>
      </w:r>
      <w:r w:rsidR="00DA1C2C">
        <w:t xml:space="preserve"> </w:t>
      </w:r>
      <w:r w:rsidR="00244311">
        <w:t>G</w:t>
      </w:r>
      <w:r w:rsidR="00DA1C2C">
        <w:t xml:space="preserve">overnment and </w:t>
      </w:r>
      <w:r w:rsidR="00A01713">
        <w:t>RLP Service Providers</w:t>
      </w:r>
      <w:r w:rsidR="00341D17" w:rsidRPr="00AB6E72">
        <w:t xml:space="preserve"> on how to prepare </w:t>
      </w:r>
      <w:r>
        <w:t xml:space="preserve">for both </w:t>
      </w:r>
      <w:r w:rsidR="004310FE">
        <w:t>medium</w:t>
      </w:r>
      <w:r>
        <w:t>-</w:t>
      </w:r>
      <w:r w:rsidR="004310FE">
        <w:t>term</w:t>
      </w:r>
      <w:r>
        <w:t xml:space="preserve"> and end of program evaluations</w:t>
      </w:r>
      <w:r w:rsidR="00341D17" w:rsidRPr="00AB6E72">
        <w:t>.</w:t>
      </w:r>
      <w:r w:rsidR="00341D17">
        <w:t xml:space="preserve"> </w:t>
      </w:r>
    </w:p>
    <w:p w14:paraId="486318E0" w14:textId="73CDFC38" w:rsidR="00341D17" w:rsidRDefault="00341D17" w:rsidP="00341D17">
      <w:pPr>
        <w:pStyle w:val="BodyNormal"/>
      </w:pPr>
      <w:r>
        <w:t>As part of the foundation work for the RLP</w:t>
      </w:r>
      <w:r w:rsidR="00DA1C2C">
        <w:t xml:space="preserve"> program, a</w:t>
      </w:r>
      <w:r w:rsidR="00FC73CA">
        <w:t>n RLP</w:t>
      </w:r>
      <w:r w:rsidR="00DA1C2C">
        <w:t xml:space="preserve"> M</w:t>
      </w:r>
      <w:r w:rsidR="004266EB">
        <w:t xml:space="preserve">onitoring </w:t>
      </w:r>
      <w:r w:rsidR="00DA1C2C">
        <w:t>E</w:t>
      </w:r>
      <w:r w:rsidR="004266EB">
        <w:t xml:space="preserve">valuation </w:t>
      </w:r>
      <w:r w:rsidR="00DA1C2C">
        <w:t>R</w:t>
      </w:r>
      <w:r w:rsidR="004266EB">
        <w:t>eporting and Improvement (MERI)</w:t>
      </w:r>
      <w:r w:rsidR="00FB11FB">
        <w:t xml:space="preserve"> </w:t>
      </w:r>
      <w:r w:rsidR="004266EB">
        <w:t>framework</w:t>
      </w:r>
      <w:r w:rsidR="00DA1C2C">
        <w:t xml:space="preserve"> w</w:t>
      </w:r>
      <w:r>
        <w:t xml:space="preserve">as developed. This framework is based on the </w:t>
      </w:r>
      <w:r w:rsidRPr="00BF406F">
        <w:t>Australian Government’s Natural Resource Management Monitoring, Evaluation, Reporting and Improvement Framework</w:t>
      </w:r>
      <w:r w:rsidR="007F5C8A">
        <w:t xml:space="preserve"> (2009)</w:t>
      </w:r>
      <w:r w:rsidR="001B6745">
        <w:t xml:space="preserve">. </w:t>
      </w:r>
      <w:r w:rsidR="00DA1C2C">
        <w:t>Another part of this foundation work was the set of high level program logics prepared for each of the</w:t>
      </w:r>
      <w:r w:rsidR="00DA1C2C" w:rsidRPr="00DA1C2C">
        <w:t xml:space="preserve"> </w:t>
      </w:r>
      <w:r w:rsidR="00DA1C2C">
        <w:t xml:space="preserve">six </w:t>
      </w:r>
      <w:r w:rsidR="007F5C8A">
        <w:t xml:space="preserve">RLP </w:t>
      </w:r>
      <w:r w:rsidR="00DA1C2C">
        <w:t>outcomes.</w:t>
      </w:r>
    </w:p>
    <w:p w14:paraId="5B298BF3" w14:textId="4CC369B6" w:rsidR="00333D89" w:rsidRPr="00873E57" w:rsidRDefault="001B6745" w:rsidP="00341D17">
      <w:pPr>
        <w:pStyle w:val="BodyNormal"/>
      </w:pPr>
      <w:r>
        <w:t>This</w:t>
      </w:r>
      <w:r w:rsidR="00341D17">
        <w:t xml:space="preserve"> project </w:t>
      </w:r>
      <w:r w:rsidR="00602B4B">
        <w:t>has taken</w:t>
      </w:r>
      <w:r w:rsidR="00341D17">
        <w:t xml:space="preserve"> th</w:t>
      </w:r>
      <w:r>
        <w:t>e existing</w:t>
      </w:r>
      <w:r w:rsidR="00341D17">
        <w:t xml:space="preserve"> </w:t>
      </w:r>
      <w:r w:rsidR="00FC73CA">
        <w:t xml:space="preserve">MERI </w:t>
      </w:r>
      <w:r w:rsidR="00341D17">
        <w:t>framework</w:t>
      </w:r>
      <w:r w:rsidR="00FC73CA">
        <w:t>s</w:t>
      </w:r>
      <w:r w:rsidR="00341D17">
        <w:t xml:space="preserve"> </w:t>
      </w:r>
      <w:r>
        <w:t>and</w:t>
      </w:r>
      <w:r w:rsidR="00341D17">
        <w:t xml:space="preserve"> </w:t>
      </w:r>
      <w:r w:rsidR="00FC73CA">
        <w:t xml:space="preserve">high level RLP </w:t>
      </w:r>
      <w:r w:rsidR="00DA1C2C">
        <w:t>logics</w:t>
      </w:r>
      <w:r w:rsidR="00333D89">
        <w:t xml:space="preserve">, </w:t>
      </w:r>
      <w:r w:rsidR="00DA1C2C">
        <w:t xml:space="preserve">and </w:t>
      </w:r>
      <w:r w:rsidR="00341D17">
        <w:t>prepare</w:t>
      </w:r>
      <w:r w:rsidR="00602B4B">
        <w:t>d</w:t>
      </w:r>
      <w:r w:rsidR="00341D17">
        <w:t xml:space="preserve"> </w:t>
      </w:r>
      <w:r w:rsidR="00DA1C2C">
        <w:t xml:space="preserve">detailed </w:t>
      </w:r>
      <w:r w:rsidR="00341D17" w:rsidRPr="00873E57">
        <w:t>evaluation plan</w:t>
      </w:r>
      <w:r w:rsidRPr="00873E57">
        <w:t>s</w:t>
      </w:r>
      <w:r w:rsidR="00341D17" w:rsidRPr="00873E57">
        <w:t xml:space="preserve"> </w:t>
      </w:r>
      <w:r w:rsidR="00DA1C2C" w:rsidRPr="00873E57">
        <w:t>for each outcome</w:t>
      </w:r>
      <w:r w:rsidR="00333D89" w:rsidRPr="00873E57">
        <w:t>. The aim of these plans is to:</w:t>
      </w:r>
    </w:p>
    <w:p w14:paraId="36E8E4C9" w14:textId="100BAE53" w:rsidR="00333D89" w:rsidRPr="00873E57" w:rsidRDefault="00333D89" w:rsidP="00333D89">
      <w:pPr>
        <w:pStyle w:val="ListBullet"/>
      </w:pPr>
      <w:r w:rsidRPr="00873E57">
        <w:t>Clearly identify the short</w:t>
      </w:r>
      <w:r w:rsidR="00CC35FE" w:rsidRPr="00873E57">
        <w:t>-</w:t>
      </w:r>
      <w:r w:rsidRPr="00873E57">
        <w:t xml:space="preserve">, </w:t>
      </w:r>
      <w:r w:rsidR="00460251" w:rsidRPr="00873E57">
        <w:t>m</w:t>
      </w:r>
      <w:r w:rsidR="00FC73CA" w:rsidRPr="00873E57">
        <w:t>edium</w:t>
      </w:r>
      <w:r w:rsidR="00CC35FE" w:rsidRPr="00873E57">
        <w:t>-</w:t>
      </w:r>
      <w:r w:rsidRPr="00873E57">
        <w:t xml:space="preserve"> and long-term goals of each outcome</w:t>
      </w:r>
    </w:p>
    <w:p w14:paraId="28A17C98" w14:textId="77777777" w:rsidR="00947CB2" w:rsidRDefault="00947CB2" w:rsidP="00333D89">
      <w:pPr>
        <w:pStyle w:val="ListBullet"/>
      </w:pPr>
      <w:r>
        <w:t>Identify the indicators and measures that will be used to assess progress towards those outcomes</w:t>
      </w:r>
    </w:p>
    <w:p w14:paraId="0A6BFC7B" w14:textId="14E9E015" w:rsidR="00333D89" w:rsidRDefault="00947CB2" w:rsidP="00333D89">
      <w:pPr>
        <w:pStyle w:val="ListBullet"/>
      </w:pPr>
      <w:r>
        <w:t xml:space="preserve">Define the type of data that </w:t>
      </w:r>
      <w:r w:rsidR="00A01713">
        <w:t>Service Provid</w:t>
      </w:r>
      <w:r>
        <w:t>ers will be expected to collect in order to report on that progress</w:t>
      </w:r>
      <w:r w:rsidR="007F5C8A">
        <w:t>.</w:t>
      </w:r>
    </w:p>
    <w:p w14:paraId="74314568" w14:textId="7AA5FF45" w:rsidR="001B6745" w:rsidRDefault="001B6745" w:rsidP="000F74C0">
      <w:pPr>
        <w:pStyle w:val="Heading2"/>
        <w:ind w:left="1134" w:hanging="1134"/>
      </w:pPr>
      <w:bookmarkStart w:id="2" w:name="_Toc517949168"/>
      <w:r>
        <w:t>This document</w:t>
      </w:r>
      <w:bookmarkEnd w:id="2"/>
    </w:p>
    <w:p w14:paraId="224F0351" w14:textId="4698C87C" w:rsidR="001B6745" w:rsidRDefault="001B6745" w:rsidP="00333D89">
      <w:pPr>
        <w:pStyle w:val="BodyNormal"/>
      </w:pPr>
      <w:r>
        <w:t xml:space="preserve">This report </w:t>
      </w:r>
      <w:r w:rsidR="00333D89">
        <w:t>includes an e</w:t>
      </w:r>
      <w:r>
        <w:t xml:space="preserve">valuation plan for </w:t>
      </w:r>
      <w:r w:rsidR="00333D89">
        <w:t xml:space="preserve">each of </w:t>
      </w:r>
      <w:r>
        <w:t xml:space="preserve">the </w:t>
      </w:r>
      <w:r w:rsidR="004266EB">
        <w:t>5</w:t>
      </w:r>
      <w:r w:rsidR="004310FE">
        <w:t>-</w:t>
      </w:r>
      <w:r w:rsidR="004266EB">
        <w:t xml:space="preserve">year </w:t>
      </w:r>
      <w:r>
        <w:t xml:space="preserve">RLP </w:t>
      </w:r>
      <w:r w:rsidR="00333D89">
        <w:t xml:space="preserve">program </w:t>
      </w:r>
      <w:r>
        <w:t>outcomes</w:t>
      </w:r>
      <w:r w:rsidR="00333D89">
        <w:t>, namely</w:t>
      </w:r>
      <w:r w:rsidR="006615B5">
        <w:t>:</w:t>
      </w:r>
      <w:r w:rsidR="00333D89">
        <w:t xml:space="preserve"> </w:t>
      </w:r>
    </w:p>
    <w:p w14:paraId="532E721B" w14:textId="77777777" w:rsidR="00341D17" w:rsidRPr="00BC24EC" w:rsidRDefault="00341D17" w:rsidP="00341D17">
      <w:pPr>
        <w:pStyle w:val="ListNumber"/>
        <w:contextualSpacing/>
      </w:pPr>
      <w:r w:rsidRPr="00BC24EC">
        <w:t>By 2023, there is restoration of, and reduction in threats to, the ecological character of Ramsar sites, through the implementation of priority actions.</w:t>
      </w:r>
    </w:p>
    <w:p w14:paraId="37DC6620" w14:textId="77777777" w:rsidR="00341D17" w:rsidRPr="00BC24EC" w:rsidRDefault="00341D17" w:rsidP="00341D17">
      <w:pPr>
        <w:pStyle w:val="ListNumber"/>
        <w:contextualSpacing/>
      </w:pPr>
      <w:r w:rsidRPr="00BC24EC">
        <w:t>By 2023, the trajectory of species targeted under the Threatened Species Strategy, and other EPBC Act priority species, is stabilised or improved.</w:t>
      </w:r>
    </w:p>
    <w:p w14:paraId="1D46BE2E" w14:textId="77777777" w:rsidR="00341D17" w:rsidRPr="00BC24EC" w:rsidRDefault="00341D17" w:rsidP="00341D17">
      <w:pPr>
        <w:pStyle w:val="ListNumber"/>
        <w:contextualSpacing/>
      </w:pPr>
      <w:r w:rsidRPr="00BC24EC">
        <w:t>By 2023, invasive species management has reduced threats to the natural heritage Outstanding Universal Values of World Heritage properties through the implementation of priority actions.</w:t>
      </w:r>
    </w:p>
    <w:p w14:paraId="3DFABB69" w14:textId="127E3EBB" w:rsidR="00341D17" w:rsidRDefault="00341D17" w:rsidP="00341D17">
      <w:pPr>
        <w:pStyle w:val="ListNumber"/>
        <w:contextualSpacing/>
      </w:pPr>
      <w:r w:rsidRPr="00BC24EC">
        <w:t xml:space="preserve">By 2023, the implementation of priority actions is leading to an improvement in the condition of EPBC </w:t>
      </w:r>
      <w:r w:rsidR="006615B5">
        <w:t xml:space="preserve">Act </w:t>
      </w:r>
      <w:r w:rsidRPr="00BC24EC">
        <w:t>listed</w:t>
      </w:r>
      <w:r>
        <w:t xml:space="preserve"> Threatened Ecological Communities</w:t>
      </w:r>
      <w:r w:rsidRPr="00BC24EC">
        <w:t>.</w:t>
      </w:r>
    </w:p>
    <w:p w14:paraId="56F476AC" w14:textId="77777777" w:rsidR="00602B4B" w:rsidRPr="005C7951" w:rsidRDefault="00602B4B" w:rsidP="00602B4B">
      <w:pPr>
        <w:pStyle w:val="ListNumber"/>
        <w:contextualSpacing/>
      </w:pPr>
      <w:r w:rsidRPr="00362676">
        <w:t>By 2023, there is an increase in the awareness and adoption of land management practices that improve and protect the condition of soil, biodiversity and vegetation.</w:t>
      </w:r>
    </w:p>
    <w:p w14:paraId="7B7981EB" w14:textId="42AAC8F4" w:rsidR="00602B4B" w:rsidRDefault="00602B4B" w:rsidP="00602B4B">
      <w:pPr>
        <w:pStyle w:val="ListNumber"/>
        <w:contextualSpacing/>
      </w:pPr>
      <w:r w:rsidRPr="00362676">
        <w:t>By 2023, there is an increase in the capacity of agriculture systems to adapt to significant changes in climate, markets and extreme weather.</w:t>
      </w:r>
    </w:p>
    <w:p w14:paraId="2CEC1242" w14:textId="4B541230" w:rsidR="00B66A3E" w:rsidRDefault="00B66A3E" w:rsidP="00B66A3E">
      <w:pPr>
        <w:pStyle w:val="BodyNormal"/>
      </w:pPr>
      <w:r>
        <w:t>The</w:t>
      </w:r>
      <w:r w:rsidR="00947CB2">
        <w:t>se</w:t>
      </w:r>
      <w:r>
        <w:t xml:space="preserve"> </w:t>
      </w:r>
      <w:r w:rsidR="00333D89">
        <w:t xml:space="preserve">individual </w:t>
      </w:r>
      <w:r>
        <w:t>plan</w:t>
      </w:r>
      <w:r w:rsidR="00333D89">
        <w:t>s are</w:t>
      </w:r>
      <w:r>
        <w:t xml:space="preserve"> presented in Appendices 1 to 6. </w:t>
      </w:r>
    </w:p>
    <w:p w14:paraId="734A9E91" w14:textId="45618D02" w:rsidR="00947CB2" w:rsidRPr="00341D17" w:rsidRDefault="00947CB2" w:rsidP="00B66A3E">
      <w:pPr>
        <w:pStyle w:val="BodyNormal"/>
      </w:pPr>
      <w:r>
        <w:t xml:space="preserve">The report also includes an explanation of some of the </w:t>
      </w:r>
      <w:r w:rsidR="00EC1E37">
        <w:t xml:space="preserve">key elements of the evaluation plans including targets, assumptions, and the role of indicators. </w:t>
      </w:r>
      <w:r w:rsidR="00221AEB">
        <w:t>S</w:t>
      </w:r>
      <w:r w:rsidR="00EC1E37">
        <w:t>ection 2</w:t>
      </w:r>
      <w:r w:rsidR="00221AEB">
        <w:t xml:space="preserve"> includes discussions of how </w:t>
      </w:r>
      <w:r w:rsidR="007E0A78">
        <w:t>target-setting, setting baselines, dealing with assumptions and the role that indicators play in measuring progress</w:t>
      </w:r>
      <w:r w:rsidR="00221AEB">
        <w:t xml:space="preserve"> have been considered in these plans</w:t>
      </w:r>
      <w:r w:rsidR="007E0A78">
        <w:t>.</w:t>
      </w:r>
      <w:r w:rsidR="00221AEB">
        <w:t xml:space="preserve"> </w:t>
      </w:r>
      <w:r w:rsidR="007E0A78">
        <w:t xml:space="preserve"> </w:t>
      </w:r>
      <w:r>
        <w:t xml:space="preserve"> </w:t>
      </w:r>
    </w:p>
    <w:p w14:paraId="5871DA43" w14:textId="07283AA8" w:rsidR="00B36B89" w:rsidRDefault="00B36B89" w:rsidP="000F74C0">
      <w:pPr>
        <w:pStyle w:val="Heading2"/>
        <w:ind w:left="1134" w:hanging="1134"/>
      </w:pPr>
      <w:bookmarkStart w:id="3" w:name="_Toc517949169"/>
      <w:r>
        <w:t>Intended audience</w:t>
      </w:r>
      <w:bookmarkEnd w:id="3"/>
    </w:p>
    <w:p w14:paraId="2D5EFA60" w14:textId="446973EE" w:rsidR="00B36B89" w:rsidRDefault="00B36B89" w:rsidP="00490CD4">
      <w:pPr>
        <w:pStyle w:val="BodyNormal"/>
      </w:pPr>
      <w:r>
        <w:t xml:space="preserve">The evaluation plans presented here are intended to be used by </w:t>
      </w:r>
      <w:r w:rsidR="00490CD4">
        <w:t xml:space="preserve">the Australian </w:t>
      </w:r>
      <w:r w:rsidR="005C7035">
        <w:t>G</w:t>
      </w:r>
      <w:r w:rsidR="00490CD4">
        <w:t xml:space="preserve">overnment </w:t>
      </w:r>
      <w:r w:rsidR="007E0A78">
        <w:t>(</w:t>
      </w:r>
      <w:r w:rsidR="005C7035">
        <w:t xml:space="preserve">the </w:t>
      </w:r>
      <w:r w:rsidR="007E0A78">
        <w:t>D</w:t>
      </w:r>
      <w:r w:rsidR="005C7035">
        <w:t>epartment of the Environment and Energy,</w:t>
      </w:r>
      <w:r w:rsidR="007E0A78">
        <w:t xml:space="preserve"> and </w:t>
      </w:r>
      <w:r w:rsidR="005C7035">
        <w:t>the Department of Agriculture and Water Resources</w:t>
      </w:r>
      <w:r w:rsidR="007E0A78">
        <w:t xml:space="preserve">), and by </w:t>
      </w:r>
      <w:r w:rsidR="00AA4D12">
        <w:t xml:space="preserve">RLP </w:t>
      </w:r>
      <w:r w:rsidR="00490CD4">
        <w:t xml:space="preserve">Service Providers responsible for project delivery </w:t>
      </w:r>
      <w:r w:rsidR="007E0A78">
        <w:t xml:space="preserve">in </w:t>
      </w:r>
      <w:r w:rsidR="00643879">
        <w:t xml:space="preserve">their </w:t>
      </w:r>
      <w:r w:rsidR="007E0A78">
        <w:t xml:space="preserve">Management Units across Australia. </w:t>
      </w:r>
    </w:p>
    <w:p w14:paraId="287B1E33" w14:textId="5A5DBDCF" w:rsidR="00AF5534" w:rsidRDefault="00AF5618" w:rsidP="00490CD4">
      <w:pPr>
        <w:pStyle w:val="Heading3NoNumbers"/>
      </w:pPr>
      <w:r>
        <w:t>Australian Government</w:t>
      </w:r>
    </w:p>
    <w:p w14:paraId="5A095D49" w14:textId="2067F961" w:rsidR="00BF6070" w:rsidRDefault="00AF5534" w:rsidP="00643879">
      <w:pPr>
        <w:pStyle w:val="BodyNormal"/>
      </w:pPr>
      <w:r>
        <w:t>The logic</w:t>
      </w:r>
      <w:r w:rsidR="00221AEB">
        <w:t>s</w:t>
      </w:r>
      <w:r>
        <w:t xml:space="preserve"> and </w:t>
      </w:r>
      <w:r w:rsidR="00C469A7">
        <w:t>key evaluation questions (</w:t>
      </w:r>
      <w:r>
        <w:t>KEQs</w:t>
      </w:r>
      <w:r w:rsidR="00C469A7">
        <w:t>)</w:t>
      </w:r>
      <w:r>
        <w:t xml:space="preserve"> are intended to provide the </w:t>
      </w:r>
      <w:r w:rsidR="00BF6070">
        <w:t xml:space="preserve">Australian </w:t>
      </w:r>
      <w:r w:rsidR="00C469A7">
        <w:t>G</w:t>
      </w:r>
      <w:r w:rsidR="00BF6070">
        <w:t xml:space="preserve">overnment </w:t>
      </w:r>
      <w:r>
        <w:t xml:space="preserve">with a clear guide on how </w:t>
      </w:r>
      <w:r w:rsidR="001E5246">
        <w:t xml:space="preserve">best </w:t>
      </w:r>
      <w:r w:rsidR="00CA3C47">
        <w:t>to</w:t>
      </w:r>
      <w:r w:rsidR="00BF6070">
        <w:t xml:space="preserve"> evaluate and</w:t>
      </w:r>
      <w:r w:rsidR="00CA3C47">
        <w:t xml:space="preserve"> </w:t>
      </w:r>
      <w:r>
        <w:t xml:space="preserve">report on </w:t>
      </w:r>
      <w:r w:rsidR="00221AEB">
        <w:t xml:space="preserve">project </w:t>
      </w:r>
      <w:r>
        <w:t xml:space="preserve">investment </w:t>
      </w:r>
      <w:r w:rsidR="00221AEB">
        <w:t>contribut</w:t>
      </w:r>
      <w:r w:rsidR="00BF6070">
        <w:t>ion</w:t>
      </w:r>
      <w:r w:rsidR="00C469A7">
        <w:t>s</w:t>
      </w:r>
      <w:r w:rsidR="00221AEB">
        <w:t xml:space="preserve"> to</w:t>
      </w:r>
      <w:r w:rsidR="00BF6070">
        <w:t>:</w:t>
      </w:r>
    </w:p>
    <w:p w14:paraId="246A4489" w14:textId="1A8619DA" w:rsidR="00BF6070" w:rsidRDefault="001E5246" w:rsidP="006E01B4">
      <w:pPr>
        <w:pStyle w:val="ListBullet"/>
      </w:pPr>
      <w:r>
        <w:t>P</w:t>
      </w:r>
      <w:r w:rsidR="00BF6070">
        <w:t>roject</w:t>
      </w:r>
      <w:r w:rsidR="00431AAB">
        <w:t>-</w:t>
      </w:r>
      <w:r w:rsidR="00BF6070">
        <w:t xml:space="preserve">specific </w:t>
      </w:r>
      <w:r w:rsidR="00AF5534">
        <w:t>outcome</w:t>
      </w:r>
      <w:r w:rsidR="00DF6BAC">
        <w:t>s</w:t>
      </w:r>
    </w:p>
    <w:p w14:paraId="23D11B08" w14:textId="3750368C" w:rsidR="00BF6070" w:rsidRDefault="00AD7216" w:rsidP="006E01B4">
      <w:pPr>
        <w:pStyle w:val="ListBullet"/>
      </w:pPr>
      <w:r>
        <w:t>5-</w:t>
      </w:r>
      <w:r w:rsidR="00B2261D">
        <w:t>year program outcomes,</w:t>
      </w:r>
      <w:r w:rsidR="00BF6070">
        <w:t xml:space="preserve"> and</w:t>
      </w:r>
    </w:p>
    <w:p w14:paraId="480482E5" w14:textId="078C20F9" w:rsidR="00AF5534" w:rsidRDefault="00BF6070" w:rsidP="006E01B4">
      <w:pPr>
        <w:pStyle w:val="ListBullet"/>
      </w:pPr>
      <w:r>
        <w:t>Long-term program outcomes.</w:t>
      </w:r>
    </w:p>
    <w:p w14:paraId="2EFF395F" w14:textId="4114B538" w:rsidR="00BF6070" w:rsidRDefault="00AF5534" w:rsidP="00B36B89">
      <w:pPr>
        <w:pStyle w:val="BodyNormal"/>
      </w:pPr>
      <w:r>
        <w:t>Th</w:t>
      </w:r>
      <w:r w:rsidR="00221AEB">
        <w:t>is</w:t>
      </w:r>
      <w:r w:rsidR="00431AAB">
        <w:t xml:space="preserve"> evaluation and</w:t>
      </w:r>
      <w:r w:rsidR="00221AEB">
        <w:t xml:space="preserve"> reporting</w:t>
      </w:r>
      <w:r>
        <w:t xml:space="preserve"> depend</w:t>
      </w:r>
      <w:r w:rsidR="00221AEB">
        <w:t>s heavily</w:t>
      </w:r>
      <w:r>
        <w:t xml:space="preserve"> on the</w:t>
      </w:r>
      <w:r w:rsidR="00CA3C47">
        <w:t xml:space="preserve"> </w:t>
      </w:r>
      <w:r w:rsidR="00DF6BAC">
        <w:t>data collection and reporting</w:t>
      </w:r>
      <w:r w:rsidR="00A01713">
        <w:t xml:space="preserve"> by Service P</w:t>
      </w:r>
      <w:r w:rsidR="00431AAB">
        <w:t>roviders</w:t>
      </w:r>
      <w:r w:rsidR="00DF6BAC">
        <w:t xml:space="preserve">. </w:t>
      </w:r>
      <w:r w:rsidR="00431AAB" w:rsidDel="00431AAB">
        <w:t xml:space="preserve"> </w:t>
      </w:r>
    </w:p>
    <w:p w14:paraId="67A89C94" w14:textId="118DF62D" w:rsidR="00AF5534" w:rsidRPr="00AF5534" w:rsidRDefault="00490CD4" w:rsidP="00AF5534">
      <w:pPr>
        <w:pStyle w:val="Heading3NoNumbers"/>
      </w:pPr>
      <w:r>
        <w:t>Service providers</w:t>
      </w:r>
    </w:p>
    <w:p w14:paraId="4C0A0F96" w14:textId="044D822B" w:rsidR="007E0A78" w:rsidRDefault="007E0A78" w:rsidP="007E0A78">
      <w:pPr>
        <w:pStyle w:val="BodyNormal"/>
      </w:pPr>
      <w:r>
        <w:t>The logic and the monitoring plan for each outcome provide</w:t>
      </w:r>
      <w:r w:rsidR="00FC73CA">
        <w:t>s</w:t>
      </w:r>
      <w:r>
        <w:t xml:space="preserve"> </w:t>
      </w:r>
      <w:r w:rsidR="00490CD4">
        <w:t>Service Providers</w:t>
      </w:r>
      <w:r>
        <w:t xml:space="preserve"> with guidance on: </w:t>
      </w:r>
    </w:p>
    <w:p w14:paraId="3E2D4B50" w14:textId="1D11CB3A" w:rsidR="00B66A3E" w:rsidRDefault="006E01B4" w:rsidP="007E0A78">
      <w:pPr>
        <w:pStyle w:val="ListBullet"/>
      </w:pPr>
      <w:r>
        <w:t xml:space="preserve">How </w:t>
      </w:r>
      <w:r w:rsidR="007E0A78">
        <w:t>project activities are expected to lead to short and m</w:t>
      </w:r>
      <w:r w:rsidR="00431AAB">
        <w:t>edium</w:t>
      </w:r>
      <w:r w:rsidR="007E0A78">
        <w:t xml:space="preserve">-term results, and how those results link to the relevant </w:t>
      </w:r>
      <w:r w:rsidR="004E0B13">
        <w:t>5</w:t>
      </w:r>
      <w:r>
        <w:t>-</w:t>
      </w:r>
      <w:r w:rsidR="004E0B13">
        <w:t xml:space="preserve">year </w:t>
      </w:r>
      <w:r w:rsidR="007E0A78">
        <w:t xml:space="preserve">RLP outcome. This information should help to shape project delivery.  </w:t>
      </w:r>
    </w:p>
    <w:p w14:paraId="725C751C" w14:textId="33B3B752" w:rsidR="007E0A78" w:rsidRDefault="006E01B4" w:rsidP="007E0A78">
      <w:pPr>
        <w:pStyle w:val="ListBullet"/>
      </w:pPr>
      <w:r>
        <w:t xml:space="preserve">The </w:t>
      </w:r>
      <w:r w:rsidR="007E0A78">
        <w:t>measurements</w:t>
      </w:r>
      <w:r w:rsidR="00AF5534">
        <w:t xml:space="preserve"> and data</w:t>
      </w:r>
      <w:r w:rsidR="007E0A78">
        <w:t xml:space="preserve"> </w:t>
      </w:r>
      <w:r>
        <w:t>that</w:t>
      </w:r>
      <w:r w:rsidR="00DF19B1">
        <w:t xml:space="preserve"> needs to be</w:t>
      </w:r>
      <w:r w:rsidR="007E0A78">
        <w:t xml:space="preserve"> </w:t>
      </w:r>
      <w:r w:rsidR="00AF5534">
        <w:t>collect</w:t>
      </w:r>
      <w:r w:rsidR="00DF19B1">
        <w:t>ed</w:t>
      </w:r>
      <w:r w:rsidR="00AF5534">
        <w:t xml:space="preserve"> over the course of delivering project(s)</w:t>
      </w:r>
      <w:r w:rsidR="007E0A78">
        <w:t xml:space="preserve"> in order to report on </w:t>
      </w:r>
      <w:r w:rsidR="004E0B13">
        <w:t xml:space="preserve">the </w:t>
      </w:r>
      <w:r w:rsidR="007E0A78">
        <w:t>contribution to the RLP program outcome(s)</w:t>
      </w:r>
      <w:r w:rsidR="00AF5534">
        <w:t xml:space="preserve">. </w:t>
      </w:r>
    </w:p>
    <w:p w14:paraId="7F7A019D" w14:textId="5B75FCD8" w:rsidR="005C7951" w:rsidRDefault="00341D17" w:rsidP="005C0CCC">
      <w:pPr>
        <w:pStyle w:val="Heading1"/>
      </w:pPr>
      <w:bookmarkStart w:id="4" w:name="_Toc517949170"/>
      <w:r>
        <w:t xml:space="preserve">Evaluation </w:t>
      </w:r>
      <w:r w:rsidR="001B6745">
        <w:t>p</w:t>
      </w:r>
      <w:r>
        <w:t>lan</w:t>
      </w:r>
      <w:r w:rsidR="001B6745">
        <w:t>s</w:t>
      </w:r>
      <w:bookmarkEnd w:id="4"/>
    </w:p>
    <w:p w14:paraId="069CDDF3" w14:textId="54C8AACB" w:rsidR="00341D17" w:rsidRDefault="00A01713" w:rsidP="00341D17">
      <w:pPr>
        <w:pStyle w:val="BodyNormal"/>
        <w:rPr>
          <w:lang w:val="en-US"/>
        </w:rPr>
      </w:pPr>
      <w:r>
        <w:rPr>
          <w:lang w:val="en-US"/>
        </w:rPr>
        <w:t>The evaluation plan for each outcome</w:t>
      </w:r>
      <w:r w:rsidR="001B6745">
        <w:rPr>
          <w:lang w:val="en-US"/>
        </w:rPr>
        <w:t xml:space="preserve"> </w:t>
      </w:r>
      <w:r w:rsidR="00341D17">
        <w:rPr>
          <w:lang w:val="en-US"/>
        </w:rPr>
        <w:t>consist</w:t>
      </w:r>
      <w:r w:rsidR="001B6745">
        <w:rPr>
          <w:lang w:val="en-US"/>
        </w:rPr>
        <w:t>s</w:t>
      </w:r>
      <w:r w:rsidR="00341D17">
        <w:rPr>
          <w:lang w:val="en-US"/>
        </w:rPr>
        <w:t xml:space="preserve"> of:</w:t>
      </w:r>
    </w:p>
    <w:p w14:paraId="4AFB54C5" w14:textId="0BA8B34F" w:rsidR="00341D17" w:rsidRDefault="00341D17" w:rsidP="00341D17">
      <w:pPr>
        <w:pStyle w:val="ListBullet"/>
        <w:rPr>
          <w:lang w:val="en-US"/>
        </w:rPr>
      </w:pPr>
      <w:r>
        <w:rPr>
          <w:lang w:val="en-US"/>
        </w:rPr>
        <w:t xml:space="preserve">A </w:t>
      </w:r>
      <w:r w:rsidRPr="001D296F">
        <w:rPr>
          <w:b/>
          <w:lang w:val="en-US"/>
        </w:rPr>
        <w:t>program logic</w:t>
      </w:r>
    </w:p>
    <w:p w14:paraId="26EFEAD3" w14:textId="6B1660D4" w:rsidR="00341D17" w:rsidRDefault="00341D17" w:rsidP="00341D17">
      <w:pPr>
        <w:pStyle w:val="ListBullet"/>
      </w:pPr>
      <w:r w:rsidRPr="001D296F">
        <w:rPr>
          <w:b/>
        </w:rPr>
        <w:t>Key Evaluation Questions</w:t>
      </w:r>
      <w:r w:rsidR="006E01B4">
        <w:rPr>
          <w:b/>
        </w:rPr>
        <w:t xml:space="preserve"> (</w:t>
      </w:r>
      <w:r w:rsidR="007B474A">
        <w:rPr>
          <w:b/>
        </w:rPr>
        <w:t>KEQs</w:t>
      </w:r>
      <w:r w:rsidR="006E01B4">
        <w:rPr>
          <w:b/>
        </w:rPr>
        <w:t>)</w:t>
      </w:r>
      <w:r w:rsidRPr="001D296F">
        <w:rPr>
          <w:b/>
        </w:rPr>
        <w:t xml:space="preserve"> and sub-questions</w:t>
      </w:r>
      <w:r w:rsidR="00B2261D">
        <w:t>,</w:t>
      </w:r>
      <w:r w:rsidR="00DF6BAC">
        <w:t xml:space="preserve"> and</w:t>
      </w:r>
    </w:p>
    <w:p w14:paraId="5D1071A6" w14:textId="2455F6F2" w:rsidR="00341D17" w:rsidRDefault="00341D17" w:rsidP="00341D17">
      <w:pPr>
        <w:pStyle w:val="ListBullet"/>
      </w:pPr>
      <w:r>
        <w:t xml:space="preserve">A </w:t>
      </w:r>
      <w:r w:rsidRPr="001D296F">
        <w:rPr>
          <w:b/>
        </w:rPr>
        <w:t>monitoring plan</w:t>
      </w:r>
      <w:r>
        <w:t xml:space="preserve"> which outlines what data will be collected, </w:t>
      </w:r>
      <w:r w:rsidRPr="00B50A56">
        <w:t>by whom and</w:t>
      </w:r>
      <w:r>
        <w:t xml:space="preserve"> </w:t>
      </w:r>
      <w:r w:rsidRPr="00B50A56">
        <w:t>how often</w:t>
      </w:r>
      <w:r w:rsidR="00A17994">
        <w:t>.</w:t>
      </w:r>
    </w:p>
    <w:p w14:paraId="39CBD68A" w14:textId="469B45B8" w:rsidR="00AC50B1" w:rsidRDefault="00AC50B1" w:rsidP="00B66A3E">
      <w:pPr>
        <w:pStyle w:val="BodyNormal"/>
      </w:pPr>
      <w:r>
        <w:t xml:space="preserve">In the </w:t>
      </w:r>
      <w:r w:rsidR="004E0B13">
        <w:t xml:space="preserve">following </w:t>
      </w:r>
      <w:r>
        <w:t>sections the key elements of the</w:t>
      </w:r>
      <w:r w:rsidR="001D296F">
        <w:t>se components</w:t>
      </w:r>
      <w:r w:rsidR="004E0B13">
        <w:t xml:space="preserve"> are described</w:t>
      </w:r>
      <w:r w:rsidR="001D296F">
        <w:t xml:space="preserve">. </w:t>
      </w:r>
    </w:p>
    <w:p w14:paraId="635540D1" w14:textId="7804452C" w:rsidR="00B66A3E" w:rsidRDefault="00B66A3E" w:rsidP="000F74C0">
      <w:pPr>
        <w:pStyle w:val="Heading2"/>
        <w:ind w:left="1134" w:hanging="1134"/>
      </w:pPr>
      <w:bookmarkStart w:id="5" w:name="_Toc517949171"/>
      <w:r>
        <w:t>Program Logics</w:t>
      </w:r>
      <w:bookmarkEnd w:id="5"/>
    </w:p>
    <w:p w14:paraId="2202752F" w14:textId="2F3304D0" w:rsidR="00AC50B1" w:rsidRDefault="00AC50B1" w:rsidP="00AC50B1">
      <w:pPr>
        <w:pStyle w:val="BodyNormal"/>
      </w:pPr>
      <w:r>
        <w:t xml:space="preserve">The program logics have been developed to ensure </w:t>
      </w:r>
      <w:r w:rsidR="006E01B4">
        <w:t>consistency</w:t>
      </w:r>
      <w:r>
        <w:t xml:space="preserve"> with the RLP tender process and with </w:t>
      </w:r>
      <w:r w:rsidR="00CC35FE">
        <w:t>the Department’s Monitoring, Evaluation, Reporting and Improvement Tool (</w:t>
      </w:r>
      <w:r>
        <w:t>MERIT</w:t>
      </w:r>
      <w:r w:rsidR="00CC35FE">
        <w:t>)</w:t>
      </w:r>
      <w:r>
        <w:t xml:space="preserve"> as the key reporting tool. </w:t>
      </w:r>
    </w:p>
    <w:p w14:paraId="1BB8C133" w14:textId="57219E07" w:rsidR="00AC50B1" w:rsidRDefault="00AC50B1" w:rsidP="00AC50B1">
      <w:pPr>
        <w:pStyle w:val="BodyNormal"/>
      </w:pPr>
      <w:r>
        <w:t xml:space="preserve">The </w:t>
      </w:r>
      <w:r w:rsidR="006E01B4">
        <w:t xml:space="preserve">program </w:t>
      </w:r>
      <w:r>
        <w:t>logics document the ‘Core</w:t>
      </w:r>
      <w:r w:rsidR="00FF2F87">
        <w:t xml:space="preserve"> S</w:t>
      </w:r>
      <w:r>
        <w:t xml:space="preserve">ervices’ (to be </w:t>
      </w:r>
      <w:r w:rsidR="004E1B98">
        <w:t>delivered by Service Providers</w:t>
      </w:r>
      <w:r>
        <w:t xml:space="preserve"> </w:t>
      </w:r>
      <w:r w:rsidR="004E1B98">
        <w:t xml:space="preserve">for each </w:t>
      </w:r>
      <w:r>
        <w:t xml:space="preserve">Management Unit) and the </w:t>
      </w:r>
      <w:r w:rsidR="00FF2F87">
        <w:t>‘</w:t>
      </w:r>
      <w:r>
        <w:t>Project Services</w:t>
      </w:r>
      <w:r w:rsidR="00FF2F87">
        <w:t>’</w:t>
      </w:r>
      <w:r>
        <w:t xml:space="preserve"> as specified for each outcome in the </w:t>
      </w:r>
      <w:r w:rsidR="009559BE">
        <w:t xml:space="preserve">RLP </w:t>
      </w:r>
      <w:r>
        <w:t>R</w:t>
      </w:r>
      <w:r w:rsidR="00BF6070">
        <w:t xml:space="preserve">equest for </w:t>
      </w:r>
      <w:r>
        <w:t>T</w:t>
      </w:r>
      <w:r w:rsidR="00BF6070">
        <w:t>ender</w:t>
      </w:r>
      <w:r>
        <w:t xml:space="preserve">. These </w:t>
      </w:r>
      <w:r w:rsidR="005926EE">
        <w:t xml:space="preserve">activities </w:t>
      </w:r>
      <w:r>
        <w:t>form the content of the service delivery contracts with each provider, and annual monitoring and reporting</w:t>
      </w:r>
      <w:r w:rsidR="00C4429A">
        <w:t xml:space="preserve"> (via MERIT)</w:t>
      </w:r>
      <w:r>
        <w:t xml:space="preserve"> will be based on these services. </w:t>
      </w:r>
    </w:p>
    <w:p w14:paraId="19D87767" w14:textId="6111D51E" w:rsidR="00AC50B1" w:rsidRDefault="00C4429A" w:rsidP="00B2261D">
      <w:pPr>
        <w:pStyle w:val="BodyNormal"/>
        <w:keepNext/>
      </w:pPr>
      <w:r w:rsidRPr="00873E57">
        <w:t xml:space="preserve">The next levels of the </w:t>
      </w:r>
      <w:r w:rsidR="006E01B4" w:rsidRPr="00873E57">
        <w:t xml:space="preserve">program </w:t>
      </w:r>
      <w:r w:rsidRPr="00873E57">
        <w:t xml:space="preserve">logics identify </w:t>
      </w:r>
      <w:r w:rsidR="00D4711F" w:rsidRPr="00873E57">
        <w:t>s</w:t>
      </w:r>
      <w:r w:rsidRPr="00873E57">
        <w:t>hort</w:t>
      </w:r>
      <w:r w:rsidR="00CC35FE" w:rsidRPr="00873E57">
        <w:t>-</w:t>
      </w:r>
      <w:r w:rsidRPr="00873E57">
        <w:t xml:space="preserve"> and </w:t>
      </w:r>
      <w:r w:rsidR="00D4711F" w:rsidRPr="00873E57">
        <w:t>m</w:t>
      </w:r>
      <w:r w:rsidR="005926EE" w:rsidRPr="00873E57">
        <w:t>edium</w:t>
      </w:r>
      <w:r w:rsidR="00680283" w:rsidRPr="00873E57">
        <w:t xml:space="preserve"> and long</w:t>
      </w:r>
      <w:r w:rsidR="00CC35FE" w:rsidRPr="00873E57">
        <w:t>-t</w:t>
      </w:r>
      <w:r w:rsidR="00AC50B1" w:rsidRPr="00873E57">
        <w:t>erm</w:t>
      </w:r>
      <w:r w:rsidR="00D4711F" w:rsidRPr="00873E57">
        <w:t xml:space="preserve"> project</w:t>
      </w:r>
      <w:r w:rsidR="00AC50B1" w:rsidRPr="00873E57">
        <w:t xml:space="preserve"> </w:t>
      </w:r>
      <w:r w:rsidR="00D4711F" w:rsidRPr="00873E57">
        <w:t>o</w:t>
      </w:r>
      <w:r w:rsidR="00CC35FE" w:rsidRPr="00873E57">
        <w:t>utcomes</w:t>
      </w:r>
      <w:r w:rsidR="00873E57">
        <w:t>:</w:t>
      </w:r>
    </w:p>
    <w:p w14:paraId="0277011A" w14:textId="0A0F5877" w:rsidR="00873E57" w:rsidRPr="00873E57" w:rsidRDefault="00873E57" w:rsidP="00873E57">
      <w:pPr>
        <w:pStyle w:val="BodyNormal"/>
      </w:pPr>
      <w:r w:rsidRPr="007439EB">
        <w:rPr>
          <w:b/>
        </w:rPr>
        <w:t>Short-term outcomes</w:t>
      </w:r>
      <w:r>
        <w:t xml:space="preserve"> </w:t>
      </w:r>
      <w:r w:rsidR="0066641C">
        <w:t>–</w:t>
      </w:r>
      <w:r>
        <w:t xml:space="preserve"> outcomes achieved over 1</w:t>
      </w:r>
      <w:r w:rsidRPr="00873E57">
        <w:t xml:space="preserve"> to 3 years. All projects will have short-term outcomes.</w:t>
      </w:r>
      <w:r>
        <w:t xml:space="preserve"> Even though they are focused on a relatively short period of time, they are still expected to c</w:t>
      </w:r>
      <w:r w:rsidRPr="00873E57">
        <w:t>ontribute to the 5-year Outcome.</w:t>
      </w:r>
      <w:r>
        <w:t xml:space="preserve"> </w:t>
      </w:r>
      <w:r w:rsidR="0066641C">
        <w:t xml:space="preserve">This contribution should be described via the program logic, with particular reference to the relevant indicators and assumptions.  </w:t>
      </w:r>
    </w:p>
    <w:p w14:paraId="61889AE9" w14:textId="0C9502C9" w:rsidR="0066641C" w:rsidRDefault="0066641C" w:rsidP="0066641C">
      <w:pPr>
        <w:pStyle w:val="BodyNormal"/>
      </w:pPr>
      <w:r w:rsidRPr="007439EB">
        <w:rPr>
          <w:b/>
        </w:rPr>
        <w:t>Medium-</w:t>
      </w:r>
      <w:r w:rsidR="00873E57" w:rsidRPr="007439EB">
        <w:rPr>
          <w:b/>
        </w:rPr>
        <w:t xml:space="preserve">term </w:t>
      </w:r>
      <w:r w:rsidRPr="007439EB">
        <w:rPr>
          <w:b/>
        </w:rPr>
        <w:t>outcomes</w:t>
      </w:r>
      <w:r w:rsidRPr="0066641C">
        <w:t xml:space="preserve"> – outcomes delivered over 3 </w:t>
      </w:r>
      <w:r w:rsidR="00873E57" w:rsidRPr="0066641C">
        <w:t xml:space="preserve">to 5 years. </w:t>
      </w:r>
      <w:r w:rsidR="00A03A1D">
        <w:t xml:space="preserve">For 5 year projects, these will also be the end of program outcomes. </w:t>
      </w:r>
      <w:r w:rsidR="00873E57" w:rsidRPr="0066641C">
        <w:t xml:space="preserve">All </w:t>
      </w:r>
      <w:r w:rsidR="007439EB">
        <w:t xml:space="preserve">3 to 5 year </w:t>
      </w:r>
      <w:r w:rsidR="00873E57" w:rsidRPr="0066641C">
        <w:t xml:space="preserve">projects will have medium term outcomes, and these are to be reported on by the end date of the project. </w:t>
      </w:r>
      <w:r>
        <w:t>Medium-term p</w:t>
      </w:r>
      <w:r w:rsidR="00873E57" w:rsidRPr="0066641C">
        <w:t xml:space="preserve">roject outcomes </w:t>
      </w:r>
      <w:r>
        <w:t>will contribute to the 5-year o</w:t>
      </w:r>
      <w:r w:rsidR="00873E57" w:rsidRPr="0066641C">
        <w:t>utcome</w:t>
      </w:r>
      <w:r>
        <w:t>. The indicators identified at the med</w:t>
      </w:r>
      <w:r w:rsidR="007439EB">
        <w:t xml:space="preserve">ium-term level of the logic should be used to describe progress towards these outcomes. </w:t>
      </w:r>
    </w:p>
    <w:p w14:paraId="2810F709" w14:textId="35B70F2C" w:rsidR="00873E57" w:rsidRDefault="00873E57" w:rsidP="00873E57">
      <w:pPr>
        <w:pStyle w:val="BodyNormal"/>
      </w:pPr>
      <w:r w:rsidRPr="00A03A1D">
        <w:rPr>
          <w:b/>
        </w:rPr>
        <w:t xml:space="preserve">Long term </w:t>
      </w:r>
      <w:r w:rsidR="00A03A1D" w:rsidRPr="00A03A1D">
        <w:rPr>
          <w:b/>
        </w:rPr>
        <w:t>outcomes</w:t>
      </w:r>
      <w:r w:rsidR="00A03A1D">
        <w:t xml:space="preserve"> – these are the outcomes that are expected</w:t>
      </w:r>
      <w:r w:rsidRPr="00873E57">
        <w:t xml:space="preserve"> 10-20</w:t>
      </w:r>
      <w:r w:rsidR="00A03A1D">
        <w:t xml:space="preserve"> to emerge well after the end of the current project. In most cases, they will not be able to be directly measured within the life of the program, so indicators will be used to assess progress. </w:t>
      </w:r>
    </w:p>
    <w:p w14:paraId="56DE9481" w14:textId="1285FE9A" w:rsidR="00B66A3E" w:rsidRDefault="008B6410" w:rsidP="008B6410">
      <w:pPr>
        <w:pStyle w:val="Heading3NoNumbers"/>
      </w:pPr>
      <w:r>
        <w:t>Assumptions</w:t>
      </w:r>
    </w:p>
    <w:p w14:paraId="24CC6BCE" w14:textId="6E5C1FF0" w:rsidR="005D1A84" w:rsidRDefault="008B6410" w:rsidP="005D1A84">
      <w:pPr>
        <w:autoSpaceDE w:val="0"/>
        <w:autoSpaceDN w:val="0"/>
        <w:adjustRightInd w:val="0"/>
        <w:spacing w:after="240" w:line="300" w:lineRule="atLeast"/>
        <w:jc w:val="left"/>
      </w:pPr>
      <w:r>
        <w:t xml:space="preserve">Assumptions are a critical element </w:t>
      </w:r>
      <w:r w:rsidR="005D1A84">
        <w:t xml:space="preserve">in </w:t>
      </w:r>
      <w:r w:rsidR="007B75A4">
        <w:t xml:space="preserve">all </w:t>
      </w:r>
      <w:r>
        <w:t>program logic</w:t>
      </w:r>
      <w:r w:rsidR="007B75A4">
        <w:t>s</w:t>
      </w:r>
      <w:r>
        <w:t xml:space="preserve">. </w:t>
      </w:r>
      <w:r w:rsidR="007B75A4">
        <w:t xml:space="preserve">Assumptions </w:t>
      </w:r>
      <w:r w:rsidR="005D1A84">
        <w:t xml:space="preserve">help to explain how one level of the logic links to the next. There are generally two types of assumptions: </w:t>
      </w:r>
    </w:p>
    <w:p w14:paraId="4631E221" w14:textId="56CA2B96" w:rsidR="005D1A84" w:rsidRDefault="005D1A84" w:rsidP="00442C95">
      <w:pPr>
        <w:pStyle w:val="RomanNumeral"/>
        <w:numPr>
          <w:ilvl w:val="0"/>
          <w:numId w:val="18"/>
        </w:numPr>
      </w:pPr>
      <w:r>
        <w:t>Knowledge-based assumptions that draw on research, literature or previous experience to describe expected changes, and</w:t>
      </w:r>
    </w:p>
    <w:p w14:paraId="39851763" w14:textId="4338D538" w:rsidR="008B6410" w:rsidRDefault="005D1A84" w:rsidP="00442C95">
      <w:pPr>
        <w:pStyle w:val="RomanNumeral"/>
        <w:numPr>
          <w:ilvl w:val="0"/>
          <w:numId w:val="18"/>
        </w:numPr>
      </w:pPr>
      <w:r>
        <w:t>Assumptions that relate to conditions or circumstances that are beyond the control or influence of the project or program.</w:t>
      </w:r>
    </w:p>
    <w:p w14:paraId="6161C2B7" w14:textId="25CD1655" w:rsidR="002433BA" w:rsidRDefault="002433BA" w:rsidP="005D1A84">
      <w:pPr>
        <w:pStyle w:val="BodyNormal"/>
      </w:pPr>
      <w:r>
        <w:t xml:space="preserve">Best practice in evaluation includes identifying any critical assumptions that can </w:t>
      </w:r>
      <w:r w:rsidR="001D296F">
        <w:t xml:space="preserve">or need to </w:t>
      </w:r>
      <w:r>
        <w:t xml:space="preserve">be tested during the course of a multi-year project. For example, a technical expert </w:t>
      </w:r>
      <w:r w:rsidR="001D296F">
        <w:t xml:space="preserve">might be engaged </w:t>
      </w:r>
      <w:r>
        <w:t>to test the assumption that there is natural regeneration of a particular vegetation community following weed control effort</w:t>
      </w:r>
      <w:r w:rsidR="007B75A4">
        <w:t>s</w:t>
      </w:r>
      <w:r>
        <w:t xml:space="preserve">. </w:t>
      </w:r>
    </w:p>
    <w:p w14:paraId="133CEC35" w14:textId="7E4AA687" w:rsidR="005D1A84" w:rsidRDefault="002433BA" w:rsidP="005D1A84">
      <w:pPr>
        <w:pStyle w:val="BodyNormal"/>
      </w:pPr>
      <w:r>
        <w:t xml:space="preserve">The evaluation plans presented here do not identify any specific assumption testing because this generally requires detailed knowledge of the particular project. </w:t>
      </w:r>
      <w:r w:rsidR="00553540" w:rsidRPr="001D296F">
        <w:rPr>
          <w:b/>
        </w:rPr>
        <w:t>T</w:t>
      </w:r>
      <w:r w:rsidRPr="001D296F">
        <w:rPr>
          <w:b/>
        </w:rPr>
        <w:t>he question of whether any assumption testing is warranted for a given project should be considered</w:t>
      </w:r>
      <w:r w:rsidR="00553540" w:rsidRPr="001D296F">
        <w:rPr>
          <w:b/>
        </w:rPr>
        <w:t xml:space="preserve"> as part of project MERI planning</w:t>
      </w:r>
      <w:r w:rsidRPr="001D296F">
        <w:rPr>
          <w:b/>
        </w:rPr>
        <w:t>.</w:t>
      </w:r>
      <w:r>
        <w:t xml:space="preserve">   </w:t>
      </w:r>
    </w:p>
    <w:p w14:paraId="10E38A99" w14:textId="47A9BE1B" w:rsidR="00553540" w:rsidRDefault="00553540" w:rsidP="00486660">
      <w:pPr>
        <w:pStyle w:val="Heading3NoNumbers"/>
      </w:pPr>
      <w:r>
        <w:t xml:space="preserve">Target setting </w:t>
      </w:r>
    </w:p>
    <w:p w14:paraId="08A04156" w14:textId="31C1668F" w:rsidR="00676121" w:rsidRDefault="002865BF" w:rsidP="005D1A84">
      <w:pPr>
        <w:pStyle w:val="BodyNormal"/>
      </w:pPr>
      <w:r>
        <w:t xml:space="preserve">The program logic and monitoring plan provide a useful framework to develop targets for a project. </w:t>
      </w:r>
      <w:r w:rsidR="007B75A4">
        <w:t xml:space="preserve">The </w:t>
      </w:r>
      <w:r>
        <w:t xml:space="preserve">process of identifying the </w:t>
      </w:r>
      <w:r w:rsidR="0058372D">
        <w:t>project services (</w:t>
      </w:r>
      <w:r w:rsidR="00BB7E50">
        <w:t>activities</w:t>
      </w:r>
      <w:r w:rsidR="0058372D">
        <w:t>)</w:t>
      </w:r>
      <w:r>
        <w:t xml:space="preserve"> and the short</w:t>
      </w:r>
      <w:r w:rsidR="00CC35FE">
        <w:t>-</w:t>
      </w:r>
      <w:r w:rsidR="007B75A4">
        <w:t xml:space="preserve"> and</w:t>
      </w:r>
      <w:r w:rsidR="002F0123">
        <w:t xml:space="preserve"> m</w:t>
      </w:r>
      <w:r w:rsidR="00B02F54">
        <w:t>edium</w:t>
      </w:r>
      <w:r w:rsidR="00CC35FE">
        <w:t>-</w:t>
      </w:r>
      <w:r w:rsidR="007B75A4">
        <w:t>term</w:t>
      </w:r>
      <w:r w:rsidR="002F0123">
        <w:t xml:space="preserve"> </w:t>
      </w:r>
      <w:r>
        <w:t>outcomes</w:t>
      </w:r>
      <w:r w:rsidR="007B75A4">
        <w:t xml:space="preserve"> </w:t>
      </w:r>
      <w:r>
        <w:t xml:space="preserve">expected to </w:t>
      </w:r>
      <w:r w:rsidR="0058372D">
        <w:t xml:space="preserve">be achieved </w:t>
      </w:r>
      <w:r w:rsidR="002F0123">
        <w:t>during a project</w:t>
      </w:r>
      <w:r>
        <w:t xml:space="preserve"> presents an opportunity to also identify the amounts of each </w:t>
      </w:r>
      <w:r w:rsidR="0058372D">
        <w:t>project service</w:t>
      </w:r>
      <w:r>
        <w:t xml:space="preserve"> and outcome</w:t>
      </w:r>
      <w:r w:rsidR="00BB7E50">
        <w:t>(s)</w:t>
      </w:r>
      <w:r>
        <w:t xml:space="preserve"> that are anticipated. </w:t>
      </w:r>
      <w:r w:rsidR="00676121">
        <w:t xml:space="preserve">The project budget is </w:t>
      </w:r>
      <w:r w:rsidR="0062400B">
        <w:t>a key</w:t>
      </w:r>
      <w:r w:rsidR="00676121">
        <w:t xml:space="preserve"> factor in setting targets, since this will determine the amount of </w:t>
      </w:r>
      <w:r w:rsidR="0058372D">
        <w:t>project services</w:t>
      </w:r>
      <w:r w:rsidR="00676121">
        <w:t>, and therefore outcomes, a project can deliver.</w:t>
      </w:r>
    </w:p>
    <w:p w14:paraId="2526A946" w14:textId="20E60677" w:rsidR="00486660" w:rsidRDefault="002F0123" w:rsidP="005D1A84">
      <w:pPr>
        <w:pStyle w:val="BodyNormal"/>
      </w:pPr>
      <w:r>
        <w:t xml:space="preserve">This target-setting process can only be done meaningfully at the individual project level. </w:t>
      </w:r>
      <w:r w:rsidR="002F6E58">
        <w:t xml:space="preserve">As part of the MERI planning process for each RLP project, </w:t>
      </w:r>
      <w:r w:rsidR="00043FED">
        <w:t>Service Providers will identify targets for the project</w:t>
      </w:r>
      <w:r w:rsidR="00676121">
        <w:t xml:space="preserve"> services and </w:t>
      </w:r>
      <w:r w:rsidR="00CF7091">
        <w:t xml:space="preserve">outline </w:t>
      </w:r>
      <w:r w:rsidR="00676121">
        <w:t>the short- and medium</w:t>
      </w:r>
      <w:r w:rsidR="00043FED">
        <w:t xml:space="preserve">-term </w:t>
      </w:r>
      <w:r w:rsidR="00676121">
        <w:t xml:space="preserve">outcomes </w:t>
      </w:r>
      <w:r w:rsidR="00043FED">
        <w:t xml:space="preserve">they </w:t>
      </w:r>
      <w:r w:rsidR="00680283">
        <w:t>plan</w:t>
      </w:r>
      <w:r w:rsidR="00043FED">
        <w:t xml:space="preserve"> to deliver</w:t>
      </w:r>
      <w:r w:rsidR="002F6E58">
        <w:t>.</w:t>
      </w:r>
      <w:r w:rsidR="00043FED">
        <w:t xml:space="preserve"> </w:t>
      </w:r>
    </w:p>
    <w:p w14:paraId="5C3F4903" w14:textId="41E83A2D" w:rsidR="00225529" w:rsidRDefault="00225529" w:rsidP="000F74C0">
      <w:pPr>
        <w:pStyle w:val="Heading2"/>
        <w:ind w:left="1134" w:hanging="1134"/>
      </w:pPr>
      <w:bookmarkStart w:id="6" w:name="_Toc517949172"/>
      <w:r>
        <w:t>Key evaluation questions</w:t>
      </w:r>
      <w:bookmarkEnd w:id="6"/>
      <w:r>
        <w:t xml:space="preserve"> </w:t>
      </w:r>
    </w:p>
    <w:p w14:paraId="050C94E9" w14:textId="3859B6FD" w:rsidR="00225529" w:rsidRDefault="00225529" w:rsidP="00225529">
      <w:pPr>
        <w:pStyle w:val="BodyNormal"/>
      </w:pPr>
      <w:r>
        <w:t xml:space="preserve">The second key element of the evaluation plans is the set of </w:t>
      </w:r>
      <w:r w:rsidR="001D296F">
        <w:t>KEQs</w:t>
      </w:r>
      <w:r w:rsidR="00F62B06">
        <w:t xml:space="preserve"> created for each </w:t>
      </w:r>
      <w:r w:rsidR="00F62B06" w:rsidRPr="0062400B">
        <w:t>outcome</w:t>
      </w:r>
      <w:r w:rsidRPr="0062400B">
        <w:t xml:space="preserve">. </w:t>
      </w:r>
      <w:r w:rsidR="00F62B06" w:rsidRPr="0062400B">
        <w:t xml:space="preserve">In preparing these </w:t>
      </w:r>
      <w:r w:rsidR="00BE3BEF" w:rsidRPr="0062400B">
        <w:t>evaluation plans</w:t>
      </w:r>
      <w:r w:rsidR="001D296F" w:rsidRPr="0062400B">
        <w:t>,</w:t>
      </w:r>
      <w:r w:rsidR="00BE3BEF" w:rsidRPr="0062400B">
        <w:t xml:space="preserve"> </w:t>
      </w:r>
      <w:r w:rsidR="00F62B06" w:rsidRPr="0062400B">
        <w:t>we have</w:t>
      </w:r>
      <w:r w:rsidR="00BE3BEF" w:rsidRPr="0062400B">
        <w:t xml:space="preserve"> </w:t>
      </w:r>
      <w:r w:rsidR="00F62B06" w:rsidRPr="0062400B">
        <w:t>drawn on</w:t>
      </w:r>
      <w:r w:rsidR="00BE3BEF" w:rsidRPr="00F95A61">
        <w:t xml:space="preserve"> the general KEQ</w:t>
      </w:r>
      <w:r w:rsidR="00F62B06" w:rsidRPr="00F95A61">
        <w:t>s defined for the</w:t>
      </w:r>
      <w:r w:rsidR="00BE3BEF" w:rsidRPr="00CD7A6F">
        <w:t xml:space="preserve"> </w:t>
      </w:r>
      <w:r w:rsidR="00F62B06" w:rsidRPr="00CD7A6F">
        <w:t xml:space="preserve">five evaluation categories or </w:t>
      </w:r>
      <w:r w:rsidR="00BE3BEF" w:rsidRPr="00CD7A6F">
        <w:t>themes set out on the Australian Government’s Natural</w:t>
      </w:r>
      <w:r w:rsidR="00BE3BEF" w:rsidRPr="0062400B">
        <w:t xml:space="preserve"> Resource Management Monitoring, Evaluation, Reporting and Improvement Framework</w:t>
      </w:r>
      <w:r w:rsidR="00F62B06" w:rsidRPr="0062400B">
        <w:t xml:space="preserve"> </w:t>
      </w:r>
      <w:r w:rsidR="00CF7091" w:rsidRPr="00AD7216">
        <w:t xml:space="preserve">(2009) </w:t>
      </w:r>
      <w:r w:rsidR="00F62B06" w:rsidRPr="0062400B">
        <w:t>(</w:t>
      </w:r>
      <w:r w:rsidR="00F62B06" w:rsidRPr="0062400B">
        <w:fldChar w:fldCharType="begin"/>
      </w:r>
      <w:r w:rsidR="00F62B06" w:rsidRPr="0062400B">
        <w:instrText xml:space="preserve"> REF _Ref515998291 \h </w:instrText>
      </w:r>
      <w:r w:rsidR="00DB348E" w:rsidRPr="00AD7216">
        <w:instrText xml:space="preserve"> \* MERGEFORMAT </w:instrText>
      </w:r>
      <w:r w:rsidR="00F62B06" w:rsidRPr="0062400B">
        <w:fldChar w:fldCharType="separate"/>
      </w:r>
      <w:r w:rsidR="00C0414E" w:rsidRPr="0062400B">
        <w:t xml:space="preserve">Table </w:t>
      </w:r>
      <w:r w:rsidR="00C0414E" w:rsidRPr="0062400B">
        <w:rPr>
          <w:noProof/>
        </w:rPr>
        <w:t>2</w:t>
      </w:r>
      <w:r w:rsidR="00C0414E" w:rsidRPr="0062400B">
        <w:noBreakHyphen/>
      </w:r>
      <w:r w:rsidR="00C0414E" w:rsidRPr="0062400B">
        <w:rPr>
          <w:noProof/>
        </w:rPr>
        <w:t>1</w:t>
      </w:r>
      <w:r w:rsidR="00F62B06" w:rsidRPr="0062400B">
        <w:fldChar w:fldCharType="end"/>
      </w:r>
      <w:r w:rsidR="00F62B06" w:rsidRPr="0062400B">
        <w:t>).</w:t>
      </w:r>
      <w:r w:rsidR="00F62B06">
        <w:t xml:space="preserve"> </w:t>
      </w:r>
    </w:p>
    <w:p w14:paraId="0AEAE60C" w14:textId="4B8D881C" w:rsidR="00F62B06" w:rsidRDefault="004F3A81" w:rsidP="00225529">
      <w:pPr>
        <w:pStyle w:val="BodyNormal"/>
      </w:pPr>
      <w:r>
        <w:t xml:space="preserve">For each outcome, a </w:t>
      </w:r>
      <w:r w:rsidR="001D296F">
        <w:t xml:space="preserve">set of </w:t>
      </w:r>
      <w:r>
        <w:t xml:space="preserve">specific evaluation questions have been </w:t>
      </w:r>
      <w:r w:rsidR="00AD7216">
        <w:t>determined,</w:t>
      </w:r>
      <w:r w:rsidR="00744E53">
        <w:t xml:space="preserve"> and the link to the relevant parts of the program logic</w:t>
      </w:r>
      <w:r>
        <w:t xml:space="preserve">. </w:t>
      </w:r>
      <w:r w:rsidR="00744E53">
        <w:t xml:space="preserve">For example, the KEQs for effectiveness include specific questions on the delivery of </w:t>
      </w:r>
      <w:r w:rsidR="00E3328E">
        <w:t>p</w:t>
      </w:r>
      <w:r w:rsidR="00744E53">
        <w:t xml:space="preserve">roject </w:t>
      </w:r>
      <w:r w:rsidR="00E3328E">
        <w:t>s</w:t>
      </w:r>
      <w:r w:rsidR="00744E53">
        <w:t xml:space="preserve">ervices and </w:t>
      </w:r>
      <w:r w:rsidR="00E3328E">
        <w:t>s</w:t>
      </w:r>
      <w:r w:rsidR="00744E53">
        <w:t>hort</w:t>
      </w:r>
      <w:r w:rsidR="00CC35FE">
        <w:t>-</w:t>
      </w:r>
      <w:r w:rsidR="00744E53">
        <w:t xml:space="preserve"> and </w:t>
      </w:r>
      <w:r w:rsidR="00E3328E">
        <w:t>medium</w:t>
      </w:r>
      <w:r w:rsidR="00744E53">
        <w:t xml:space="preserve">-Term Outcomes. </w:t>
      </w:r>
    </w:p>
    <w:p w14:paraId="1941BA83" w14:textId="147B630E" w:rsidR="00F62B06" w:rsidRDefault="00F62B06" w:rsidP="00F62B06">
      <w:pPr>
        <w:pStyle w:val="Caption"/>
      </w:pPr>
      <w:bookmarkStart w:id="7" w:name="_Ref515998291"/>
      <w:r>
        <w:t xml:space="preserve">Table </w:t>
      </w:r>
      <w:r>
        <w:rPr>
          <w:noProof/>
        </w:rPr>
        <w:fldChar w:fldCharType="begin"/>
      </w:r>
      <w:r>
        <w:rPr>
          <w:noProof/>
        </w:rPr>
        <w:instrText xml:space="preserve"> STYLEREF 1 \s </w:instrText>
      </w:r>
      <w:r>
        <w:rPr>
          <w:noProof/>
        </w:rPr>
        <w:fldChar w:fldCharType="separate"/>
      </w:r>
      <w:r w:rsidR="00C0414E">
        <w:rPr>
          <w:noProof/>
        </w:rPr>
        <w:t>2</w:t>
      </w:r>
      <w:r>
        <w:rPr>
          <w:noProof/>
        </w:rPr>
        <w:fldChar w:fldCharType="end"/>
      </w:r>
      <w:r>
        <w:noBreakHyphen/>
      </w:r>
      <w:r>
        <w:rPr>
          <w:noProof/>
        </w:rPr>
        <w:fldChar w:fldCharType="begin"/>
      </w:r>
      <w:r>
        <w:rPr>
          <w:noProof/>
        </w:rPr>
        <w:instrText xml:space="preserve"> SEQ Table \* ARABIC \s 1 </w:instrText>
      </w:r>
      <w:r>
        <w:rPr>
          <w:noProof/>
        </w:rPr>
        <w:fldChar w:fldCharType="separate"/>
      </w:r>
      <w:r w:rsidR="00C0414E">
        <w:rPr>
          <w:noProof/>
        </w:rPr>
        <w:t>1</w:t>
      </w:r>
      <w:r>
        <w:rPr>
          <w:noProof/>
        </w:rPr>
        <w:fldChar w:fldCharType="end"/>
      </w:r>
      <w:bookmarkEnd w:id="7"/>
      <w:r>
        <w:t>: RLP program evaluation themes (adapted from the Australian Government Natural Resource Management Monitoring, Evaluation, Reporting and Improvement Framework, 2009)</w:t>
      </w:r>
    </w:p>
    <w:tbl>
      <w:tblPr>
        <w:tblStyle w:val="TableGrid"/>
        <w:tblW w:w="9555" w:type="dxa"/>
        <w:tblLayout w:type="fixed"/>
        <w:tblLook w:val="00A0" w:firstRow="1" w:lastRow="0" w:firstColumn="1" w:lastColumn="0" w:noHBand="0" w:noVBand="0"/>
      </w:tblPr>
      <w:tblGrid>
        <w:gridCol w:w="2122"/>
        <w:gridCol w:w="7433"/>
      </w:tblGrid>
      <w:tr w:rsidR="00F62B06" w:rsidRPr="00C10D86" w14:paraId="74F53012" w14:textId="77777777" w:rsidTr="00442C95">
        <w:trPr>
          <w:cnfStyle w:val="100000000000" w:firstRow="1" w:lastRow="0" w:firstColumn="0" w:lastColumn="0" w:oddVBand="0" w:evenVBand="0" w:oddHBand="0" w:evenHBand="0" w:firstRowFirstColumn="0" w:firstRowLastColumn="0" w:lastRowFirstColumn="0" w:lastRowLastColumn="0"/>
          <w:trHeight w:val="453"/>
        </w:trPr>
        <w:tc>
          <w:tcPr>
            <w:tcW w:w="2122" w:type="dxa"/>
          </w:tcPr>
          <w:p w14:paraId="099CF382" w14:textId="77777777" w:rsidR="00F62B06" w:rsidRPr="00C10D86" w:rsidRDefault="00F62B06" w:rsidP="00442C95">
            <w:pPr>
              <w:pStyle w:val="TableText"/>
              <w:rPr>
                <w:rFonts w:ascii="Arial" w:hAnsi="Arial" w:cs="Arial"/>
                <w:szCs w:val="18"/>
              </w:rPr>
            </w:pPr>
            <w:r w:rsidRPr="00C10D86">
              <w:rPr>
                <w:rFonts w:ascii="Arial" w:hAnsi="Arial" w:cs="Arial"/>
                <w:szCs w:val="18"/>
              </w:rPr>
              <w:t>Evaluation themes</w:t>
            </w:r>
          </w:p>
        </w:tc>
        <w:tc>
          <w:tcPr>
            <w:tcW w:w="7433" w:type="dxa"/>
          </w:tcPr>
          <w:p w14:paraId="65367361" w14:textId="77777777" w:rsidR="00F62B06" w:rsidRPr="00C10D86" w:rsidRDefault="00F62B06" w:rsidP="00442C95">
            <w:pPr>
              <w:pStyle w:val="TableText"/>
              <w:rPr>
                <w:rFonts w:ascii="Arial" w:hAnsi="Arial" w:cs="Arial"/>
                <w:szCs w:val="18"/>
              </w:rPr>
            </w:pPr>
            <w:r w:rsidRPr="00C10D86">
              <w:rPr>
                <w:rFonts w:ascii="Arial" w:hAnsi="Arial" w:cs="Arial"/>
                <w:szCs w:val="18"/>
              </w:rPr>
              <w:t>Definition</w:t>
            </w:r>
          </w:p>
        </w:tc>
      </w:tr>
      <w:tr w:rsidR="00F62B06" w:rsidRPr="00C10D86" w14:paraId="4E317E07" w14:textId="77777777" w:rsidTr="00442C95">
        <w:trPr>
          <w:trHeight w:val="453"/>
        </w:trPr>
        <w:tc>
          <w:tcPr>
            <w:tcW w:w="2122" w:type="dxa"/>
          </w:tcPr>
          <w:p w14:paraId="7D420897" w14:textId="77777777" w:rsidR="00F62B06" w:rsidRPr="00C10D86" w:rsidRDefault="00F62B06" w:rsidP="00442C95">
            <w:pPr>
              <w:pStyle w:val="TableText"/>
              <w:rPr>
                <w:rFonts w:ascii="Arial" w:hAnsi="Arial" w:cs="Arial"/>
                <w:szCs w:val="18"/>
                <w:lang w:eastAsia="ja-JP"/>
              </w:rPr>
            </w:pPr>
            <w:r w:rsidRPr="00C10D86">
              <w:rPr>
                <w:rFonts w:ascii="Arial" w:hAnsi="Arial" w:cs="Arial"/>
                <w:szCs w:val="18"/>
                <w:lang w:eastAsia="ja-JP"/>
              </w:rPr>
              <w:t>Effectiveness</w:t>
            </w:r>
          </w:p>
        </w:tc>
        <w:tc>
          <w:tcPr>
            <w:tcW w:w="7433" w:type="dxa"/>
          </w:tcPr>
          <w:p w14:paraId="695071FA" w14:textId="7900238E" w:rsidR="00F62B06" w:rsidRPr="0038039F" w:rsidRDefault="00F62B06" w:rsidP="00442C95">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measure of the extent to which a program, project or initiative has attained, or is expected to attain, its relevant objectives efficiently and in a sustainable way</w:t>
            </w:r>
            <w:r w:rsidR="001B3C29">
              <w:rPr>
                <w:rFonts w:ascii="Arial" w:hAnsi="Arial" w:cs="Arial"/>
                <w:szCs w:val="18"/>
                <w:lang w:eastAsia="ja-JP"/>
              </w:rPr>
              <w:t>.</w:t>
            </w:r>
            <w:r w:rsidRPr="0038039F">
              <w:rPr>
                <w:rFonts w:ascii="Arial" w:hAnsi="Arial" w:cs="Arial"/>
                <w:szCs w:val="18"/>
                <w:lang w:eastAsia="ja-JP"/>
              </w:rPr>
              <w:t xml:space="preserve"> </w:t>
            </w:r>
          </w:p>
        </w:tc>
      </w:tr>
      <w:tr w:rsidR="00F62B06" w:rsidRPr="00C10D86" w14:paraId="1D626F80" w14:textId="77777777" w:rsidTr="00442C95">
        <w:trPr>
          <w:trHeight w:val="453"/>
        </w:trPr>
        <w:tc>
          <w:tcPr>
            <w:tcW w:w="2122" w:type="dxa"/>
          </w:tcPr>
          <w:p w14:paraId="5BBCB632" w14:textId="77777777" w:rsidR="00F62B06" w:rsidRPr="00C10D86" w:rsidRDefault="00F62B06" w:rsidP="00442C95">
            <w:pPr>
              <w:pStyle w:val="TableText"/>
              <w:rPr>
                <w:rFonts w:ascii="Arial" w:hAnsi="Arial" w:cs="Arial"/>
                <w:szCs w:val="18"/>
                <w:lang w:eastAsia="ja-JP"/>
              </w:rPr>
            </w:pPr>
            <w:r w:rsidRPr="00C10D86">
              <w:rPr>
                <w:rFonts w:ascii="Arial" w:hAnsi="Arial" w:cs="Arial"/>
                <w:szCs w:val="18"/>
                <w:lang w:eastAsia="ja-JP"/>
              </w:rPr>
              <w:t>Appropriateness</w:t>
            </w:r>
          </w:p>
        </w:tc>
        <w:tc>
          <w:tcPr>
            <w:tcW w:w="7433" w:type="dxa"/>
          </w:tcPr>
          <w:p w14:paraId="71A68C54" w14:textId="21C83121" w:rsidR="00F62B06" w:rsidRPr="0038039F" w:rsidRDefault="00F62B06" w:rsidP="00442C95">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determination made through comparing the program with the needs of the intended beneficiaries using any of the techniques of needs analysis. </w:t>
            </w:r>
            <w:r w:rsidR="001B3C29">
              <w:rPr>
                <w:rFonts w:ascii="Arial" w:hAnsi="Arial" w:cs="Arial"/>
                <w:szCs w:val="18"/>
                <w:lang w:eastAsia="ja-JP"/>
              </w:rPr>
              <w:t>A</w:t>
            </w:r>
            <w:r w:rsidRPr="0038039F">
              <w:rPr>
                <w:rFonts w:ascii="Arial" w:hAnsi="Arial" w:cs="Arial"/>
                <w:szCs w:val="18"/>
                <w:lang w:eastAsia="ja-JP"/>
              </w:rPr>
              <w:t>lternatively, the program could be evaluated in terms of its compliance with process</w:t>
            </w:r>
            <w:r w:rsidR="001B3C29">
              <w:rPr>
                <w:rFonts w:ascii="Arial" w:hAnsi="Arial" w:cs="Arial"/>
                <w:szCs w:val="18"/>
                <w:lang w:eastAsia="ja-JP"/>
              </w:rPr>
              <w:t>.</w:t>
            </w:r>
          </w:p>
        </w:tc>
      </w:tr>
      <w:tr w:rsidR="00F62B06" w:rsidRPr="00C10D86" w14:paraId="728FC079" w14:textId="77777777" w:rsidTr="00442C95">
        <w:tc>
          <w:tcPr>
            <w:tcW w:w="2122" w:type="dxa"/>
          </w:tcPr>
          <w:p w14:paraId="645C3413" w14:textId="77777777" w:rsidR="00F62B06" w:rsidRPr="00C10D86" w:rsidRDefault="00F62B06" w:rsidP="00442C95">
            <w:pPr>
              <w:pStyle w:val="TableText"/>
              <w:rPr>
                <w:rFonts w:ascii="Arial" w:hAnsi="Arial" w:cs="Arial"/>
                <w:b/>
                <w:szCs w:val="18"/>
                <w:lang w:eastAsia="ja-JP"/>
              </w:rPr>
            </w:pPr>
            <w:r w:rsidRPr="00C10D86">
              <w:rPr>
                <w:rFonts w:ascii="Arial" w:hAnsi="Arial" w:cs="Arial"/>
                <w:szCs w:val="18"/>
                <w:lang w:eastAsia="ja-JP"/>
              </w:rPr>
              <w:t>Impact</w:t>
            </w:r>
            <w:r w:rsidRPr="00C10D86">
              <w:rPr>
                <w:rFonts w:ascii="Arial" w:hAnsi="Arial" w:cs="Arial"/>
                <w:b/>
                <w:szCs w:val="18"/>
              </w:rPr>
              <w:t xml:space="preserve"> </w:t>
            </w:r>
          </w:p>
        </w:tc>
        <w:tc>
          <w:tcPr>
            <w:tcW w:w="7433" w:type="dxa"/>
          </w:tcPr>
          <w:p w14:paraId="4046AE0B" w14:textId="7B904B3E" w:rsidR="00F62B06" w:rsidRPr="0038039F" w:rsidRDefault="00F62B06" w:rsidP="00442C95">
            <w:pPr>
              <w:pStyle w:val="TableText"/>
              <w:rPr>
                <w:rFonts w:ascii="Arial" w:hAnsi="Arial" w:cs="Arial"/>
                <w:szCs w:val="18"/>
                <w:lang w:eastAsia="ja-JP"/>
              </w:rPr>
            </w:pPr>
            <w:r>
              <w:rPr>
                <w:rFonts w:ascii="Arial" w:hAnsi="Arial" w:cs="Arial"/>
                <w:szCs w:val="18"/>
                <w:lang w:eastAsia="ja-JP"/>
              </w:rPr>
              <w:t>A</w:t>
            </w:r>
            <w:r w:rsidRPr="0038039F">
              <w:rPr>
                <w:rFonts w:ascii="Arial" w:hAnsi="Arial" w:cs="Arial"/>
                <w:szCs w:val="18"/>
                <w:lang w:eastAsia="ja-JP"/>
              </w:rPr>
              <w:t xml:space="preserve"> change in the condition of biophysical, social, economic and/or institutional assets. </w:t>
            </w:r>
            <w:r w:rsidR="001B3C29">
              <w:rPr>
                <w:rFonts w:ascii="Arial" w:hAnsi="Arial" w:cs="Arial"/>
                <w:szCs w:val="18"/>
                <w:lang w:eastAsia="ja-JP"/>
              </w:rPr>
              <w:t>A</w:t>
            </w:r>
            <w:r w:rsidRPr="0038039F">
              <w:rPr>
                <w:rFonts w:ascii="Arial" w:hAnsi="Arial" w:cs="Arial"/>
                <w:szCs w:val="18"/>
                <w:lang w:eastAsia="ja-JP"/>
              </w:rPr>
              <w:t>n impact may be positive or negative, primary or secondary, short</w:t>
            </w:r>
            <w:r w:rsidR="00CC35FE">
              <w:rPr>
                <w:rFonts w:ascii="Arial" w:hAnsi="Arial" w:cs="Arial"/>
                <w:szCs w:val="18"/>
                <w:lang w:eastAsia="ja-JP"/>
              </w:rPr>
              <w:t>-</w:t>
            </w:r>
            <w:r w:rsidRPr="0038039F">
              <w:rPr>
                <w:rFonts w:ascii="Arial" w:hAnsi="Arial" w:cs="Arial"/>
                <w:szCs w:val="18"/>
                <w:lang w:eastAsia="ja-JP"/>
              </w:rPr>
              <w:t>term or long</w:t>
            </w:r>
            <w:r w:rsidR="00CC35FE">
              <w:rPr>
                <w:rFonts w:ascii="Arial" w:hAnsi="Arial" w:cs="Arial"/>
                <w:szCs w:val="18"/>
                <w:lang w:eastAsia="ja-JP"/>
              </w:rPr>
              <w:t>-</w:t>
            </w:r>
            <w:r w:rsidRPr="0038039F">
              <w:rPr>
                <w:rFonts w:ascii="Arial" w:hAnsi="Arial" w:cs="Arial"/>
                <w:szCs w:val="18"/>
                <w:lang w:eastAsia="ja-JP"/>
              </w:rPr>
              <w:t>term, direct or indirect, and/or intended or unintended. Impacts are sometimes realised after the formal project is completed</w:t>
            </w:r>
            <w:r w:rsidR="00CC35FE">
              <w:rPr>
                <w:rFonts w:ascii="Arial" w:hAnsi="Arial" w:cs="Arial"/>
                <w:szCs w:val="18"/>
                <w:lang w:eastAsia="ja-JP"/>
              </w:rPr>
              <w:t>.</w:t>
            </w:r>
            <w:r w:rsidRPr="0038039F">
              <w:rPr>
                <w:rFonts w:ascii="Arial" w:hAnsi="Arial" w:cs="Arial"/>
                <w:szCs w:val="18"/>
                <w:lang w:eastAsia="ja-JP"/>
              </w:rPr>
              <w:t xml:space="preserve"> </w:t>
            </w:r>
          </w:p>
        </w:tc>
      </w:tr>
      <w:tr w:rsidR="00F62B06" w:rsidRPr="00C10D86" w14:paraId="14C17593" w14:textId="77777777" w:rsidTr="00442C95">
        <w:tc>
          <w:tcPr>
            <w:tcW w:w="2122" w:type="dxa"/>
          </w:tcPr>
          <w:p w14:paraId="0FD7D20E" w14:textId="77777777" w:rsidR="00F62B06" w:rsidRPr="00C10D86" w:rsidRDefault="00F62B06" w:rsidP="00442C95">
            <w:pPr>
              <w:pStyle w:val="TableText"/>
              <w:rPr>
                <w:rFonts w:ascii="Arial" w:hAnsi="Arial" w:cs="Arial"/>
                <w:szCs w:val="18"/>
                <w:lang w:eastAsia="ja-JP"/>
              </w:rPr>
            </w:pPr>
            <w:r>
              <w:rPr>
                <w:rFonts w:ascii="Arial" w:hAnsi="Arial" w:cs="Arial"/>
                <w:szCs w:val="18"/>
                <w:lang w:eastAsia="ja-JP"/>
              </w:rPr>
              <w:t xml:space="preserve">Efficiency </w:t>
            </w:r>
          </w:p>
        </w:tc>
        <w:tc>
          <w:tcPr>
            <w:tcW w:w="7433" w:type="dxa"/>
          </w:tcPr>
          <w:p w14:paraId="65A20C5F" w14:textId="5422105A" w:rsidR="00F62B06" w:rsidRPr="0038039F" w:rsidRDefault="00F62B06" w:rsidP="00442C95">
            <w:pPr>
              <w:pStyle w:val="TableText"/>
              <w:rPr>
                <w:rFonts w:ascii="Arial" w:hAnsi="Arial" w:cs="Arial"/>
                <w:szCs w:val="18"/>
                <w:lang w:eastAsia="ja-JP"/>
              </w:rPr>
            </w:pPr>
            <w:r w:rsidRPr="0038039F">
              <w:rPr>
                <w:rFonts w:ascii="Arial" w:hAnsi="Arial" w:cs="Arial"/>
                <w:szCs w:val="18"/>
                <w:lang w:eastAsia="ja-JP"/>
              </w:rPr>
              <w:t>The notion of getting the highest value out of program or project resources</w:t>
            </w:r>
            <w:r w:rsidR="001B3C29">
              <w:rPr>
                <w:rFonts w:ascii="Arial" w:hAnsi="Arial" w:cs="Arial"/>
                <w:szCs w:val="18"/>
                <w:lang w:eastAsia="ja-JP"/>
              </w:rPr>
              <w:t>.</w:t>
            </w:r>
          </w:p>
        </w:tc>
      </w:tr>
      <w:tr w:rsidR="00F62B06" w:rsidRPr="00C10D86" w14:paraId="654A4013" w14:textId="77777777" w:rsidTr="00442C95">
        <w:tc>
          <w:tcPr>
            <w:tcW w:w="2122" w:type="dxa"/>
          </w:tcPr>
          <w:p w14:paraId="5CC852CE" w14:textId="77777777" w:rsidR="00F62B06" w:rsidRPr="00C10D86" w:rsidRDefault="00F62B06" w:rsidP="00442C95">
            <w:pPr>
              <w:pStyle w:val="TableText"/>
              <w:rPr>
                <w:rFonts w:ascii="Arial" w:hAnsi="Arial" w:cs="Arial"/>
                <w:szCs w:val="18"/>
                <w:lang w:eastAsia="ja-JP"/>
              </w:rPr>
            </w:pPr>
            <w:r w:rsidRPr="00C10D86">
              <w:rPr>
                <w:rFonts w:ascii="Arial" w:hAnsi="Arial" w:cs="Arial"/>
                <w:szCs w:val="18"/>
                <w:lang w:eastAsia="ja-JP"/>
              </w:rPr>
              <w:t>Legacy</w:t>
            </w:r>
          </w:p>
        </w:tc>
        <w:tc>
          <w:tcPr>
            <w:tcW w:w="7433" w:type="dxa"/>
          </w:tcPr>
          <w:p w14:paraId="0C1D90D7" w14:textId="75D5ED51" w:rsidR="00F62B06" w:rsidRPr="0038039F" w:rsidRDefault="00F62B06" w:rsidP="00442C95">
            <w:pPr>
              <w:pStyle w:val="TableText"/>
              <w:rPr>
                <w:rFonts w:ascii="Arial" w:hAnsi="Arial" w:cs="Arial"/>
                <w:szCs w:val="18"/>
                <w:lang w:eastAsia="ja-JP"/>
              </w:rPr>
            </w:pPr>
            <w:r w:rsidRPr="0038039F">
              <w:rPr>
                <w:rFonts w:ascii="Arial" w:hAnsi="Arial" w:cs="Arial"/>
                <w:szCs w:val="18"/>
                <w:lang w:eastAsia="ja-JP"/>
              </w:rPr>
              <w:t>The enduring consequences of past investments, policies or actions that can be captured and/or bequeathed</w:t>
            </w:r>
            <w:r w:rsidR="001B3C29">
              <w:rPr>
                <w:rFonts w:ascii="Arial" w:hAnsi="Arial" w:cs="Arial"/>
                <w:szCs w:val="18"/>
                <w:lang w:eastAsia="ja-JP"/>
              </w:rPr>
              <w:t>.</w:t>
            </w:r>
          </w:p>
        </w:tc>
      </w:tr>
    </w:tbl>
    <w:p w14:paraId="7D1B713C" w14:textId="446F526C" w:rsidR="00341D17" w:rsidRDefault="00341D17" w:rsidP="000F74C0">
      <w:pPr>
        <w:pStyle w:val="Heading2"/>
        <w:ind w:left="1134" w:hanging="1134"/>
      </w:pPr>
      <w:bookmarkStart w:id="8" w:name="_Toc517949173"/>
      <w:r>
        <w:t>Monitoring plans</w:t>
      </w:r>
      <w:bookmarkEnd w:id="8"/>
    </w:p>
    <w:p w14:paraId="7DB9DFBC" w14:textId="24887A1E" w:rsidR="00744E53" w:rsidRDefault="00744E53" w:rsidP="00744E53">
      <w:pPr>
        <w:pStyle w:val="BodyNormal"/>
      </w:pPr>
      <w:r>
        <w:t xml:space="preserve">The third key element of the evaluation plans is the monitoring plan prepared for each outcome. </w:t>
      </w:r>
      <w:r w:rsidR="005D5BFB">
        <w:t>The monitoring plan defines the specific data that needs to be collected at all levels of the program logic. That is, it identifies the data required to show that the project has delivered the project services as planned, which is relatively simple given that these services are generally well-defined activities. More importantly, the plan also identifies how the short</w:t>
      </w:r>
      <w:r w:rsidR="00CC35FE">
        <w:t>-</w:t>
      </w:r>
      <w:r w:rsidR="0062400B">
        <w:t>,</w:t>
      </w:r>
      <w:r w:rsidR="00FB11FB">
        <w:t xml:space="preserve"> </w:t>
      </w:r>
      <w:r w:rsidR="005D5BFB">
        <w:t>m</w:t>
      </w:r>
      <w:r w:rsidR="001B3C29">
        <w:t>edium</w:t>
      </w:r>
      <w:r w:rsidR="00CC35FE">
        <w:t>-</w:t>
      </w:r>
      <w:r w:rsidR="005D5BFB">
        <w:t xml:space="preserve"> and long</w:t>
      </w:r>
      <w:r w:rsidR="00CC35FE">
        <w:t>-</w:t>
      </w:r>
      <w:r w:rsidR="005D5BFB">
        <w:t>term outcomes</w:t>
      </w:r>
      <w:r w:rsidR="00E725F0">
        <w:t xml:space="preserve"> </w:t>
      </w:r>
      <w:r w:rsidR="005D5BFB">
        <w:t xml:space="preserve">should be measured for each RLP </w:t>
      </w:r>
      <w:r w:rsidR="005D5BFB" w:rsidRPr="007519BC">
        <w:t>o</w:t>
      </w:r>
      <w:r w:rsidR="005D5BFB">
        <w:t xml:space="preserve">utcome. </w:t>
      </w:r>
    </w:p>
    <w:p w14:paraId="22E30FFC" w14:textId="703827F6" w:rsidR="005D5BFB" w:rsidRPr="00744E53" w:rsidRDefault="005D5BFB" w:rsidP="00744E53">
      <w:pPr>
        <w:pStyle w:val="BodyNormal"/>
      </w:pPr>
      <w:r>
        <w:t xml:space="preserve">There are two </w:t>
      </w:r>
      <w:r w:rsidR="00E76F7D">
        <w:t xml:space="preserve">key </w:t>
      </w:r>
      <w:r>
        <w:t>concepts that have informed these monitoring plans</w:t>
      </w:r>
      <w:r w:rsidR="00E76F7D">
        <w:t>:</w:t>
      </w:r>
      <w:r>
        <w:t xml:space="preserve"> baseline measures and indicators as tools to measure progress. </w:t>
      </w:r>
      <w:r w:rsidR="00DB348E">
        <w:t>T</w:t>
      </w:r>
      <w:r>
        <w:t xml:space="preserve">he next sections describe how these two concepts have been treated in the RLP </w:t>
      </w:r>
      <w:r w:rsidR="007519BC">
        <w:t xml:space="preserve">outcome </w:t>
      </w:r>
      <w:r w:rsidRPr="007519BC">
        <w:t>e</w:t>
      </w:r>
      <w:r>
        <w:t xml:space="preserve">valuation </w:t>
      </w:r>
      <w:r w:rsidRPr="007519BC">
        <w:t>p</w:t>
      </w:r>
      <w:r>
        <w:t xml:space="preserve">lans. </w:t>
      </w:r>
    </w:p>
    <w:p w14:paraId="40C8270F" w14:textId="32C67C6E" w:rsidR="00225529" w:rsidRDefault="00225529" w:rsidP="005D5BFB">
      <w:pPr>
        <w:pStyle w:val="Heading3NoNumbers"/>
      </w:pPr>
      <w:r>
        <w:t xml:space="preserve">Baseline measures </w:t>
      </w:r>
    </w:p>
    <w:p w14:paraId="2D8D4A4C" w14:textId="5F42D62F" w:rsidR="005D5BFB" w:rsidRPr="005D5BFB" w:rsidRDefault="008868D9" w:rsidP="0013495D">
      <w:pPr>
        <w:pStyle w:val="BodyNormal"/>
      </w:pPr>
      <w:r>
        <w:t xml:space="preserve">The RLP </w:t>
      </w:r>
      <w:r w:rsidRPr="007519BC">
        <w:t>o</w:t>
      </w:r>
      <w:r>
        <w:t xml:space="preserve">utcomes all focus on some form of change. Outcomes 1 </w:t>
      </w:r>
      <w:r w:rsidR="00CC35FE">
        <w:t xml:space="preserve">to </w:t>
      </w:r>
      <w:r>
        <w:t xml:space="preserve">4 specify changes in </w:t>
      </w:r>
      <w:r w:rsidR="005D5BFB">
        <w:t>environmental condition</w:t>
      </w:r>
      <w:r>
        <w:t>s</w:t>
      </w:r>
      <w:r w:rsidR="00F76D82">
        <w:t>,</w:t>
      </w:r>
      <w:r>
        <w:t xml:space="preserve"> such as vegetation condition, or the </w:t>
      </w:r>
      <w:r w:rsidR="00E725F0">
        <w:t xml:space="preserve">trajectory of a </w:t>
      </w:r>
      <w:r>
        <w:t>threatened species. Outcomes 5 and 6 are seeking changes in land management and</w:t>
      </w:r>
      <w:r w:rsidR="005D5BFB">
        <w:t xml:space="preserve"> agricultural </w:t>
      </w:r>
      <w:r>
        <w:t>systems</w:t>
      </w:r>
      <w:r w:rsidR="00F602CC">
        <w:t>,</w:t>
      </w:r>
      <w:r>
        <w:t xml:space="preserve"> for both production and environmental benefits. </w:t>
      </w:r>
    </w:p>
    <w:p w14:paraId="598F3095" w14:textId="5102369A" w:rsidR="00225529" w:rsidRDefault="008868D9" w:rsidP="0013495D">
      <w:pPr>
        <w:pStyle w:val="BodyNormal"/>
      </w:pPr>
      <w:r>
        <w:t>In order to measure these changes, it is critical to have a starting point or baseline</w:t>
      </w:r>
      <w:r w:rsidR="00E725F0">
        <w:t>(s)</w:t>
      </w:r>
      <w:r>
        <w:t xml:space="preserve"> against which a change can be measured. This has been addressed in the evaluation plans by specifying the monitoring data that must be collected at all levels of the logic (identified in the monitoring plan)</w:t>
      </w:r>
      <w:r w:rsidR="00F76D82">
        <w:t>. T</w:t>
      </w:r>
      <w:r w:rsidR="004405B3">
        <w:t xml:space="preserve">he most </w:t>
      </w:r>
      <w:r w:rsidR="00F76D82">
        <w:t xml:space="preserve">important </w:t>
      </w:r>
      <w:r w:rsidR="004405B3">
        <w:t xml:space="preserve">measures of change </w:t>
      </w:r>
      <w:r w:rsidR="0013495D">
        <w:t>are the measures of</w:t>
      </w:r>
      <w:r>
        <w:t xml:space="preserve"> short</w:t>
      </w:r>
      <w:r w:rsidR="00CC35FE">
        <w:t>-</w:t>
      </w:r>
      <w:r w:rsidR="00F602CC">
        <w:t>,</w:t>
      </w:r>
      <w:r>
        <w:t xml:space="preserve"> m</w:t>
      </w:r>
      <w:r w:rsidR="00F76D82">
        <w:t>edium</w:t>
      </w:r>
      <w:r w:rsidR="00CC35FE">
        <w:t>-</w:t>
      </w:r>
      <w:r>
        <w:t xml:space="preserve"> and long-term outcomes</w:t>
      </w:r>
      <w:r w:rsidR="0013495D">
        <w:t>. With this focus in mind, the monitoring plans identify the measures (either direct measures or indicators) and timeframes over which they should be measured. For example, the monitoring plans for most outcomes suggest that the short</w:t>
      </w:r>
      <w:r w:rsidR="00CC35FE">
        <w:t>-</w:t>
      </w:r>
      <w:r w:rsidR="0013495D">
        <w:t xml:space="preserve"> and m</w:t>
      </w:r>
      <w:r w:rsidR="00F76D82">
        <w:t>edium</w:t>
      </w:r>
      <w:r w:rsidR="0013495D">
        <w:t xml:space="preserve">-term outcomes should be measured at </w:t>
      </w:r>
      <w:r w:rsidR="00CC35FE">
        <w:t>two</w:t>
      </w:r>
      <w:r w:rsidR="00271EAA">
        <w:t>-</w:t>
      </w:r>
      <w:r w:rsidR="00CC35FE">
        <w:t xml:space="preserve"> to </w:t>
      </w:r>
      <w:r w:rsidR="00271EAA">
        <w:t>three-</w:t>
      </w:r>
      <w:r w:rsidR="0013495D">
        <w:t xml:space="preserve">year intervals, meaning that a baseline measure is made at the project commencement, and </w:t>
      </w:r>
      <w:r w:rsidR="00FB11FB">
        <w:t>is</w:t>
      </w:r>
      <w:r w:rsidR="00C0414E">
        <w:t xml:space="preserve"> remeasured </w:t>
      </w:r>
      <w:r w:rsidR="0013495D">
        <w:t xml:space="preserve">after </w:t>
      </w:r>
      <w:r w:rsidR="00CC35FE">
        <w:t xml:space="preserve">two </w:t>
      </w:r>
      <w:r w:rsidR="0013495D">
        <w:t xml:space="preserve">or </w:t>
      </w:r>
      <w:r w:rsidR="00CC35FE">
        <w:t>three</w:t>
      </w:r>
      <w:r w:rsidR="0013495D">
        <w:t xml:space="preserve"> years to detect changes. </w:t>
      </w:r>
    </w:p>
    <w:p w14:paraId="75A349C3" w14:textId="69443769" w:rsidR="00602B4B" w:rsidRDefault="007405AC" w:rsidP="007405AC">
      <w:pPr>
        <w:pStyle w:val="Heading3NoNumbers"/>
      </w:pPr>
      <w:r>
        <w:t xml:space="preserve">measuring progress via </w:t>
      </w:r>
      <w:r w:rsidR="0020632F">
        <w:t xml:space="preserve">INDICATORS </w:t>
      </w:r>
    </w:p>
    <w:p w14:paraId="027C4C78" w14:textId="7C9DA8F0" w:rsidR="00497332" w:rsidRDefault="00497332" w:rsidP="0020632F">
      <w:pPr>
        <w:pStyle w:val="BodyNormal"/>
      </w:pPr>
      <w:r>
        <w:t xml:space="preserve">The monitoring plan created for each RLP outcome defines the data that can be used to assess progress at all levels of the program logic. </w:t>
      </w:r>
      <w:r w:rsidR="0063009E">
        <w:t>P</w:t>
      </w:r>
      <w:r>
        <w:t xml:space="preserve">roject services can be directly </w:t>
      </w:r>
      <w:r w:rsidR="00CC35FE">
        <w:t>measured,</w:t>
      </w:r>
      <w:r w:rsidR="00AA40AF">
        <w:t xml:space="preserve"> and this is a </w:t>
      </w:r>
      <w:r w:rsidR="00CC35FE">
        <w:t>well-established</w:t>
      </w:r>
      <w:r w:rsidR="00AA40AF">
        <w:t xml:space="preserve"> practice among</w:t>
      </w:r>
      <w:r w:rsidR="0063009E">
        <w:t xml:space="preserve"> Service Providers.</w:t>
      </w:r>
    </w:p>
    <w:p w14:paraId="6605AEFE" w14:textId="219EEBAC" w:rsidR="007405AC" w:rsidRDefault="00AA40AF" w:rsidP="0020632F">
      <w:pPr>
        <w:pStyle w:val="BodyNormal"/>
      </w:pPr>
      <w:r>
        <w:t>Measuring short</w:t>
      </w:r>
      <w:r w:rsidR="00CC35FE">
        <w:t>-</w:t>
      </w:r>
      <w:r>
        <w:t>, m</w:t>
      </w:r>
      <w:r w:rsidR="00F92DC0">
        <w:t>edium</w:t>
      </w:r>
      <w:r w:rsidR="00CC35FE">
        <w:t>-</w:t>
      </w:r>
      <w:r>
        <w:t xml:space="preserve"> and long-term outcomes can be more challenging. </w:t>
      </w:r>
      <w:r w:rsidR="00497332">
        <w:t xml:space="preserve">In determining what data should be collected to assess progress in delivering </w:t>
      </w:r>
      <w:r>
        <w:t xml:space="preserve">these </w:t>
      </w:r>
      <w:r w:rsidR="00497332">
        <w:t xml:space="preserve">outcomes, </w:t>
      </w:r>
      <w:r w:rsidR="00DB348E">
        <w:t xml:space="preserve">a </w:t>
      </w:r>
      <w:r w:rsidR="00497332">
        <w:t>decision hierarchy</w:t>
      </w:r>
      <w:r w:rsidR="00DB348E">
        <w:t xml:space="preserve"> has been applied</w:t>
      </w:r>
      <w:r w:rsidR="00497332">
        <w:t xml:space="preserve">: </w:t>
      </w:r>
    </w:p>
    <w:p w14:paraId="64403707" w14:textId="3EECF0D5" w:rsidR="00497332" w:rsidRDefault="00497332" w:rsidP="00497332">
      <w:pPr>
        <w:pStyle w:val="ListBullet"/>
      </w:pPr>
      <w:r>
        <w:t>If there is a practical and cost-effective way to directly measure the outcom</w:t>
      </w:r>
      <w:r w:rsidR="00B2261D">
        <w:t>e, then this should be employed</w:t>
      </w:r>
    </w:p>
    <w:p w14:paraId="61F39A8A" w14:textId="44ED10DA" w:rsidR="00497332" w:rsidRDefault="00497332" w:rsidP="00497332">
      <w:pPr>
        <w:pStyle w:val="ListBullet"/>
      </w:pPr>
      <w:r>
        <w:t>If there is no direct measure, then a direct indicator</w:t>
      </w:r>
      <w:r w:rsidR="00B2261D">
        <w:t xml:space="preserve"> of that outcome should be used</w:t>
      </w:r>
    </w:p>
    <w:p w14:paraId="19C3CC52" w14:textId="3358C8FE" w:rsidR="00497332" w:rsidRDefault="00497332" w:rsidP="00497332">
      <w:pPr>
        <w:pStyle w:val="ListBullet"/>
      </w:pPr>
      <w:r>
        <w:t xml:space="preserve">If the indicators are difficult or too costly to measure (relative to the project size and duration) then it may be necessary to use measures of activities to assess progress. </w:t>
      </w:r>
      <w:r w:rsidR="00680283">
        <w:t xml:space="preserve">This is the least preferred option. </w:t>
      </w:r>
    </w:p>
    <w:p w14:paraId="09C88168" w14:textId="3DD01EC7" w:rsidR="007405AC" w:rsidRPr="0020632F" w:rsidRDefault="00AA40AF" w:rsidP="0020632F">
      <w:pPr>
        <w:pStyle w:val="BodyNormal"/>
      </w:pPr>
      <w:r>
        <w:t xml:space="preserve">This hierarchy has informed </w:t>
      </w:r>
      <w:r w:rsidR="00546632">
        <w:t xml:space="preserve">the </w:t>
      </w:r>
      <w:r w:rsidR="006C27BE">
        <w:t>process of</w:t>
      </w:r>
      <w:r>
        <w:t xml:space="preserve"> </w:t>
      </w:r>
      <w:r w:rsidR="006C27BE">
        <w:t xml:space="preserve">selecting the indicators listed in the </w:t>
      </w:r>
      <w:r>
        <w:t xml:space="preserve">monitoring plans for each outcome. </w:t>
      </w:r>
      <w:r w:rsidR="00F95A61">
        <w:t xml:space="preserve">Indicators have been identified that are practical, meaningful and can be collected cost effectively. </w:t>
      </w:r>
      <w:r w:rsidR="006C27BE">
        <w:t xml:space="preserve">The techniques to collect indicator data are not specified because each project needs to define the appropriate indicators for </w:t>
      </w:r>
      <w:r w:rsidR="00546632">
        <w:t xml:space="preserve">a </w:t>
      </w:r>
      <w:r w:rsidR="006C27BE">
        <w:t>particular project, and match data collection to the</w:t>
      </w:r>
      <w:r w:rsidR="00F95A61">
        <w:t xml:space="preserve"> project’s</w:t>
      </w:r>
      <w:r w:rsidR="00AA7ED3">
        <w:t xml:space="preserve"> </w:t>
      </w:r>
      <w:r w:rsidR="006C27BE">
        <w:t>goa</w:t>
      </w:r>
      <w:r w:rsidR="003A4193">
        <w:t xml:space="preserve">ls, </w:t>
      </w:r>
      <w:r w:rsidR="006C27BE">
        <w:t xml:space="preserve">size and duration. </w:t>
      </w:r>
      <w:r w:rsidR="00F92DC0">
        <w:t xml:space="preserve">For example, </w:t>
      </w:r>
      <w:r w:rsidR="003A4193">
        <w:t xml:space="preserve">a small budget, </w:t>
      </w:r>
      <w:r w:rsidR="00CC35FE">
        <w:t>one-year</w:t>
      </w:r>
      <w:r w:rsidR="003A4193">
        <w:t xml:space="preserve"> project would approach collection of vegetation quality data differently to a large budget</w:t>
      </w:r>
      <w:r w:rsidR="00CC35FE">
        <w:t>,</w:t>
      </w:r>
      <w:r w:rsidR="003A4193">
        <w:t xml:space="preserve"> </w:t>
      </w:r>
      <w:r w:rsidR="00CC35FE">
        <w:t>five-year</w:t>
      </w:r>
      <w:r w:rsidR="003A4193">
        <w:t xml:space="preserve"> project. Both projects collect and report vegetation quality data, however, the specific data would vary between the projects.</w:t>
      </w:r>
    </w:p>
    <w:p w14:paraId="717258A0" w14:textId="5559183C" w:rsidR="00ED153C" w:rsidRDefault="001B4B7E" w:rsidP="003A4193">
      <w:pPr>
        <w:pStyle w:val="Heading1"/>
      </w:pPr>
      <w:bookmarkStart w:id="9" w:name="_Toc517949174"/>
      <w:r>
        <w:t>R</w:t>
      </w:r>
      <w:r w:rsidR="003A4193">
        <w:t>eporting</w:t>
      </w:r>
      <w:bookmarkEnd w:id="9"/>
    </w:p>
    <w:p w14:paraId="59B11B12" w14:textId="2D2306DA" w:rsidR="003A4193" w:rsidRDefault="00ED153C" w:rsidP="00D010F9">
      <w:pPr>
        <w:pStyle w:val="BodyNormal"/>
      </w:pPr>
      <w:r>
        <w:t>The RLP reporting obligations of Service Providers and the Australian Government are outlined below.</w:t>
      </w:r>
    </w:p>
    <w:p w14:paraId="001AEB07" w14:textId="3AC97815" w:rsidR="00135F6F" w:rsidRPr="00680283" w:rsidRDefault="00ED153C" w:rsidP="000F74C0">
      <w:pPr>
        <w:pStyle w:val="Heading2"/>
        <w:ind w:left="1134" w:hanging="1134"/>
      </w:pPr>
      <w:bookmarkStart w:id="10" w:name="_Toc517949175"/>
      <w:r w:rsidRPr="00680283">
        <w:t>Service Provider Reporting</w:t>
      </w:r>
      <w:bookmarkEnd w:id="10"/>
    </w:p>
    <w:p w14:paraId="5B68B3EF" w14:textId="55A79EB1" w:rsidR="00F36862" w:rsidRPr="00680283" w:rsidRDefault="00F36862" w:rsidP="001E5178">
      <w:pPr>
        <w:pStyle w:val="BodyNormal"/>
      </w:pPr>
      <w:r w:rsidRPr="00680283">
        <w:t>All Service Provider reports are submitted in MERIT.</w:t>
      </w:r>
    </w:p>
    <w:p w14:paraId="6B0150DE" w14:textId="5ACBC093" w:rsidR="00ED153C" w:rsidRPr="00680283" w:rsidRDefault="00F36862" w:rsidP="001E5178">
      <w:pPr>
        <w:pStyle w:val="Heading3NoNumbers"/>
      </w:pPr>
      <w:r w:rsidRPr="00680283">
        <w:t>Outputs report</w:t>
      </w:r>
    </w:p>
    <w:p w14:paraId="04AAA6D7" w14:textId="0C65CF1F" w:rsidR="00ED153C" w:rsidRPr="00680283" w:rsidRDefault="00ED153C" w:rsidP="001E5178">
      <w:pPr>
        <w:pStyle w:val="BodyNormal"/>
      </w:pPr>
      <w:r w:rsidRPr="00680283">
        <w:t xml:space="preserve">This </w:t>
      </w:r>
      <w:r w:rsidR="00F36862" w:rsidRPr="00680283">
        <w:t xml:space="preserve">type of </w:t>
      </w:r>
      <w:r w:rsidRPr="00680283">
        <w:t xml:space="preserve">report </w:t>
      </w:r>
      <w:r w:rsidR="003258B3" w:rsidRPr="00680283">
        <w:t>will outline</w:t>
      </w:r>
      <w:r w:rsidRPr="00680283">
        <w:t xml:space="preserve"> the services delivered for the projects, and includes spatial reporting and photographs of a sample of intervention locations for each project. Outputs reporting occurs </w:t>
      </w:r>
      <w:r w:rsidR="003258B3" w:rsidRPr="00680283">
        <w:t xml:space="preserve">a </w:t>
      </w:r>
      <w:r w:rsidR="00AF0510" w:rsidRPr="00680283">
        <w:t>quarterly or six</w:t>
      </w:r>
      <w:r w:rsidR="00AF0510" w:rsidRPr="00680283">
        <w:noBreakHyphen/>
      </w:r>
      <w:r w:rsidRPr="00680283">
        <w:t xml:space="preserve"> monthly, depending on the Services Agreement between the Departments and the Service Providers.</w:t>
      </w:r>
      <w:r w:rsidR="00A054B9" w:rsidRPr="00680283">
        <w:t xml:space="preserve"> </w:t>
      </w:r>
    </w:p>
    <w:p w14:paraId="78B54312" w14:textId="7BDF8475" w:rsidR="00135F6F" w:rsidRPr="00680283" w:rsidRDefault="00135F6F" w:rsidP="00135F6F">
      <w:pPr>
        <w:pStyle w:val="Heading3NoNumbers"/>
      </w:pPr>
      <w:r w:rsidRPr="00680283">
        <w:t xml:space="preserve">Annual report </w:t>
      </w:r>
    </w:p>
    <w:p w14:paraId="64A99709" w14:textId="37D5122D" w:rsidR="00F36862" w:rsidRPr="00680283" w:rsidRDefault="00F36862" w:rsidP="00135F6F">
      <w:pPr>
        <w:pStyle w:val="BodyNormal"/>
      </w:pPr>
      <w:r w:rsidRPr="00680283">
        <w:t>Service Providers will submit</w:t>
      </w:r>
      <w:r w:rsidR="00912D1E" w:rsidRPr="00680283">
        <w:t xml:space="preserve"> an annual report for each project, confirming that the project is being delivered in line with the MERI Plan. Annual reports will also highlight key project achievements and/or issues, and propose any adaptive management actions for each project. </w:t>
      </w:r>
    </w:p>
    <w:p w14:paraId="1FCDDE47" w14:textId="08E204C9" w:rsidR="00912D1E" w:rsidRPr="00680283" w:rsidRDefault="00912D1E" w:rsidP="00D010F9">
      <w:pPr>
        <w:pStyle w:val="Heading3NoNumbers"/>
      </w:pPr>
      <w:r w:rsidRPr="00680283">
        <w:t>Outcomes report 1</w:t>
      </w:r>
    </w:p>
    <w:p w14:paraId="286B3C39" w14:textId="3E2B808B" w:rsidR="00BE1DFA" w:rsidRPr="00680283" w:rsidRDefault="00BE1DFA" w:rsidP="00135F6F">
      <w:pPr>
        <w:pStyle w:val="BodyNormal"/>
      </w:pPr>
      <w:r w:rsidRPr="00680283">
        <w:t xml:space="preserve">This type of report includes, for each short-term outcome set out in the MERI plan, a summary of the state of change detected between the baseline established by the Service Provider as at the beginning of the project and subsequent follow up monitoring undertaken by the Service Provider. For projects three years or less in duration, this report is to be submitted by the project end date. For longer projects, this report is to be submitted by the three year anniversary of the project. </w:t>
      </w:r>
    </w:p>
    <w:p w14:paraId="0EC3CB5C" w14:textId="7D8A644F" w:rsidR="00912D1E" w:rsidRPr="00680283" w:rsidRDefault="00912D1E" w:rsidP="001E5178">
      <w:pPr>
        <w:pStyle w:val="Heading3NoNumbers"/>
      </w:pPr>
      <w:r w:rsidRPr="00680283">
        <w:t>Outcomes report 2</w:t>
      </w:r>
    </w:p>
    <w:p w14:paraId="085D4771" w14:textId="5E8B9AAF" w:rsidR="00912D1E" w:rsidRPr="00680283" w:rsidRDefault="004B08F9" w:rsidP="00135F6F">
      <w:pPr>
        <w:pStyle w:val="BodyNormal"/>
      </w:pPr>
      <w:r w:rsidRPr="00680283">
        <w:t xml:space="preserve">This report addresses, for each medium-term outcome set out in the MERI plan, </w:t>
      </w:r>
      <w:r w:rsidRPr="00680283">
        <w:rPr>
          <w:szCs w:val="20"/>
        </w:rPr>
        <w:t xml:space="preserve">a summary of the state of change detected between the baselines established by the Service Provider at the </w:t>
      </w:r>
      <w:r w:rsidR="00AF5BE5" w:rsidRPr="00680283">
        <w:rPr>
          <w:szCs w:val="20"/>
        </w:rPr>
        <w:t>beginning of the project, and subsequent</w:t>
      </w:r>
      <w:r w:rsidRPr="00680283">
        <w:rPr>
          <w:szCs w:val="20"/>
        </w:rPr>
        <w:t xml:space="preserve"> follow up monitoring undertaken by the Service Provider.</w:t>
      </w:r>
      <w:r w:rsidR="00AF5BE5" w:rsidRPr="00680283">
        <w:rPr>
          <w:szCs w:val="20"/>
        </w:rPr>
        <w:t xml:space="preserve"> This type of report is only for those projects greater than three years duration, and </w:t>
      </w:r>
      <w:r w:rsidR="00185668" w:rsidRPr="00680283">
        <w:rPr>
          <w:szCs w:val="20"/>
        </w:rPr>
        <w:t>is to</w:t>
      </w:r>
      <w:r w:rsidR="00AF5BE5" w:rsidRPr="00680283">
        <w:rPr>
          <w:szCs w:val="20"/>
        </w:rPr>
        <w:t xml:space="preserve"> be submitted by the project end date.</w:t>
      </w:r>
    </w:p>
    <w:p w14:paraId="4137159F" w14:textId="74102E2A" w:rsidR="00912D1E" w:rsidRPr="00680283" w:rsidRDefault="00912D1E" w:rsidP="001E5178">
      <w:pPr>
        <w:pStyle w:val="Heading3NoNumbers"/>
      </w:pPr>
      <w:r w:rsidRPr="00680283">
        <w:t>Core Services Reporting</w:t>
      </w:r>
    </w:p>
    <w:p w14:paraId="79455664" w14:textId="3406456F" w:rsidR="00912D1E" w:rsidRDefault="00912D1E" w:rsidP="00135F6F">
      <w:pPr>
        <w:pStyle w:val="BodyNormal"/>
      </w:pPr>
      <w:r w:rsidRPr="00680283">
        <w:t>Service Providers are required to submit a Core Services report each time an invoice is submitted, indicating whether Core Services have been met or not. A more detailed Annual</w:t>
      </w:r>
      <w:r w:rsidR="00185668" w:rsidRPr="00680283">
        <w:t xml:space="preserve"> Core Services is also required to be submitted by each Service Provider.</w:t>
      </w:r>
    </w:p>
    <w:p w14:paraId="63888EFA" w14:textId="006778AC" w:rsidR="00912D1E" w:rsidRDefault="00585ABD" w:rsidP="000F74C0">
      <w:pPr>
        <w:pStyle w:val="Heading2"/>
        <w:ind w:left="1134" w:hanging="1134"/>
      </w:pPr>
      <w:bookmarkStart w:id="11" w:name="_Toc517949176"/>
      <w:r>
        <w:t>Australian Government Reporting</w:t>
      </w:r>
      <w:bookmarkEnd w:id="11"/>
    </w:p>
    <w:p w14:paraId="05FC1248" w14:textId="1342D968" w:rsidR="00585ABD" w:rsidRDefault="00585ABD" w:rsidP="001E5178">
      <w:pPr>
        <w:pStyle w:val="Heading3NoNumbers"/>
      </w:pPr>
      <w:r>
        <w:t>Annual progress report</w:t>
      </w:r>
    </w:p>
    <w:p w14:paraId="5CDAF3C9" w14:textId="79DD9815" w:rsidR="00135F6F" w:rsidRDefault="00135F6F" w:rsidP="00135F6F">
      <w:pPr>
        <w:pStyle w:val="BodyNormal"/>
      </w:pPr>
      <w:r>
        <w:t xml:space="preserve">Information for the annual progress reports </w:t>
      </w:r>
      <w:r w:rsidR="0060524E">
        <w:t xml:space="preserve">will </w:t>
      </w:r>
      <w:r>
        <w:t xml:space="preserve">be collated from </w:t>
      </w:r>
      <w:r w:rsidR="00A20AEE">
        <w:t>S</w:t>
      </w:r>
      <w:r>
        <w:t xml:space="preserve">ervice </w:t>
      </w:r>
      <w:r w:rsidR="00A20AEE">
        <w:t>P</w:t>
      </w:r>
      <w:r>
        <w:t xml:space="preserve">rovider reports in MERIT. Departmental annual progress reports </w:t>
      </w:r>
      <w:r w:rsidR="0060524E">
        <w:t xml:space="preserve">will </w:t>
      </w:r>
      <w:r>
        <w:t xml:space="preserve">focus on project services, and over time, they </w:t>
      </w:r>
      <w:r w:rsidR="00431616">
        <w:t xml:space="preserve">will </w:t>
      </w:r>
      <w:r>
        <w:t xml:space="preserve">also be able to report on key performance indicators to measure and report on progress towards the </w:t>
      </w:r>
      <w:r w:rsidR="0060524E">
        <w:t>six program level outcomes</w:t>
      </w:r>
      <w:r>
        <w:t xml:space="preserve">. </w:t>
      </w:r>
    </w:p>
    <w:p w14:paraId="235DF160" w14:textId="77777777" w:rsidR="00135F6F" w:rsidRPr="00341D17" w:rsidRDefault="00135F6F" w:rsidP="00135F6F">
      <w:pPr>
        <w:pStyle w:val="Heading3NoNumbers"/>
      </w:pPr>
      <w:r>
        <w:t>Mid-term and end of program evaluations</w:t>
      </w:r>
    </w:p>
    <w:p w14:paraId="6601A765" w14:textId="4DEEA932" w:rsidR="00135F6F" w:rsidRDefault="00135F6F" w:rsidP="00135F6F">
      <w:pPr>
        <w:pStyle w:val="BodyNormal"/>
        <w:rPr>
          <w:sz w:val="24"/>
          <w:szCs w:val="24"/>
        </w:rPr>
      </w:pPr>
      <w:r>
        <w:rPr>
          <w:b/>
          <w:bCs/>
        </w:rPr>
        <w:t xml:space="preserve">Mid-term performance evaluations: </w:t>
      </w:r>
      <w:r>
        <w:t xml:space="preserve">A comprehensive program evaluation will take place in 2021. For this evaluation, the Departments will use Regional Land Partnerships </w:t>
      </w:r>
      <w:r w:rsidR="00A20AEE">
        <w:t>S</w:t>
      </w:r>
      <w:r>
        <w:t xml:space="preserve">ervice </w:t>
      </w:r>
      <w:r w:rsidR="00A20AEE">
        <w:t>P</w:t>
      </w:r>
      <w:r>
        <w:t>roviders’ information to report on overall program progress which will be used to implement program improvements and inform future program design. The evaluation will include evaluation of processes and progress towards outcomes, so would draw on the indicators identified for the m</w:t>
      </w:r>
      <w:r w:rsidR="00431616">
        <w:t>edium</w:t>
      </w:r>
      <w:r>
        <w:t xml:space="preserve">- and long-term outcomes.  </w:t>
      </w:r>
    </w:p>
    <w:p w14:paraId="2822D56D" w14:textId="11FB3B62" w:rsidR="00B2261D" w:rsidRDefault="00135F6F" w:rsidP="00B2261D">
      <w:pPr>
        <w:pStyle w:val="BodyNormal"/>
        <w:sectPr w:rsidR="00B2261D" w:rsidSect="00B2261D">
          <w:headerReference w:type="default" r:id="rId18"/>
          <w:footerReference w:type="default" r:id="rId19"/>
          <w:pgSz w:w="11906" w:h="16838" w:code="9"/>
          <w:pgMar w:top="1134" w:right="1134" w:bottom="1966" w:left="1134" w:header="680" w:footer="680" w:gutter="0"/>
          <w:pgNumType w:start="1"/>
          <w:cols w:space="708"/>
          <w:docGrid w:linePitch="360"/>
        </w:sectPr>
      </w:pPr>
      <w:r>
        <w:rPr>
          <w:b/>
          <w:bCs/>
        </w:rPr>
        <w:t xml:space="preserve">End-of-program performance evaluation: </w:t>
      </w:r>
      <w:r>
        <w:t>The Departments will conduct an end-of-program evaluation in 2023. This evaluation will revisit the mid-</w:t>
      </w:r>
      <w:r w:rsidR="00431616">
        <w:t xml:space="preserve">program </w:t>
      </w:r>
      <w:r>
        <w:t>performance evaluations and incorporate new information to provide a closing evaluation of overall program performance of processes, achievement of outcomes and economics. The findings will be used to inform future program delivery and will be informed by service provider reporting, tar</w:t>
      </w:r>
      <w:r w:rsidR="0096721B">
        <w:t>geted and long-term monitoring.</w:t>
      </w:r>
    </w:p>
    <w:p w14:paraId="35D36DFF" w14:textId="77777777" w:rsidR="008662BA" w:rsidRDefault="008662BA" w:rsidP="00B2261D">
      <w:pPr>
        <w:pStyle w:val="BodyNormal"/>
        <w:rPr>
          <w:szCs w:val="20"/>
        </w:rPr>
        <w:sectPr w:rsidR="008662BA" w:rsidSect="00650711">
          <w:pgSz w:w="11906" w:h="16838" w:code="9"/>
          <w:pgMar w:top="1134" w:right="1134" w:bottom="1966" w:left="1134" w:header="680" w:footer="680" w:gutter="0"/>
          <w:pgNumType w:start="55"/>
          <w:cols w:space="708"/>
          <w:docGrid w:linePitch="360"/>
        </w:sectPr>
      </w:pPr>
    </w:p>
    <w:p w14:paraId="6601353B" w14:textId="77777777" w:rsidR="00033BC8" w:rsidRDefault="00A21859" w:rsidP="007519BC">
      <w:pPr>
        <w:pageBreakBefore/>
        <w:spacing w:before="240" w:after="120" w:line="288" w:lineRule="auto"/>
      </w:pPr>
      <w:r w:rsidRPr="00302F92">
        <w:rPr>
          <w:noProof/>
          <w:sz w:val="16"/>
          <w:lang w:eastAsia="en-AU"/>
        </w:rPr>
        <w:drawing>
          <wp:anchor distT="0" distB="0" distL="114300" distR="114300" simplePos="0" relativeHeight="251659264" behindDoc="1" locked="0" layoutInCell="1" allowOverlap="1" wp14:anchorId="5E9D7CA4" wp14:editId="5AC37751">
            <wp:simplePos x="0" y="0"/>
            <wp:positionH relativeFrom="column">
              <wp:posOffset>5389283</wp:posOffset>
            </wp:positionH>
            <wp:positionV relativeFrom="paragraph">
              <wp:posOffset>79501</wp:posOffset>
            </wp:positionV>
            <wp:extent cx="742113" cy="194337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CG Bendigo:RMCG Administration:QUALITY MANAGEMENT SYSTEM:QMS CERTIFICATION:LOGOS:ISO 900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742113" cy="1943377"/>
                    </a:xfrm>
                    <a:prstGeom prst="rect">
                      <a:avLst/>
                    </a:prstGeom>
                    <a:noFill/>
                    <a:ln>
                      <a:noFill/>
                    </a:ln>
                  </pic:spPr>
                </pic:pic>
              </a:graphicData>
            </a:graphic>
            <wp14:sizeRelH relativeFrom="page">
              <wp14:pctWidth>0</wp14:pctWidth>
            </wp14:sizeRelH>
            <wp14:sizeRelV relativeFrom="page">
              <wp14:pctHeight>0</wp14:pctHeight>
            </wp14:sizeRelV>
          </wp:anchor>
        </w:drawing>
      </w:r>
      <w:r w:rsidR="00033BC8">
        <w:t>This report has been prepared by:</w:t>
      </w:r>
    </w:p>
    <w:p w14:paraId="5763F917" w14:textId="77777777" w:rsidR="00033BC8" w:rsidRDefault="00033BC8" w:rsidP="004E6E12">
      <w:pPr>
        <w:spacing w:before="240" w:after="120" w:line="288" w:lineRule="auto"/>
      </w:pPr>
    </w:p>
    <w:p w14:paraId="3157CD56" w14:textId="77777777" w:rsidR="00033BC8" w:rsidRPr="008154B5" w:rsidRDefault="00033BC8" w:rsidP="004E6E12">
      <w:pPr>
        <w:pStyle w:val="BodyBold"/>
      </w:pPr>
      <w:r w:rsidRPr="008154B5">
        <w:t>RM Consulting Group Pty Ltd trading as RMCG</w:t>
      </w:r>
    </w:p>
    <w:p w14:paraId="106D17E3" w14:textId="77777777" w:rsidR="00033BC8" w:rsidRDefault="00033BC8" w:rsidP="004E6E12">
      <w:pPr>
        <w:spacing w:before="240" w:after="120" w:line="288" w:lineRule="auto"/>
      </w:pPr>
      <w:r>
        <w:t>Level 1, 357 Camberwell Rd, Camberwell</w:t>
      </w:r>
      <w:r w:rsidR="00CF74B1">
        <w:t>,</w:t>
      </w:r>
      <w:r>
        <w:t xml:space="preserve"> Victoria 3124</w:t>
      </w:r>
    </w:p>
    <w:p w14:paraId="443A296B" w14:textId="77777777" w:rsidR="00033BC8" w:rsidRDefault="00033BC8" w:rsidP="004E6E12">
      <w:pPr>
        <w:spacing w:before="240" w:after="120" w:line="288" w:lineRule="auto"/>
      </w:pPr>
      <w:r>
        <w:t>(03) 9882 2670   —   rmcg.com.au   —   ABN  73 613 135 247</w:t>
      </w:r>
    </w:p>
    <w:p w14:paraId="0653D26E" w14:textId="77777777" w:rsidR="00033BC8" w:rsidRDefault="00033BC8" w:rsidP="004E6E12">
      <w:pPr>
        <w:spacing w:before="240" w:after="120" w:line="288" w:lineRule="auto"/>
      </w:pPr>
    </w:p>
    <w:p w14:paraId="58BC704B" w14:textId="77777777" w:rsidR="00033BC8" w:rsidRDefault="00A21859" w:rsidP="004E6E12">
      <w:pPr>
        <w:spacing w:before="240" w:after="120" w:line="288" w:lineRule="auto"/>
      </w:pPr>
      <w:r>
        <w:rPr>
          <w:noProof/>
          <w:lang w:eastAsia="en-AU"/>
        </w:rPr>
        <mc:AlternateContent>
          <mc:Choice Requires="wps">
            <w:drawing>
              <wp:anchor distT="0" distB="0" distL="114300" distR="114300" simplePos="0" relativeHeight="251660288" behindDoc="0" locked="0" layoutInCell="1" allowOverlap="1" wp14:anchorId="17C5532B" wp14:editId="08144BF3">
                <wp:simplePos x="0" y="0"/>
                <wp:positionH relativeFrom="column">
                  <wp:posOffset>5267325</wp:posOffset>
                </wp:positionH>
                <wp:positionV relativeFrom="paragraph">
                  <wp:posOffset>245745</wp:posOffset>
                </wp:positionV>
                <wp:extent cx="1144270" cy="1140460"/>
                <wp:effectExtent l="0" t="0" r="0" b="2540"/>
                <wp:wrapSquare wrapText="bothSides"/>
                <wp:docPr id="2" name="Text Box 2"/>
                <wp:cNvGraphicFramePr/>
                <a:graphic xmlns:a="http://schemas.openxmlformats.org/drawingml/2006/main">
                  <a:graphicData uri="http://schemas.microsoft.com/office/word/2010/wordprocessingShape">
                    <wps:wsp>
                      <wps:cNvSpPr txBox="1"/>
                      <wps:spPr>
                        <a:xfrm>
                          <a:off x="0" y="0"/>
                          <a:ext cx="1144270" cy="1140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749E7D" w14:textId="77777777" w:rsidR="00D010F9" w:rsidRDefault="00D010F9" w:rsidP="00A21859">
                            <w:r>
                              <w:rPr>
                                <w:noProof/>
                                <w:lang w:eastAsia="en-AU"/>
                              </w:rPr>
                              <w:drawing>
                                <wp:inline distT="0" distB="0" distL="0" distR="0" wp14:anchorId="1E9E5106" wp14:editId="3A9711F8">
                                  <wp:extent cx="819848" cy="8883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sanz.jpg"/>
                                          <pic:cNvPicPr/>
                                        </pic:nvPicPr>
                                        <pic:blipFill>
                                          <a:blip r:embed="rId21">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7C5532B" id="_x0000_t202" coordsize="21600,21600" o:spt="202" path="m,l,21600r21600,l21600,xe">
                <v:stroke joinstyle="miter"/>
                <v:path gradientshapeok="t" o:connecttype="rect"/>
              </v:shapetype>
              <v:shape id="Text Box 2" o:spid="_x0000_s1026" type="#_x0000_t202" style="position:absolute;left:0;text-align:left;margin-left:414.75pt;margin-top:19.35pt;width:90.1pt;height:8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" filled="f" stroked="f">
                <v:textbox>
                  <w:txbxContent>
                    <w:p w14:paraId="3D749E7D" w14:textId="77777777" w:rsidR="00D010F9" w:rsidRDefault="00D010F9" w:rsidP="00A21859">
                      <w:r>
                        <w:rPr>
                          <w:noProof/>
                          <w:lang w:eastAsia="en-AU"/>
                        </w:rPr>
                        <w:drawing>
                          <wp:inline distT="0" distB="0" distL="0" distR="0" wp14:anchorId="1E9E5106" wp14:editId="3A9711F8">
                            <wp:extent cx="819848" cy="88838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sanz.jpg"/>
                                    <pic:cNvPicPr/>
                                  </pic:nvPicPr>
                                  <pic:blipFill>
                                    <a:blip r:embed="rId24">
                                      <a:extLst>
                                        <a:ext uri="{28A0092B-C50C-407E-A947-70E740481C1C}">
                                          <a14:useLocalDpi xmlns:a14="http://schemas.microsoft.com/office/drawing/2010/main" val="0"/>
                                        </a:ext>
                                      </a:extLst>
                                    </a:blip>
                                    <a:stretch>
                                      <a:fillRect/>
                                    </a:stretch>
                                  </pic:blipFill>
                                  <pic:spPr>
                                    <a:xfrm>
                                      <a:off x="0" y="0"/>
                                      <a:ext cx="838822" cy="908946"/>
                                    </a:xfrm>
                                    <a:prstGeom prst="rect">
                                      <a:avLst/>
                                    </a:prstGeom>
                                  </pic:spPr>
                                </pic:pic>
                              </a:graphicData>
                            </a:graphic>
                          </wp:inline>
                        </w:drawing>
                      </w:r>
                    </w:p>
                  </w:txbxContent>
                </v:textbox>
                <w10:wrap type="square"/>
              </v:shape>
            </w:pict>
          </mc:Fallback>
        </mc:AlternateContent>
      </w:r>
      <w:r w:rsidR="00033BC8">
        <w:t>Offices in Bendigo, Melbourne, Torquay and Penguin (Tasmania)</w:t>
      </w:r>
    </w:p>
    <w:p w14:paraId="502CDF23" w14:textId="77777777" w:rsidR="00033BC8" w:rsidRDefault="00033BC8" w:rsidP="004E6E12">
      <w:pPr>
        <w:pStyle w:val="TableBulletShadedTable"/>
        <w:spacing w:before="240" w:after="120"/>
      </w:pPr>
    </w:p>
    <w:p w14:paraId="64791F26" w14:textId="77777777" w:rsidR="00033BC8" w:rsidRDefault="00033BC8" w:rsidP="004E6E12">
      <w:pPr>
        <w:spacing w:before="240" w:after="120" w:line="288" w:lineRule="auto"/>
      </w:pPr>
    </w:p>
    <w:p w14:paraId="15ACE20E" w14:textId="77777777" w:rsidR="00033BC8" w:rsidRPr="008154B5" w:rsidRDefault="00033BC8" w:rsidP="004E6E12">
      <w:pPr>
        <w:pStyle w:val="BodyBold"/>
      </w:pPr>
      <w:r w:rsidRPr="008154B5">
        <w:t>Key Project Contact</w:t>
      </w:r>
    </w:p>
    <w:p w14:paraId="2468E01F" w14:textId="77777777" w:rsidR="00033BC8" w:rsidRDefault="005C7951" w:rsidP="004E6E12">
      <w:pPr>
        <w:spacing w:before="240" w:after="120" w:line="288" w:lineRule="auto"/>
      </w:pPr>
      <w:r>
        <w:t>Shayne Annett</w:t>
      </w:r>
    </w:p>
    <w:p w14:paraId="666ABF1B" w14:textId="520415D7" w:rsidR="00033BC8" w:rsidRDefault="005C7951" w:rsidP="004E6E12">
      <w:pPr>
        <w:spacing w:before="240" w:after="120" w:line="288" w:lineRule="auto"/>
      </w:pPr>
      <w:r>
        <w:t>0427 679 049   —   shaynea@rmcg.com.au</w:t>
      </w:r>
    </w:p>
    <w:p w14:paraId="28325157" w14:textId="77777777" w:rsidR="00033BC8" w:rsidRDefault="00033BC8" w:rsidP="004E6E12">
      <w:pPr>
        <w:spacing w:before="240" w:after="120" w:line="288" w:lineRule="auto"/>
      </w:pPr>
    </w:p>
    <w:p w14:paraId="2D674AFA" w14:textId="77777777" w:rsidR="00033BC8" w:rsidRDefault="00033BC8" w:rsidP="004E6E12">
      <w:pPr>
        <w:pStyle w:val="BodyBold"/>
      </w:pPr>
    </w:p>
    <w:p w14:paraId="6EB42086" w14:textId="77777777" w:rsidR="00033BC8" w:rsidRPr="008154B5" w:rsidRDefault="00123BF5" w:rsidP="004E6E12">
      <w:pPr>
        <w:pStyle w:val="BodyBold"/>
      </w:pPr>
      <w:r>
        <w:t>Document review and authoris</w:t>
      </w:r>
      <w:r w:rsidR="00CF74B1">
        <w:t>ation</w:t>
      </w:r>
    </w:p>
    <w:p w14:paraId="0F50AE5E" w14:textId="77777777" w:rsidR="00033BC8" w:rsidRDefault="00033BC8" w:rsidP="004E6E12">
      <w:pPr>
        <w:pStyle w:val="BodyBold"/>
      </w:pPr>
      <w:r w:rsidRPr="008154B5">
        <w:t>Job Number:</w:t>
      </w:r>
      <w:r w:rsidR="005C7951">
        <w:t xml:space="preserve"> 16-D-36</w:t>
      </w:r>
    </w:p>
    <w:tbl>
      <w:tblPr>
        <w:tblStyle w:val="JobNoTable"/>
        <w:tblW w:w="0" w:type="auto"/>
        <w:tblLook w:val="04A0" w:firstRow="1" w:lastRow="0" w:firstColumn="1" w:lastColumn="0" w:noHBand="0" w:noVBand="1"/>
      </w:tblPr>
      <w:tblGrid>
        <w:gridCol w:w="1202"/>
        <w:gridCol w:w="1203"/>
        <w:gridCol w:w="1204"/>
        <w:gridCol w:w="1203"/>
        <w:gridCol w:w="1204"/>
        <w:gridCol w:w="1204"/>
        <w:gridCol w:w="1204"/>
        <w:gridCol w:w="1204"/>
      </w:tblGrid>
      <w:tr w:rsidR="00480344" w14:paraId="2573398A" w14:textId="77777777" w:rsidTr="00662620">
        <w:trPr>
          <w:cnfStyle w:val="100000000000" w:firstRow="1" w:lastRow="0" w:firstColumn="0" w:lastColumn="0" w:oddVBand="0" w:evenVBand="0" w:oddHBand="0" w:evenHBand="0" w:firstRowFirstColumn="0" w:firstRowLastColumn="0" w:lastRowFirstColumn="0" w:lastRowLastColumn="0"/>
        </w:trPr>
        <w:tc>
          <w:tcPr>
            <w:tcW w:w="1202" w:type="dxa"/>
          </w:tcPr>
          <w:p w14:paraId="253DFF07" w14:textId="77777777" w:rsidR="00480344" w:rsidRDefault="00480344" w:rsidP="00AA4009">
            <w:pPr>
              <w:spacing w:before="120" w:after="120"/>
            </w:pPr>
            <w:r>
              <w:t>Doc Version</w:t>
            </w:r>
          </w:p>
        </w:tc>
        <w:tc>
          <w:tcPr>
            <w:tcW w:w="1203" w:type="dxa"/>
          </w:tcPr>
          <w:p w14:paraId="566D6FD5" w14:textId="77777777" w:rsidR="00480344" w:rsidRDefault="00480344" w:rsidP="00AA4009">
            <w:pPr>
              <w:spacing w:before="120" w:after="120"/>
            </w:pPr>
            <w:r>
              <w:t>Final/Draft</w:t>
            </w:r>
          </w:p>
        </w:tc>
        <w:tc>
          <w:tcPr>
            <w:tcW w:w="1204" w:type="dxa"/>
          </w:tcPr>
          <w:p w14:paraId="3F681260" w14:textId="77777777" w:rsidR="00480344" w:rsidRDefault="00480344" w:rsidP="00AA4009">
            <w:pPr>
              <w:spacing w:before="120" w:after="120"/>
            </w:pPr>
            <w:r>
              <w:t>Date</w:t>
            </w:r>
          </w:p>
        </w:tc>
        <w:tc>
          <w:tcPr>
            <w:tcW w:w="1203" w:type="dxa"/>
          </w:tcPr>
          <w:p w14:paraId="1695B81B" w14:textId="77777777" w:rsidR="00480344" w:rsidRDefault="00480344" w:rsidP="00AA4009">
            <w:pPr>
              <w:spacing w:before="120" w:after="120"/>
            </w:pPr>
            <w:r>
              <w:t>Author</w:t>
            </w:r>
          </w:p>
        </w:tc>
        <w:tc>
          <w:tcPr>
            <w:tcW w:w="1204" w:type="dxa"/>
          </w:tcPr>
          <w:p w14:paraId="08C4A560" w14:textId="77777777" w:rsidR="00480344" w:rsidRDefault="00480344" w:rsidP="00AA4009">
            <w:pPr>
              <w:spacing w:before="120" w:after="120"/>
            </w:pPr>
            <w:r>
              <w:t>Reviewed by</w:t>
            </w:r>
          </w:p>
        </w:tc>
        <w:tc>
          <w:tcPr>
            <w:tcW w:w="1204" w:type="dxa"/>
          </w:tcPr>
          <w:p w14:paraId="7B0904E0" w14:textId="77777777" w:rsidR="00480344" w:rsidRDefault="00480344" w:rsidP="00AA4009">
            <w:pPr>
              <w:spacing w:before="120" w:after="120"/>
            </w:pPr>
            <w:r>
              <w:t>Quality checked</w:t>
            </w:r>
          </w:p>
        </w:tc>
        <w:tc>
          <w:tcPr>
            <w:tcW w:w="1204" w:type="dxa"/>
          </w:tcPr>
          <w:p w14:paraId="240CFDA3" w14:textId="77777777" w:rsidR="00480344" w:rsidRDefault="00480344" w:rsidP="00AA4009">
            <w:pPr>
              <w:spacing w:before="120" w:after="120"/>
            </w:pPr>
            <w:r>
              <w:t>Release approved by</w:t>
            </w:r>
          </w:p>
        </w:tc>
        <w:tc>
          <w:tcPr>
            <w:tcW w:w="1204" w:type="dxa"/>
          </w:tcPr>
          <w:p w14:paraId="216B1E39" w14:textId="77777777" w:rsidR="00480344" w:rsidRDefault="00480344" w:rsidP="00AA4009">
            <w:pPr>
              <w:spacing w:before="120" w:after="120"/>
            </w:pPr>
            <w:r>
              <w:t>Issued to</w:t>
            </w:r>
          </w:p>
        </w:tc>
      </w:tr>
      <w:tr w:rsidR="00480344" w14:paraId="52F40F7D" w14:textId="77777777" w:rsidTr="00662620">
        <w:tc>
          <w:tcPr>
            <w:tcW w:w="1202" w:type="dxa"/>
          </w:tcPr>
          <w:p w14:paraId="50732BE3" w14:textId="77777777" w:rsidR="00480344" w:rsidRDefault="00480344" w:rsidP="00AA4009">
            <w:pPr>
              <w:spacing w:before="120" w:after="120"/>
            </w:pPr>
            <w:r>
              <w:t>1.0</w:t>
            </w:r>
          </w:p>
        </w:tc>
        <w:tc>
          <w:tcPr>
            <w:tcW w:w="1203" w:type="dxa"/>
          </w:tcPr>
          <w:p w14:paraId="6D678B9D" w14:textId="77777777" w:rsidR="00480344" w:rsidRDefault="00480344" w:rsidP="00AA4009">
            <w:pPr>
              <w:spacing w:before="120" w:after="120"/>
            </w:pPr>
            <w:r>
              <w:t>Draft</w:t>
            </w:r>
          </w:p>
        </w:tc>
        <w:tc>
          <w:tcPr>
            <w:tcW w:w="1204" w:type="dxa"/>
          </w:tcPr>
          <w:p w14:paraId="3863F24F" w14:textId="0CD0CBC2" w:rsidR="00480344" w:rsidRDefault="00167403" w:rsidP="00AA4009">
            <w:pPr>
              <w:spacing w:before="120" w:after="120"/>
            </w:pPr>
            <w:r>
              <w:t>08</w:t>
            </w:r>
            <w:r w:rsidR="005C7951">
              <w:t>/06/18</w:t>
            </w:r>
          </w:p>
        </w:tc>
        <w:tc>
          <w:tcPr>
            <w:tcW w:w="1203" w:type="dxa"/>
          </w:tcPr>
          <w:p w14:paraId="6D53864E" w14:textId="77777777" w:rsidR="00480344" w:rsidRDefault="00A27163" w:rsidP="00AA4009">
            <w:pPr>
              <w:spacing w:before="120" w:after="120"/>
            </w:pPr>
            <w:r>
              <w:t>S. Annett</w:t>
            </w:r>
          </w:p>
          <w:p w14:paraId="385454B9" w14:textId="77777777" w:rsidR="00A27163" w:rsidRDefault="00A27163" w:rsidP="00AA4009">
            <w:pPr>
              <w:spacing w:before="120" w:after="120"/>
            </w:pPr>
            <w:r>
              <w:t>S. Drum</w:t>
            </w:r>
          </w:p>
          <w:p w14:paraId="164316C0" w14:textId="50581DD8" w:rsidR="00A27163" w:rsidRDefault="00662620" w:rsidP="00AA4009">
            <w:pPr>
              <w:spacing w:before="120" w:after="120"/>
            </w:pPr>
            <w:r>
              <w:t>C. Feniu</w:t>
            </w:r>
            <w:r w:rsidR="00A27163">
              <w:t>k</w:t>
            </w:r>
          </w:p>
        </w:tc>
        <w:tc>
          <w:tcPr>
            <w:tcW w:w="1204" w:type="dxa"/>
          </w:tcPr>
          <w:p w14:paraId="26CC798D" w14:textId="2F370793" w:rsidR="00480344" w:rsidRDefault="003D68AC" w:rsidP="00AA4009">
            <w:pPr>
              <w:spacing w:before="120" w:after="120"/>
            </w:pPr>
            <w:r>
              <w:t>S. Annett</w:t>
            </w:r>
          </w:p>
        </w:tc>
        <w:tc>
          <w:tcPr>
            <w:tcW w:w="1204" w:type="dxa"/>
          </w:tcPr>
          <w:p w14:paraId="0D5FD9BD" w14:textId="4C5BDDBE" w:rsidR="00480344" w:rsidRDefault="00167403" w:rsidP="00AA4009">
            <w:pPr>
              <w:spacing w:before="120" w:after="120"/>
            </w:pPr>
            <w:r>
              <w:t>P. Mawson</w:t>
            </w:r>
          </w:p>
        </w:tc>
        <w:tc>
          <w:tcPr>
            <w:tcW w:w="1204" w:type="dxa"/>
          </w:tcPr>
          <w:p w14:paraId="3130CE06" w14:textId="0E7609A6" w:rsidR="00480344" w:rsidRDefault="003D68AC" w:rsidP="00AA4009">
            <w:pPr>
              <w:spacing w:before="120" w:after="120"/>
            </w:pPr>
            <w:r>
              <w:t>S. Annett</w:t>
            </w:r>
          </w:p>
        </w:tc>
        <w:tc>
          <w:tcPr>
            <w:tcW w:w="1204" w:type="dxa"/>
          </w:tcPr>
          <w:p w14:paraId="385C9605" w14:textId="1C8C4230" w:rsidR="00480344" w:rsidRDefault="003D68AC" w:rsidP="00AA4009">
            <w:pPr>
              <w:spacing w:before="120" w:after="120"/>
            </w:pPr>
            <w:r>
              <w:t>Catie Pidgeon</w:t>
            </w:r>
          </w:p>
        </w:tc>
      </w:tr>
      <w:tr w:rsidR="00662620" w14:paraId="02FB91E4" w14:textId="77777777" w:rsidTr="00662620">
        <w:tc>
          <w:tcPr>
            <w:tcW w:w="1202" w:type="dxa"/>
          </w:tcPr>
          <w:p w14:paraId="780307CC" w14:textId="318B41DD" w:rsidR="00662620" w:rsidRDefault="00662620" w:rsidP="00662620">
            <w:pPr>
              <w:spacing w:before="120" w:after="120"/>
            </w:pPr>
            <w:r>
              <w:t>1.0</w:t>
            </w:r>
          </w:p>
        </w:tc>
        <w:tc>
          <w:tcPr>
            <w:tcW w:w="1203" w:type="dxa"/>
          </w:tcPr>
          <w:p w14:paraId="274F11B3" w14:textId="4AEBB51B" w:rsidR="00662620" w:rsidRDefault="00662620" w:rsidP="00662620">
            <w:pPr>
              <w:spacing w:before="120" w:after="120"/>
            </w:pPr>
            <w:r>
              <w:t>Final</w:t>
            </w:r>
          </w:p>
        </w:tc>
        <w:tc>
          <w:tcPr>
            <w:tcW w:w="1204" w:type="dxa"/>
          </w:tcPr>
          <w:p w14:paraId="1F66CBC8" w14:textId="23C7FF41" w:rsidR="00662620" w:rsidRDefault="00662620" w:rsidP="00662620">
            <w:pPr>
              <w:spacing w:before="120" w:after="120"/>
            </w:pPr>
            <w:r>
              <w:t>27/06/18</w:t>
            </w:r>
          </w:p>
        </w:tc>
        <w:tc>
          <w:tcPr>
            <w:tcW w:w="1203" w:type="dxa"/>
          </w:tcPr>
          <w:p w14:paraId="6DBDD7ED" w14:textId="77777777" w:rsidR="00662620" w:rsidRDefault="00662620" w:rsidP="00662620">
            <w:pPr>
              <w:spacing w:before="120" w:after="120"/>
            </w:pPr>
            <w:r>
              <w:t>S. Annett</w:t>
            </w:r>
          </w:p>
          <w:p w14:paraId="27119C3B" w14:textId="77777777" w:rsidR="00662620" w:rsidRDefault="00662620" w:rsidP="00662620">
            <w:pPr>
              <w:spacing w:before="120" w:after="120"/>
            </w:pPr>
            <w:r>
              <w:t>S. Drum</w:t>
            </w:r>
          </w:p>
          <w:p w14:paraId="45A483A2" w14:textId="69A34418" w:rsidR="00662620" w:rsidRDefault="00662620" w:rsidP="00662620">
            <w:pPr>
              <w:spacing w:before="120" w:after="120"/>
            </w:pPr>
            <w:r>
              <w:t>C. Feniuk</w:t>
            </w:r>
          </w:p>
        </w:tc>
        <w:tc>
          <w:tcPr>
            <w:tcW w:w="1204" w:type="dxa"/>
          </w:tcPr>
          <w:p w14:paraId="535ABEBC" w14:textId="3778438E" w:rsidR="00662620" w:rsidRDefault="00662620" w:rsidP="00662620">
            <w:pPr>
              <w:spacing w:before="120" w:after="120"/>
            </w:pPr>
            <w:r>
              <w:t>S. Annett</w:t>
            </w:r>
          </w:p>
        </w:tc>
        <w:tc>
          <w:tcPr>
            <w:tcW w:w="1204" w:type="dxa"/>
          </w:tcPr>
          <w:p w14:paraId="5B5406D1" w14:textId="1ED3398D" w:rsidR="00662620" w:rsidRDefault="008662BA" w:rsidP="00662620">
            <w:pPr>
              <w:spacing w:before="120" w:after="120"/>
            </w:pPr>
            <w:r>
              <w:t>H. Buck</w:t>
            </w:r>
          </w:p>
        </w:tc>
        <w:tc>
          <w:tcPr>
            <w:tcW w:w="1204" w:type="dxa"/>
          </w:tcPr>
          <w:p w14:paraId="41965592" w14:textId="2D40894D" w:rsidR="00662620" w:rsidRDefault="00662620" w:rsidP="00662620">
            <w:pPr>
              <w:spacing w:before="120" w:after="120"/>
            </w:pPr>
            <w:r>
              <w:t>S. Annett</w:t>
            </w:r>
          </w:p>
        </w:tc>
        <w:tc>
          <w:tcPr>
            <w:tcW w:w="1204" w:type="dxa"/>
          </w:tcPr>
          <w:p w14:paraId="3F5D8D1E" w14:textId="406E2CDC" w:rsidR="00662620" w:rsidRDefault="00662620" w:rsidP="00662620">
            <w:pPr>
              <w:spacing w:before="120" w:after="120"/>
            </w:pPr>
            <w:r>
              <w:t>Liz Turner</w:t>
            </w:r>
          </w:p>
        </w:tc>
      </w:tr>
    </w:tbl>
    <w:p w14:paraId="192D9087" w14:textId="77777777" w:rsidR="00480344" w:rsidRDefault="00480344" w:rsidP="00480344"/>
    <w:p w14:paraId="040E4A83" w14:textId="77777777" w:rsidR="00480344" w:rsidRPr="00480344" w:rsidRDefault="00480344" w:rsidP="00480344"/>
    <w:p w14:paraId="334D314C" w14:textId="77777777" w:rsidR="00033BC8" w:rsidRDefault="00033BC8" w:rsidP="00033BC8"/>
    <w:p w14:paraId="336902CF" w14:textId="77777777" w:rsidR="0049743E" w:rsidRDefault="0049743E" w:rsidP="00033BC8"/>
    <w:p w14:paraId="007D0A94" w14:textId="77777777" w:rsidR="00662620" w:rsidRDefault="00662620"/>
    <w:sectPr w:rsidR="00662620" w:rsidSect="00B2261D">
      <w:footerReference w:type="default" r:id="rId25"/>
      <w:pgSz w:w="11906" w:h="16838" w:code="9"/>
      <w:pgMar w:top="1134" w:right="1134" w:bottom="1966" w:left="1134" w:header="680" w:footer="680"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1042">
      <wne:macro wne:macroName="TEMPLATEPROJECT.MODHOTKEYS.SHORTCUTBOLD"/>
    </wne:keymap>
    <wne:keymap wne:kcmPrimary="1043">
      <wne:macro wne:macroName="TEMPLATEPROJECT.MODHOTKEYS.RUNCOPY"/>
    </wne:keymap>
    <wne:keymap wne:kcmPrimary="1049">
      <wne:macro wne:macroName="TEMPLATEPROJECT.MODHOTKEYS.SHORTCUTITALIC"/>
    </wne:keymap>
    <wne:keymap wne:kcmPrimary="1055">
      <wne:macro wne:macroName="TEMPLATEPROJECT.MODHOTKEYS.SHORTCUTUNDERLINE"/>
    </wne:keymap>
    <wne:keymap wne:kcmPrimary="1056">
      <wne:macro wne:macroName="TEMPLATEPROJECT.MODHOTKEYS.RUNPASTE"/>
    </wne:keymap>
    <wne:keymap wne:kcmPrimary="1058">
      <wne:macro wne:macroName="TEMPLATEPROJECT.MODHOTKEYS.RUNCU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1A37B8" w14:textId="77777777" w:rsidR="00A36B87" w:rsidRPr="000D4EDE" w:rsidRDefault="00A36B87" w:rsidP="000D4EDE">
      <w:r>
        <w:separator/>
      </w:r>
    </w:p>
    <w:p w14:paraId="61D855A0" w14:textId="77777777" w:rsidR="00A36B87" w:rsidRDefault="00A36B87"/>
  </w:endnote>
  <w:endnote w:type="continuationSeparator" w:id="0">
    <w:p w14:paraId="639178A0" w14:textId="77777777" w:rsidR="00A36B87" w:rsidRPr="000D4EDE" w:rsidRDefault="00A36B87" w:rsidP="000D4EDE">
      <w:r>
        <w:continuationSeparator/>
      </w:r>
    </w:p>
    <w:p w14:paraId="5ECD7926" w14:textId="77777777" w:rsidR="00A36B87" w:rsidRDefault="00A36B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02AB4" w14:textId="77777777" w:rsidR="00DF1F81" w:rsidRDefault="00DF1F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7CDC9" w14:textId="77777777" w:rsidR="00DF1F81" w:rsidRDefault="00DF1F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45AC8" w14:textId="53DFAD01" w:rsidR="00D010F9" w:rsidRPr="0049743E" w:rsidRDefault="00D010F9" w:rsidP="008630C3">
    <w:pPr>
      <w:pStyle w:val="Footer"/>
    </w:pPr>
    <w:r>
      <w:rPr>
        <w:noProof/>
      </w:rPr>
      <w:fldChar w:fldCharType="begin"/>
    </w:r>
    <w:r>
      <w:rPr>
        <w:noProof/>
      </w:rPr>
      <w:instrText xml:space="preserve"> STYLEREF  Title  \* MERGEFORMAT </w:instrText>
    </w:r>
    <w:r>
      <w:rPr>
        <w:noProof/>
      </w:rPr>
      <w:fldChar w:fldCharType="separate"/>
    </w:r>
    <w:r>
      <w:rPr>
        <w:noProof/>
      </w:rPr>
      <w:t>Regional Land Partnerships Evaluation Plan</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Pr>
        <w:noProof/>
      </w:rPr>
      <w:t>3</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87FDE" w14:textId="68E345A0" w:rsidR="00D010F9" w:rsidRPr="0049743E" w:rsidRDefault="00D010F9" w:rsidP="0049743E">
    <w:pPr>
      <w:pStyle w:val="Footer"/>
    </w:pPr>
    <w:r>
      <w:rPr>
        <w:noProof/>
      </w:rPr>
      <w:fldChar w:fldCharType="begin"/>
    </w:r>
    <w:r>
      <w:rPr>
        <w:noProof/>
      </w:rPr>
      <w:instrText xml:space="preserve"> STYLEREF  Title  \* MERGEFORMAT </w:instrText>
    </w:r>
    <w:r>
      <w:rPr>
        <w:noProof/>
      </w:rPr>
      <w:fldChar w:fldCharType="separate"/>
    </w:r>
    <w:r w:rsidR="00DF1F81">
      <w:rPr>
        <w:noProof/>
      </w:rPr>
      <w:t>Regional Land Partnerships Evaluation Plan</w:t>
    </w:r>
    <w:r>
      <w:rPr>
        <w:noProof/>
      </w:rPr>
      <w:fldChar w:fldCharType="end"/>
    </w:r>
    <w:r>
      <w:rPr>
        <w:noProof/>
      </w:rPr>
      <w:ptab w:relativeTo="margin" w:alignment="right" w:leader="none"/>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ED05B" w14:textId="198F9F50" w:rsidR="00D010F9" w:rsidRPr="0049743E" w:rsidRDefault="00D010F9" w:rsidP="008630C3">
    <w:pPr>
      <w:pStyle w:val="Footer"/>
    </w:pPr>
    <w:r>
      <w:rPr>
        <w:noProof/>
      </w:rPr>
      <w:fldChar w:fldCharType="begin"/>
    </w:r>
    <w:r>
      <w:rPr>
        <w:noProof/>
      </w:rPr>
      <w:instrText xml:space="preserve"> STYLEREF  Title  \* MERGEFORMAT </w:instrText>
    </w:r>
    <w:r>
      <w:rPr>
        <w:noProof/>
      </w:rPr>
      <w:fldChar w:fldCharType="separate"/>
    </w:r>
    <w:r>
      <w:rPr>
        <w:noProof/>
      </w:rPr>
      <w:t>Regional Land Partnerships Evaluation Plan</w:t>
    </w:r>
    <w:r>
      <w:rPr>
        <w:noProof/>
      </w:rPr>
      <w:fldChar w:fldCharType="end"/>
    </w:r>
    <w:r>
      <w:rPr>
        <w:noProof/>
      </w:rPr>
      <w:ptab w:relativeTo="margin" w:alignment="right" w:leader="none"/>
    </w:r>
    <w:r>
      <w:rPr>
        <w:noProof/>
      </w:rPr>
      <w:fldChar w:fldCharType="begin"/>
    </w:r>
    <w:r>
      <w:rPr>
        <w:noProof/>
      </w:rPr>
      <w:instrText xml:space="preserve"> PAGE  \* roman  \* MERGEFORMAT </w:instrText>
    </w:r>
    <w:r>
      <w:rPr>
        <w:noProof/>
      </w:rPr>
      <w:fldChar w:fldCharType="separate"/>
    </w:r>
    <w:r>
      <w:rPr>
        <w:noProof/>
      </w:rPr>
      <w:t>iii</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B2953" w14:textId="0FB9DAEC" w:rsidR="00D010F9" w:rsidRPr="0049743E" w:rsidRDefault="00D010F9" w:rsidP="00F04E47">
    <w:pPr>
      <w:pStyle w:val="Footer"/>
    </w:pPr>
    <w:r>
      <w:rPr>
        <w:noProof/>
      </w:rPr>
      <w:fldChar w:fldCharType="begin"/>
    </w:r>
    <w:r>
      <w:rPr>
        <w:noProof/>
      </w:rPr>
      <w:instrText xml:space="preserve"> STYLEREF  Title  \* MERGEFORMAT </w:instrText>
    </w:r>
    <w:r>
      <w:rPr>
        <w:noProof/>
      </w:rPr>
      <w:fldChar w:fldCharType="separate"/>
    </w:r>
    <w:r w:rsidR="00DF1F81">
      <w:rPr>
        <w:noProof/>
      </w:rPr>
      <w:t>Regional Land Partnerships Evaluation Plan</w:t>
    </w:r>
    <w:r>
      <w:rPr>
        <w:noProof/>
      </w:rPr>
      <w:fldChar w:fldCharType="end"/>
    </w:r>
    <w:r>
      <w:rPr>
        <w:noProof/>
      </w:rPr>
      <w:ptab w:relativeTo="margin" w:alignment="right" w:leader="none"/>
    </w:r>
    <w:r>
      <w:rPr>
        <w:noProof/>
      </w:rPr>
      <w:fldChar w:fldCharType="begin"/>
    </w:r>
    <w:r>
      <w:rPr>
        <w:noProof/>
      </w:rPr>
      <w:instrText xml:space="preserve"> PAGE  \* Arabic  \* MERGEFORMAT </w:instrText>
    </w:r>
    <w:r>
      <w:rPr>
        <w:noProof/>
      </w:rPr>
      <w:fldChar w:fldCharType="separate"/>
    </w:r>
    <w:r w:rsidR="00DF1F81">
      <w:rPr>
        <w:noProof/>
      </w:rPr>
      <w:t>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69CB2" w14:textId="085C808A" w:rsidR="008662BA" w:rsidRPr="0049743E" w:rsidRDefault="008662BA" w:rsidP="00F04E47">
    <w:pPr>
      <w:pStyle w:val="Footer"/>
    </w:pPr>
    <w:r>
      <w:rPr>
        <w:noProof/>
      </w:rPr>
      <w:fldChar w:fldCharType="begin"/>
    </w:r>
    <w:r>
      <w:rPr>
        <w:noProof/>
      </w:rPr>
      <w:instrText xml:space="preserve"> STYLEREF  Title  \* MERGEFORMAT </w:instrText>
    </w:r>
    <w:r>
      <w:rPr>
        <w:noProof/>
      </w:rPr>
      <w:fldChar w:fldCharType="separate"/>
    </w:r>
    <w:r w:rsidR="00DF1F81">
      <w:rPr>
        <w:noProof/>
      </w:rPr>
      <w:t>Regional Land Partnerships Evaluation Plan</w:t>
    </w:r>
    <w:r>
      <w:rPr>
        <w:noProof/>
      </w:rPr>
      <w:fldChar w:fldCharType="end"/>
    </w:r>
    <w:r>
      <w:rPr>
        <w:noProof/>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64E124" w14:textId="77777777" w:rsidR="00A36B87" w:rsidRPr="000D4EDE" w:rsidRDefault="00A36B87" w:rsidP="000D4EDE">
      <w:r>
        <w:separator/>
      </w:r>
    </w:p>
  </w:footnote>
  <w:footnote w:type="continuationSeparator" w:id="0">
    <w:p w14:paraId="09EB5A60" w14:textId="77777777" w:rsidR="00A36B87" w:rsidRPr="000D4EDE" w:rsidRDefault="00A36B87" w:rsidP="000D4E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BC301" w14:textId="77777777" w:rsidR="00DF1F81" w:rsidRDefault="00DF1F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35B7B" w14:textId="77777777" w:rsidR="00D010F9" w:rsidRDefault="00D010F9" w:rsidP="0040572D">
    <w:pPr>
      <w:pStyle w:val="Header"/>
    </w:pPr>
    <w:r w:rsidRPr="00AB44C2">
      <w:rPr>
        <w:noProof/>
        <w:lang w:eastAsia="en-AU"/>
      </w:rPr>
      <w:drawing>
        <wp:anchor distT="0" distB="0" distL="114300" distR="114300" simplePos="0" relativeHeight="251663360" behindDoc="1" locked="0" layoutInCell="1" allowOverlap="1" wp14:anchorId="3473C62E" wp14:editId="588690FA">
          <wp:simplePos x="0" y="0"/>
          <wp:positionH relativeFrom="page">
            <wp:posOffset>616</wp:posOffset>
          </wp:positionH>
          <wp:positionV relativeFrom="page">
            <wp:posOffset>0</wp:posOffset>
          </wp:positionV>
          <wp:extent cx="7558768" cy="10692000"/>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7292E9D" w14:textId="77777777" w:rsidR="00D010F9" w:rsidRDefault="00D010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C5A2A" w14:textId="77777777" w:rsidR="00DF1F81" w:rsidRDefault="00DF1F8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055A0" w14:textId="77777777" w:rsidR="00D010F9" w:rsidRPr="0040572D" w:rsidRDefault="00D010F9" w:rsidP="0040572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4124A" w14:textId="77777777" w:rsidR="00D010F9" w:rsidRDefault="00D010F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C7882" w14:textId="77777777" w:rsidR="00D010F9" w:rsidRPr="0040572D" w:rsidRDefault="00D010F9" w:rsidP="004057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9"/>
    <w:multiLevelType w:val="singleLevel"/>
    <w:tmpl w:val="E3A015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983867"/>
    <w:multiLevelType w:val="multilevel"/>
    <w:tmpl w:val="074C4194"/>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E1E23EE"/>
    <w:multiLevelType w:val="multilevel"/>
    <w:tmpl w:val="992E0F54"/>
    <w:styleLink w:val="CustomHeadingList"/>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F0A6A75"/>
    <w:multiLevelType w:val="multilevel"/>
    <w:tmpl w:val="DFDC7920"/>
    <w:styleLink w:val="General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2F66B45"/>
    <w:multiLevelType w:val="multilevel"/>
    <w:tmpl w:val="BD2E26E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3813BF8"/>
    <w:multiLevelType w:val="hybridMultilevel"/>
    <w:tmpl w:val="D15C2F7E"/>
    <w:lvl w:ilvl="0" w:tplc="0612424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6C3831"/>
    <w:multiLevelType w:val="hybridMultilevel"/>
    <w:tmpl w:val="B9C8CCF6"/>
    <w:lvl w:ilvl="0" w:tplc="7F4E79E8">
      <w:start w:val="1"/>
      <w:numFmt w:val="bullet"/>
      <w:pStyle w:val="BodyBullet1"/>
      <w:lvlText w:val=""/>
      <w:lvlJc w:val="left"/>
      <w:pPr>
        <w:ind w:left="1077" w:hanging="360"/>
      </w:pPr>
      <w:rPr>
        <w:rFonts w:ascii="Wingdings" w:hAnsi="Wingdings"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8" w15:restartNumberingAfterBreak="0">
    <w:nsid w:val="2B62043E"/>
    <w:multiLevelType w:val="hybridMultilevel"/>
    <w:tmpl w:val="F0105380"/>
    <w:lvl w:ilvl="0" w:tplc="4C245C40">
      <w:start w:val="1"/>
      <w:numFmt w:val="bullet"/>
      <w:lvlText w:val=""/>
      <w:lvlJc w:val="left"/>
      <w:pPr>
        <w:ind w:left="1791"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9" w15:restartNumberingAfterBreak="0">
    <w:nsid w:val="2D4F791F"/>
    <w:multiLevelType w:val="hybridMultilevel"/>
    <w:tmpl w:val="F1C24B26"/>
    <w:lvl w:ilvl="0" w:tplc="678E1022">
      <w:start w:val="1"/>
      <w:numFmt w:val="bullet"/>
      <w:pStyle w:val="BodyBullet2"/>
      <w:lvlText w:val=""/>
      <w:lvlJc w:val="left"/>
      <w:pPr>
        <w:ind w:left="1077"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3A8E1857"/>
    <w:multiLevelType w:val="multilevel"/>
    <w:tmpl w:val="D366A19E"/>
    <w:lvl w:ilvl="0">
      <w:start w:val="1"/>
      <w:numFmt w:val="bullet"/>
      <w:lvlText w:val=""/>
      <w:lvlJc w:val="left"/>
      <w:pPr>
        <w:ind w:left="720" w:hanging="360"/>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AFD3033"/>
    <w:multiLevelType w:val="hybridMultilevel"/>
    <w:tmpl w:val="A4500C50"/>
    <w:lvl w:ilvl="0" w:tplc="9ECA17B8">
      <w:start w:val="1"/>
      <w:numFmt w:val="lowerLetter"/>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F148C1"/>
    <w:multiLevelType w:val="multilevel"/>
    <w:tmpl w:val="79D202E0"/>
    <w:lvl w:ilvl="0">
      <w:start w:val="1"/>
      <w:numFmt w:val="bullet"/>
      <w:pStyle w:val="ListBullet3"/>
      <w:lvlText w:val=""/>
      <w:lvlJc w:val="left"/>
      <w:pPr>
        <w:ind w:left="1080" w:hanging="360"/>
      </w:pPr>
      <w:rPr>
        <w:rFonts w:ascii="Symbol" w:hAnsi="Symbol" w:hint="default"/>
        <w:color w:val="203145"/>
      </w:rPr>
    </w:lvl>
    <w:lvl w:ilvl="1">
      <w:start w:val="1"/>
      <w:numFmt w:val="bullet"/>
      <w:lvlText w:val="-"/>
      <w:lvlJc w:val="left"/>
      <w:pPr>
        <w:ind w:left="720" w:hanging="363"/>
      </w:pPr>
      <w:rPr>
        <w:rFonts w:ascii="Courier New" w:hAnsi="Courier New" w:hint="default"/>
        <w:color w:val="203145"/>
      </w:rPr>
    </w:lvl>
    <w:lvl w:ilvl="2">
      <w:start w:val="1"/>
      <w:numFmt w:val="bullet"/>
      <w:pStyle w:val="ListBullet3"/>
      <w:lvlText w:val="-"/>
      <w:lvlJc w:val="left"/>
      <w:pPr>
        <w:ind w:left="1077" w:hanging="357"/>
      </w:pPr>
      <w:rPr>
        <w:rFonts w:ascii="Arial" w:hAnsi="Arial" w:hint="default"/>
        <w:color w:val="203145"/>
      </w:rPr>
    </w:lvl>
    <w:lvl w:ilvl="3">
      <w:start w:val="1"/>
      <w:numFmt w:val="bullet"/>
      <w:pStyle w:val="ListBullet4"/>
      <w:lvlText w:val=""/>
      <w:lvlJc w:val="left"/>
      <w:pPr>
        <w:tabs>
          <w:tab w:val="num" w:pos="227"/>
        </w:tabs>
        <w:ind w:left="227" w:hanging="114"/>
      </w:pPr>
      <w:rPr>
        <w:rFonts w:ascii="Wingdings" w:hAnsi="Wingdings" w:hint="default"/>
        <w:color w:val="FFFFFF" w:themeColor="background1"/>
      </w:rPr>
    </w:lvl>
    <w:lvl w:ilvl="4">
      <w:start w:val="1"/>
      <w:numFmt w:val="bullet"/>
      <w:pStyle w:val="ListBullet5"/>
      <w:lvlText w:val="-"/>
      <w:lvlJc w:val="left"/>
      <w:pPr>
        <w:tabs>
          <w:tab w:val="num" w:pos="340"/>
        </w:tabs>
        <w:ind w:left="340" w:hanging="136"/>
      </w:pPr>
      <w:rPr>
        <w:rFonts w:ascii="Courier New" w:hAnsi="Courier New" w:hint="default"/>
        <w:b/>
        <w:i w:val="0"/>
        <w:color w:val="FFFFFF" w:themeColor="background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A0445F4"/>
    <w:multiLevelType w:val="multilevel"/>
    <w:tmpl w:val="09009A9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decimal"/>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4" w15:restartNumberingAfterBreak="0">
    <w:nsid w:val="4EEA3D40"/>
    <w:multiLevelType w:val="hybridMultilevel"/>
    <w:tmpl w:val="201C5D38"/>
    <w:lvl w:ilvl="0" w:tplc="D93ECCFC">
      <w:start w:val="1"/>
      <w:numFmt w:val="lowerRoman"/>
      <w:pStyle w:val="RomanNumeral"/>
      <w:lvlText w:val="%1."/>
      <w:lvlJc w:val="left"/>
      <w:pPr>
        <w:ind w:left="357" w:firstLine="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426B28"/>
    <w:multiLevelType w:val="multilevel"/>
    <w:tmpl w:val="88E67880"/>
    <w:styleLink w:val="MultiLevelheadinglist"/>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6" w15:restartNumberingAfterBreak="0">
    <w:nsid w:val="6E690083"/>
    <w:multiLevelType w:val="multilevel"/>
    <w:tmpl w:val="350A4C38"/>
    <w:lvl w:ilvl="0">
      <w:start w:val="1"/>
      <w:numFmt w:val="bullet"/>
      <w:pStyle w:val="ListBullet"/>
      <w:lvlText w:val=""/>
      <w:lvlJc w:val="left"/>
      <w:pPr>
        <w:tabs>
          <w:tab w:val="num" w:pos="357"/>
        </w:tabs>
        <w:ind w:left="357" w:hanging="357"/>
      </w:pPr>
      <w:rPr>
        <w:rFonts w:ascii="Wingdings" w:hAnsi="Wingdings" w:hint="default"/>
      </w:rPr>
    </w:lvl>
    <w:lvl w:ilvl="1">
      <w:start w:val="1"/>
      <w:numFmt w:val="bullet"/>
      <w:lvlText w:val="-"/>
      <w:lvlJc w:val="left"/>
      <w:pPr>
        <w:tabs>
          <w:tab w:val="num" w:pos="720"/>
        </w:tabs>
        <w:ind w:left="720" w:hanging="363"/>
      </w:pPr>
      <w:rPr>
        <w:rFonts w:ascii="Courier New" w:hAnsi="Courier New" w:hint="default"/>
      </w:rPr>
    </w:lvl>
    <w:lvl w:ilvl="2">
      <w:start w:val="1"/>
      <w:numFmt w:val="bullet"/>
      <w:lvlText w:val="-"/>
      <w:lvlJc w:val="left"/>
      <w:pPr>
        <w:tabs>
          <w:tab w:val="num" w:pos="1077"/>
        </w:tabs>
        <w:ind w:left="1077" w:hanging="357"/>
      </w:pPr>
      <w:rPr>
        <w:rFonts w:ascii="Courier New" w:hAnsi="Courier New" w:hint="default"/>
      </w:rPr>
    </w:lvl>
    <w:lvl w:ilvl="3">
      <w:start w:val="1"/>
      <w:numFmt w:val="bullet"/>
      <w:lvlText w:val=""/>
      <w:lvlJc w:val="left"/>
      <w:pPr>
        <w:ind w:left="3237" w:hanging="360"/>
      </w:pPr>
      <w:rPr>
        <w:rFonts w:ascii="Symbol" w:hAnsi="Symbol" w:hint="default"/>
      </w:rPr>
    </w:lvl>
    <w:lvl w:ilvl="4">
      <w:start w:val="1"/>
      <w:numFmt w:val="bullet"/>
      <w:lvlText w:val="o"/>
      <w:lvlJc w:val="left"/>
      <w:pPr>
        <w:ind w:left="3957" w:hanging="360"/>
      </w:pPr>
      <w:rPr>
        <w:rFonts w:ascii="Courier New" w:hAnsi="Courier New" w:cs="Courier New" w:hint="default"/>
      </w:rPr>
    </w:lvl>
    <w:lvl w:ilvl="5">
      <w:start w:val="1"/>
      <w:numFmt w:val="bullet"/>
      <w:lvlText w:val=""/>
      <w:lvlJc w:val="left"/>
      <w:pPr>
        <w:ind w:left="4677" w:hanging="360"/>
      </w:pPr>
      <w:rPr>
        <w:rFonts w:ascii="Wingdings" w:hAnsi="Wingdings" w:hint="default"/>
      </w:rPr>
    </w:lvl>
    <w:lvl w:ilvl="6">
      <w:start w:val="1"/>
      <w:numFmt w:val="bullet"/>
      <w:lvlText w:val=""/>
      <w:lvlJc w:val="left"/>
      <w:pPr>
        <w:ind w:left="5397" w:hanging="360"/>
      </w:pPr>
      <w:rPr>
        <w:rFonts w:ascii="Symbol" w:hAnsi="Symbol" w:hint="default"/>
      </w:rPr>
    </w:lvl>
    <w:lvl w:ilvl="7">
      <w:start w:val="1"/>
      <w:numFmt w:val="bullet"/>
      <w:lvlText w:val="o"/>
      <w:lvlJc w:val="left"/>
      <w:pPr>
        <w:ind w:left="6117" w:hanging="360"/>
      </w:pPr>
      <w:rPr>
        <w:rFonts w:ascii="Courier New" w:hAnsi="Courier New" w:cs="Courier New" w:hint="default"/>
      </w:rPr>
    </w:lvl>
    <w:lvl w:ilvl="8">
      <w:start w:val="1"/>
      <w:numFmt w:val="bullet"/>
      <w:lvlText w:val=""/>
      <w:lvlJc w:val="left"/>
      <w:pPr>
        <w:ind w:left="6837" w:hanging="360"/>
      </w:pPr>
      <w:rPr>
        <w:rFonts w:ascii="Wingdings" w:hAnsi="Wingdings" w:hint="default"/>
      </w:rPr>
    </w:lvl>
  </w:abstractNum>
  <w:abstractNum w:abstractNumId="17" w15:restartNumberingAfterBreak="0">
    <w:nsid w:val="6F7A6C31"/>
    <w:multiLevelType w:val="hybridMultilevel"/>
    <w:tmpl w:val="D1D2FA52"/>
    <w:lvl w:ilvl="0" w:tplc="ABECF378">
      <w:start w:val="1"/>
      <w:numFmt w:val="lowerRoman"/>
      <w:lvlText w:val="%1."/>
      <w:lvlJc w:val="left"/>
      <w:pPr>
        <w:ind w:left="357" w:hanging="3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91140E"/>
    <w:multiLevelType w:val="multilevel"/>
    <w:tmpl w:val="1D886326"/>
    <w:lvl w:ilvl="0">
      <w:start w:val="1"/>
      <w:numFmt w:val="bullet"/>
      <w:lvlText w:val=""/>
      <w:lvlJc w:val="left"/>
      <w:pPr>
        <w:tabs>
          <w:tab w:val="num" w:pos="-31680"/>
        </w:tabs>
        <w:ind w:left="357" w:hanging="357"/>
      </w:pPr>
      <w:rPr>
        <w:rFonts w:ascii="Wingdings" w:hAnsi="Wingdings" w:hint="default"/>
      </w:rPr>
    </w:lvl>
    <w:lvl w:ilvl="1">
      <w:start w:val="1"/>
      <w:numFmt w:val="bullet"/>
      <w:lvlText w:val="-"/>
      <w:lvlJc w:val="left"/>
      <w:pPr>
        <w:tabs>
          <w:tab w:val="num" w:pos="357"/>
        </w:tabs>
        <w:ind w:left="720" w:hanging="363"/>
      </w:pPr>
      <w:rPr>
        <w:rFonts w:ascii="Courier New" w:hAnsi="Courier New" w:hint="default"/>
      </w:rPr>
    </w:lvl>
    <w:lvl w:ilvl="2">
      <w:start w:val="1"/>
      <w:numFmt w:val="bullet"/>
      <w:lvlText w:val="-"/>
      <w:lvlJc w:val="left"/>
      <w:pPr>
        <w:tabs>
          <w:tab w:val="num" w:pos="720"/>
        </w:tabs>
        <w:ind w:left="1077" w:hanging="357"/>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352502B"/>
    <w:multiLevelType w:val="hybridMultilevel"/>
    <w:tmpl w:val="A330D634"/>
    <w:lvl w:ilvl="0" w:tplc="ADAA0736">
      <w:start w:val="1"/>
      <w:numFmt w:val="bullet"/>
      <w:pStyle w:val="ListBullet2"/>
      <w:lvlText w:val=""/>
      <w:lvlJc w:val="left"/>
      <w:pPr>
        <w:ind w:left="143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C86876"/>
    <w:multiLevelType w:val="hybridMultilevel"/>
    <w:tmpl w:val="84CE50D2"/>
    <w:lvl w:ilvl="0" w:tplc="43FA4D7C">
      <w:start w:val="1"/>
      <w:numFmt w:val="lowerLetter"/>
      <w:pStyle w:val="LetterBullet"/>
      <w:lvlText w:val="%1)"/>
      <w:lvlJc w:val="left"/>
      <w:pPr>
        <w:ind w:left="357" w:hanging="35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6D23E6"/>
    <w:multiLevelType w:val="multilevel"/>
    <w:tmpl w:val="FF76E984"/>
    <w:lvl w:ilvl="0">
      <w:start w:val="1"/>
      <w:numFmt w:val="bullet"/>
      <w:pStyle w:val="TableBulletShadedTable"/>
      <w:lvlText w:val="▪"/>
      <w:lvlJc w:val="left"/>
      <w:pPr>
        <w:tabs>
          <w:tab w:val="num" w:pos="357"/>
        </w:tabs>
        <w:ind w:left="357" w:hanging="357"/>
      </w:pPr>
      <w:rPr>
        <w:rFonts w:ascii="Calibri" w:hAnsi="Calibri" w:hint="default"/>
      </w:rPr>
    </w:lvl>
    <w:lvl w:ilvl="1">
      <w:start w:val="1"/>
      <w:numFmt w:val="bullet"/>
      <w:pStyle w:val="TableBullet"/>
      <w:lvlText w:val="▪"/>
      <w:lvlJc w:val="left"/>
      <w:pPr>
        <w:tabs>
          <w:tab w:val="num" w:pos="357"/>
        </w:tabs>
        <w:ind w:left="357" w:hanging="249"/>
      </w:pPr>
      <w:rPr>
        <w:rFonts w:ascii="Calibri" w:hAnsi="Calibri"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3"/>
  </w:num>
  <w:num w:numId="4">
    <w:abstractNumId w:val="15"/>
  </w:num>
  <w:num w:numId="5">
    <w:abstractNumId w:val="0"/>
  </w:num>
  <w:num w:numId="6">
    <w:abstractNumId w:val="4"/>
  </w:num>
  <w:num w:numId="7">
    <w:abstractNumId w:val="3"/>
  </w:num>
  <w:num w:numId="8">
    <w:abstractNumId w:val="2"/>
  </w:num>
  <w:num w:numId="9">
    <w:abstractNumId w:val="21"/>
  </w:num>
  <w:num w:numId="10">
    <w:abstractNumId w:val="12"/>
  </w:num>
  <w:num w:numId="11">
    <w:abstractNumId w:val="19"/>
  </w:num>
  <w:num w:numId="12">
    <w:abstractNumId w:val="16"/>
  </w:num>
  <w:num w:numId="13">
    <w:abstractNumId w:val="14"/>
  </w:num>
  <w:num w:numId="14">
    <w:abstractNumId w:val="20"/>
  </w:num>
  <w:num w:numId="15">
    <w:abstractNumId w:val="5"/>
  </w:num>
  <w:num w:numId="16">
    <w:abstractNumId w:val="6"/>
  </w:num>
  <w:num w:numId="17">
    <w:abstractNumId w:val="8"/>
  </w:num>
  <w:num w:numId="18">
    <w:abstractNumId w:val="17"/>
  </w:num>
  <w:num w:numId="19">
    <w:abstractNumId w:val="11"/>
  </w:num>
  <w:num w:numId="20">
    <w:abstractNumId w:val="18"/>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5"/>
  </w:num>
  <w:num w:numId="30">
    <w:abstractNumId w:val="5"/>
  </w:num>
  <w:num w:numId="31">
    <w:abstractNumId w:val="5"/>
  </w:num>
  <w:num w:numId="32">
    <w:abstractNumId w:val="1"/>
  </w:num>
  <w:num w:numId="33">
    <w:abstractNumId w:val="5"/>
  </w:num>
  <w:num w:numId="34">
    <w:abstractNumId w:val="5"/>
  </w:num>
  <w:num w:numId="35">
    <w:abstractNumId w:val="5"/>
  </w:num>
  <w:num w:numId="36">
    <w:abstractNumId w:val="5"/>
  </w:num>
  <w:num w:numId="37">
    <w:abstractNumId w:val="5"/>
  </w:num>
  <w:num w:numId="38">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formatting="1" w:enforcement="0"/>
  <w:styleLockTheme/>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D17"/>
    <w:rsid w:val="00003E0B"/>
    <w:rsid w:val="00004000"/>
    <w:rsid w:val="00005D98"/>
    <w:rsid w:val="00011C96"/>
    <w:rsid w:val="00023FF2"/>
    <w:rsid w:val="00033BC8"/>
    <w:rsid w:val="00034A19"/>
    <w:rsid w:val="00035F51"/>
    <w:rsid w:val="00036F9E"/>
    <w:rsid w:val="000413B3"/>
    <w:rsid w:val="00043FED"/>
    <w:rsid w:val="00044CA9"/>
    <w:rsid w:val="00047FCE"/>
    <w:rsid w:val="000515AF"/>
    <w:rsid w:val="000638F7"/>
    <w:rsid w:val="00084F8B"/>
    <w:rsid w:val="00086F71"/>
    <w:rsid w:val="000949AD"/>
    <w:rsid w:val="00095109"/>
    <w:rsid w:val="00096B0F"/>
    <w:rsid w:val="000A490E"/>
    <w:rsid w:val="000B63CA"/>
    <w:rsid w:val="000B752A"/>
    <w:rsid w:val="000C14D9"/>
    <w:rsid w:val="000C3781"/>
    <w:rsid w:val="000D37E9"/>
    <w:rsid w:val="000D4EDE"/>
    <w:rsid w:val="000D64C4"/>
    <w:rsid w:val="000E2121"/>
    <w:rsid w:val="000E370C"/>
    <w:rsid w:val="000E43AC"/>
    <w:rsid w:val="000F0F30"/>
    <w:rsid w:val="000F74C0"/>
    <w:rsid w:val="001072C1"/>
    <w:rsid w:val="001147CF"/>
    <w:rsid w:val="00121DD2"/>
    <w:rsid w:val="0012330E"/>
    <w:rsid w:val="00123576"/>
    <w:rsid w:val="00123BF5"/>
    <w:rsid w:val="00124B21"/>
    <w:rsid w:val="00125C92"/>
    <w:rsid w:val="00126B56"/>
    <w:rsid w:val="001327B8"/>
    <w:rsid w:val="0013457C"/>
    <w:rsid w:val="0013471B"/>
    <w:rsid w:val="0013495D"/>
    <w:rsid w:val="00135F6F"/>
    <w:rsid w:val="00153E9E"/>
    <w:rsid w:val="0015788B"/>
    <w:rsid w:val="00157C98"/>
    <w:rsid w:val="00160277"/>
    <w:rsid w:val="0016440A"/>
    <w:rsid w:val="001653B6"/>
    <w:rsid w:val="001664C3"/>
    <w:rsid w:val="00167403"/>
    <w:rsid w:val="00172DDE"/>
    <w:rsid w:val="00173C1E"/>
    <w:rsid w:val="00174B0F"/>
    <w:rsid w:val="001774B3"/>
    <w:rsid w:val="0018235E"/>
    <w:rsid w:val="00185668"/>
    <w:rsid w:val="00186CAD"/>
    <w:rsid w:val="001A4959"/>
    <w:rsid w:val="001A7899"/>
    <w:rsid w:val="001B2DB7"/>
    <w:rsid w:val="001B3C29"/>
    <w:rsid w:val="001B4B7E"/>
    <w:rsid w:val="001B6745"/>
    <w:rsid w:val="001C4BD3"/>
    <w:rsid w:val="001D161E"/>
    <w:rsid w:val="001D296F"/>
    <w:rsid w:val="001D47A7"/>
    <w:rsid w:val="001E0F51"/>
    <w:rsid w:val="001E368A"/>
    <w:rsid w:val="001E5178"/>
    <w:rsid w:val="001E5246"/>
    <w:rsid w:val="001E55BF"/>
    <w:rsid w:val="001F3C12"/>
    <w:rsid w:val="001F6E1A"/>
    <w:rsid w:val="001F780A"/>
    <w:rsid w:val="001F7917"/>
    <w:rsid w:val="00200613"/>
    <w:rsid w:val="00200C5C"/>
    <w:rsid w:val="0020632F"/>
    <w:rsid w:val="00216EB8"/>
    <w:rsid w:val="00217214"/>
    <w:rsid w:val="002211DF"/>
    <w:rsid w:val="00221AEB"/>
    <w:rsid w:val="00225529"/>
    <w:rsid w:val="00240126"/>
    <w:rsid w:val="002406CD"/>
    <w:rsid w:val="002433BA"/>
    <w:rsid w:val="00244311"/>
    <w:rsid w:val="00244E3B"/>
    <w:rsid w:val="00247ACA"/>
    <w:rsid w:val="002501AE"/>
    <w:rsid w:val="00252E6A"/>
    <w:rsid w:val="002536D0"/>
    <w:rsid w:val="0025782A"/>
    <w:rsid w:val="002661A6"/>
    <w:rsid w:val="00266C23"/>
    <w:rsid w:val="002704A1"/>
    <w:rsid w:val="00271EAA"/>
    <w:rsid w:val="002865BF"/>
    <w:rsid w:val="00286EAD"/>
    <w:rsid w:val="00287699"/>
    <w:rsid w:val="00290D16"/>
    <w:rsid w:val="0029389B"/>
    <w:rsid w:val="002A36F2"/>
    <w:rsid w:val="002A3EDF"/>
    <w:rsid w:val="002A7D14"/>
    <w:rsid w:val="002B28E4"/>
    <w:rsid w:val="002B2C9E"/>
    <w:rsid w:val="002B5038"/>
    <w:rsid w:val="002B7504"/>
    <w:rsid w:val="002C0D97"/>
    <w:rsid w:val="002C4A25"/>
    <w:rsid w:val="002C7065"/>
    <w:rsid w:val="002C7F4A"/>
    <w:rsid w:val="002D2804"/>
    <w:rsid w:val="002D4B6C"/>
    <w:rsid w:val="002E0282"/>
    <w:rsid w:val="002F0123"/>
    <w:rsid w:val="002F0C2C"/>
    <w:rsid w:val="002F6E58"/>
    <w:rsid w:val="00300655"/>
    <w:rsid w:val="00300F88"/>
    <w:rsid w:val="00303D18"/>
    <w:rsid w:val="00307ADD"/>
    <w:rsid w:val="003130CA"/>
    <w:rsid w:val="003258B3"/>
    <w:rsid w:val="00332944"/>
    <w:rsid w:val="00333D89"/>
    <w:rsid w:val="003367AE"/>
    <w:rsid w:val="0033787D"/>
    <w:rsid w:val="003413E0"/>
    <w:rsid w:val="00341D17"/>
    <w:rsid w:val="00361CB8"/>
    <w:rsid w:val="00362ADA"/>
    <w:rsid w:val="00371F54"/>
    <w:rsid w:val="00374BD0"/>
    <w:rsid w:val="0038039F"/>
    <w:rsid w:val="00383A95"/>
    <w:rsid w:val="003A3021"/>
    <w:rsid w:val="003A4193"/>
    <w:rsid w:val="003B3CBB"/>
    <w:rsid w:val="003B6E16"/>
    <w:rsid w:val="003C180A"/>
    <w:rsid w:val="003C1E25"/>
    <w:rsid w:val="003C377E"/>
    <w:rsid w:val="003C57A1"/>
    <w:rsid w:val="003D1B0A"/>
    <w:rsid w:val="003D27CB"/>
    <w:rsid w:val="003D68AC"/>
    <w:rsid w:val="003E6BF6"/>
    <w:rsid w:val="003E775C"/>
    <w:rsid w:val="003F0BC5"/>
    <w:rsid w:val="003F0F0D"/>
    <w:rsid w:val="0040173E"/>
    <w:rsid w:val="00402698"/>
    <w:rsid w:val="0040572D"/>
    <w:rsid w:val="0040646A"/>
    <w:rsid w:val="00414CE0"/>
    <w:rsid w:val="004266EB"/>
    <w:rsid w:val="00426BD1"/>
    <w:rsid w:val="004310FE"/>
    <w:rsid w:val="00431616"/>
    <w:rsid w:val="00431AAB"/>
    <w:rsid w:val="004405B3"/>
    <w:rsid w:val="00442C95"/>
    <w:rsid w:val="0044447D"/>
    <w:rsid w:val="00446349"/>
    <w:rsid w:val="004477A9"/>
    <w:rsid w:val="00460251"/>
    <w:rsid w:val="004616E9"/>
    <w:rsid w:val="00463FA8"/>
    <w:rsid w:val="00467E70"/>
    <w:rsid w:val="0047321C"/>
    <w:rsid w:val="00480344"/>
    <w:rsid w:val="00486660"/>
    <w:rsid w:val="004875AA"/>
    <w:rsid w:val="00490CD4"/>
    <w:rsid w:val="00494335"/>
    <w:rsid w:val="00496535"/>
    <w:rsid w:val="004967A1"/>
    <w:rsid w:val="00497332"/>
    <w:rsid w:val="0049743E"/>
    <w:rsid w:val="004A349C"/>
    <w:rsid w:val="004B08F9"/>
    <w:rsid w:val="004B1FF9"/>
    <w:rsid w:val="004B4C61"/>
    <w:rsid w:val="004B584E"/>
    <w:rsid w:val="004B5F49"/>
    <w:rsid w:val="004B611B"/>
    <w:rsid w:val="004B673E"/>
    <w:rsid w:val="004C0BDD"/>
    <w:rsid w:val="004C1106"/>
    <w:rsid w:val="004C6D4B"/>
    <w:rsid w:val="004D7C66"/>
    <w:rsid w:val="004E0B13"/>
    <w:rsid w:val="004E19B6"/>
    <w:rsid w:val="004E1B98"/>
    <w:rsid w:val="004E2269"/>
    <w:rsid w:val="004E3209"/>
    <w:rsid w:val="004E447A"/>
    <w:rsid w:val="004E6E12"/>
    <w:rsid w:val="004F3A81"/>
    <w:rsid w:val="00501FFF"/>
    <w:rsid w:val="00503A51"/>
    <w:rsid w:val="00506B9C"/>
    <w:rsid w:val="00512309"/>
    <w:rsid w:val="00523C8E"/>
    <w:rsid w:val="00534D5F"/>
    <w:rsid w:val="00542522"/>
    <w:rsid w:val="0054526E"/>
    <w:rsid w:val="00546498"/>
    <w:rsid w:val="00546632"/>
    <w:rsid w:val="005476B5"/>
    <w:rsid w:val="00551778"/>
    <w:rsid w:val="00553540"/>
    <w:rsid w:val="0056158E"/>
    <w:rsid w:val="00573BC8"/>
    <w:rsid w:val="005769FB"/>
    <w:rsid w:val="0058372D"/>
    <w:rsid w:val="00583EF6"/>
    <w:rsid w:val="00584AEA"/>
    <w:rsid w:val="00585ABD"/>
    <w:rsid w:val="005926EE"/>
    <w:rsid w:val="005A3F63"/>
    <w:rsid w:val="005A4BEB"/>
    <w:rsid w:val="005B073E"/>
    <w:rsid w:val="005B227F"/>
    <w:rsid w:val="005B7801"/>
    <w:rsid w:val="005C0CCC"/>
    <w:rsid w:val="005C1E48"/>
    <w:rsid w:val="005C5891"/>
    <w:rsid w:val="005C691E"/>
    <w:rsid w:val="005C7035"/>
    <w:rsid w:val="005C7951"/>
    <w:rsid w:val="005D1A84"/>
    <w:rsid w:val="005D371A"/>
    <w:rsid w:val="005D4581"/>
    <w:rsid w:val="005D5BFB"/>
    <w:rsid w:val="005D5FAE"/>
    <w:rsid w:val="005E6CD1"/>
    <w:rsid w:val="005F29B7"/>
    <w:rsid w:val="005F5170"/>
    <w:rsid w:val="005F6AF6"/>
    <w:rsid w:val="00602B4B"/>
    <w:rsid w:val="0060524E"/>
    <w:rsid w:val="00606EB5"/>
    <w:rsid w:val="006073C2"/>
    <w:rsid w:val="00607B8A"/>
    <w:rsid w:val="00617FDA"/>
    <w:rsid w:val="0062116F"/>
    <w:rsid w:val="0062400B"/>
    <w:rsid w:val="006251E2"/>
    <w:rsid w:val="00626B98"/>
    <w:rsid w:val="0063009E"/>
    <w:rsid w:val="00634E4C"/>
    <w:rsid w:val="00636B8B"/>
    <w:rsid w:val="006427FE"/>
    <w:rsid w:val="00643879"/>
    <w:rsid w:val="00644F69"/>
    <w:rsid w:val="006506C1"/>
    <w:rsid w:val="00650711"/>
    <w:rsid w:val="00654D47"/>
    <w:rsid w:val="00654FFE"/>
    <w:rsid w:val="00657189"/>
    <w:rsid w:val="0065747A"/>
    <w:rsid w:val="006615B5"/>
    <w:rsid w:val="00661CF6"/>
    <w:rsid w:val="00662620"/>
    <w:rsid w:val="0066641C"/>
    <w:rsid w:val="0066674D"/>
    <w:rsid w:val="00666A78"/>
    <w:rsid w:val="00674A69"/>
    <w:rsid w:val="00676121"/>
    <w:rsid w:val="00680283"/>
    <w:rsid w:val="0069375D"/>
    <w:rsid w:val="0069407C"/>
    <w:rsid w:val="0069574E"/>
    <w:rsid w:val="006A2289"/>
    <w:rsid w:val="006A2808"/>
    <w:rsid w:val="006A6195"/>
    <w:rsid w:val="006C27BE"/>
    <w:rsid w:val="006D0EC0"/>
    <w:rsid w:val="006D0EDF"/>
    <w:rsid w:val="006D15EE"/>
    <w:rsid w:val="006E01B4"/>
    <w:rsid w:val="006E0F93"/>
    <w:rsid w:val="006E1E20"/>
    <w:rsid w:val="006E2469"/>
    <w:rsid w:val="006F145A"/>
    <w:rsid w:val="006F27CB"/>
    <w:rsid w:val="006F5865"/>
    <w:rsid w:val="00705233"/>
    <w:rsid w:val="00705927"/>
    <w:rsid w:val="00714905"/>
    <w:rsid w:val="007247E3"/>
    <w:rsid w:val="00724CD8"/>
    <w:rsid w:val="007303DE"/>
    <w:rsid w:val="007405AC"/>
    <w:rsid w:val="007439EB"/>
    <w:rsid w:val="00744E53"/>
    <w:rsid w:val="007506F3"/>
    <w:rsid w:val="007519BC"/>
    <w:rsid w:val="007541B0"/>
    <w:rsid w:val="00755163"/>
    <w:rsid w:val="00755EFE"/>
    <w:rsid w:val="00756AAB"/>
    <w:rsid w:val="00757F63"/>
    <w:rsid w:val="007601CF"/>
    <w:rsid w:val="007645AE"/>
    <w:rsid w:val="00764992"/>
    <w:rsid w:val="00764EF9"/>
    <w:rsid w:val="00775AA0"/>
    <w:rsid w:val="00775C8F"/>
    <w:rsid w:val="00794417"/>
    <w:rsid w:val="007B474A"/>
    <w:rsid w:val="007B75A4"/>
    <w:rsid w:val="007C08B1"/>
    <w:rsid w:val="007C2CC2"/>
    <w:rsid w:val="007C79AA"/>
    <w:rsid w:val="007D369F"/>
    <w:rsid w:val="007E0A78"/>
    <w:rsid w:val="007E525D"/>
    <w:rsid w:val="007F5C8A"/>
    <w:rsid w:val="007F75B9"/>
    <w:rsid w:val="00800EF6"/>
    <w:rsid w:val="008011CE"/>
    <w:rsid w:val="008053CE"/>
    <w:rsid w:val="00813A6E"/>
    <w:rsid w:val="008154B5"/>
    <w:rsid w:val="00820BB5"/>
    <w:rsid w:val="0082392D"/>
    <w:rsid w:val="00831F1F"/>
    <w:rsid w:val="00845843"/>
    <w:rsid w:val="008461BC"/>
    <w:rsid w:val="00846D34"/>
    <w:rsid w:val="00851CF6"/>
    <w:rsid w:val="008561B0"/>
    <w:rsid w:val="008630C3"/>
    <w:rsid w:val="008637EC"/>
    <w:rsid w:val="008662BA"/>
    <w:rsid w:val="00870BC6"/>
    <w:rsid w:val="00873E57"/>
    <w:rsid w:val="0088036D"/>
    <w:rsid w:val="00881386"/>
    <w:rsid w:val="00885A14"/>
    <w:rsid w:val="0088689B"/>
    <w:rsid w:val="008868D9"/>
    <w:rsid w:val="00890FA0"/>
    <w:rsid w:val="00893938"/>
    <w:rsid w:val="008947BF"/>
    <w:rsid w:val="008A214D"/>
    <w:rsid w:val="008A6B37"/>
    <w:rsid w:val="008A72D2"/>
    <w:rsid w:val="008B6410"/>
    <w:rsid w:val="008B6868"/>
    <w:rsid w:val="008C6A43"/>
    <w:rsid w:val="008D080C"/>
    <w:rsid w:val="008D0E06"/>
    <w:rsid w:val="008D3521"/>
    <w:rsid w:val="008D6494"/>
    <w:rsid w:val="008E6F9E"/>
    <w:rsid w:val="008F33B5"/>
    <w:rsid w:val="00900C21"/>
    <w:rsid w:val="0090503F"/>
    <w:rsid w:val="00906799"/>
    <w:rsid w:val="00906AE5"/>
    <w:rsid w:val="00912D1E"/>
    <w:rsid w:val="00924152"/>
    <w:rsid w:val="00925EF0"/>
    <w:rsid w:val="0093194D"/>
    <w:rsid w:val="00934C3F"/>
    <w:rsid w:val="009417AE"/>
    <w:rsid w:val="00942E56"/>
    <w:rsid w:val="00945B3F"/>
    <w:rsid w:val="00947CB2"/>
    <w:rsid w:val="00952D4C"/>
    <w:rsid w:val="00953AC7"/>
    <w:rsid w:val="009559BE"/>
    <w:rsid w:val="0096085A"/>
    <w:rsid w:val="0096721B"/>
    <w:rsid w:val="00974F0E"/>
    <w:rsid w:val="00975CD7"/>
    <w:rsid w:val="00983B4D"/>
    <w:rsid w:val="00993D91"/>
    <w:rsid w:val="009979F4"/>
    <w:rsid w:val="009A45B2"/>
    <w:rsid w:val="009A6772"/>
    <w:rsid w:val="009D2DDD"/>
    <w:rsid w:val="009E71B6"/>
    <w:rsid w:val="009F0A74"/>
    <w:rsid w:val="009F5209"/>
    <w:rsid w:val="00A01713"/>
    <w:rsid w:val="00A03A1D"/>
    <w:rsid w:val="00A054B9"/>
    <w:rsid w:val="00A0602E"/>
    <w:rsid w:val="00A10DA6"/>
    <w:rsid w:val="00A17994"/>
    <w:rsid w:val="00A20AEE"/>
    <w:rsid w:val="00A21859"/>
    <w:rsid w:val="00A24FD3"/>
    <w:rsid w:val="00A27163"/>
    <w:rsid w:val="00A272DD"/>
    <w:rsid w:val="00A27D4E"/>
    <w:rsid w:val="00A313D1"/>
    <w:rsid w:val="00A32912"/>
    <w:rsid w:val="00A33802"/>
    <w:rsid w:val="00A3510D"/>
    <w:rsid w:val="00A36B87"/>
    <w:rsid w:val="00A37E51"/>
    <w:rsid w:val="00A50887"/>
    <w:rsid w:val="00A511DB"/>
    <w:rsid w:val="00A52B47"/>
    <w:rsid w:val="00A541BD"/>
    <w:rsid w:val="00A569AD"/>
    <w:rsid w:val="00A62AB4"/>
    <w:rsid w:val="00A62D31"/>
    <w:rsid w:val="00A63380"/>
    <w:rsid w:val="00A64102"/>
    <w:rsid w:val="00A70BA2"/>
    <w:rsid w:val="00A715EF"/>
    <w:rsid w:val="00A732C8"/>
    <w:rsid w:val="00A839AA"/>
    <w:rsid w:val="00A92BCB"/>
    <w:rsid w:val="00A97E3B"/>
    <w:rsid w:val="00AA4009"/>
    <w:rsid w:val="00AA40AF"/>
    <w:rsid w:val="00AA41F2"/>
    <w:rsid w:val="00AA4D12"/>
    <w:rsid w:val="00AA5E71"/>
    <w:rsid w:val="00AA7ED3"/>
    <w:rsid w:val="00AB039E"/>
    <w:rsid w:val="00AB44C2"/>
    <w:rsid w:val="00AC50B1"/>
    <w:rsid w:val="00AD7216"/>
    <w:rsid w:val="00AE0E43"/>
    <w:rsid w:val="00AE1C88"/>
    <w:rsid w:val="00AF0510"/>
    <w:rsid w:val="00AF129F"/>
    <w:rsid w:val="00AF5534"/>
    <w:rsid w:val="00AF5618"/>
    <w:rsid w:val="00AF5BE5"/>
    <w:rsid w:val="00B02F54"/>
    <w:rsid w:val="00B075F0"/>
    <w:rsid w:val="00B10798"/>
    <w:rsid w:val="00B12DC9"/>
    <w:rsid w:val="00B13F84"/>
    <w:rsid w:val="00B15ABA"/>
    <w:rsid w:val="00B21C17"/>
    <w:rsid w:val="00B2261D"/>
    <w:rsid w:val="00B301F1"/>
    <w:rsid w:val="00B36B89"/>
    <w:rsid w:val="00B42B2F"/>
    <w:rsid w:val="00B43656"/>
    <w:rsid w:val="00B45EE6"/>
    <w:rsid w:val="00B472E1"/>
    <w:rsid w:val="00B53E47"/>
    <w:rsid w:val="00B644F6"/>
    <w:rsid w:val="00B66A3E"/>
    <w:rsid w:val="00B71170"/>
    <w:rsid w:val="00B75668"/>
    <w:rsid w:val="00B77E3B"/>
    <w:rsid w:val="00B80BCE"/>
    <w:rsid w:val="00B81740"/>
    <w:rsid w:val="00B85D7B"/>
    <w:rsid w:val="00B900EA"/>
    <w:rsid w:val="00B91069"/>
    <w:rsid w:val="00B92842"/>
    <w:rsid w:val="00BB0CD5"/>
    <w:rsid w:val="00BB22FA"/>
    <w:rsid w:val="00BB5ABF"/>
    <w:rsid w:val="00BB7E50"/>
    <w:rsid w:val="00BC5846"/>
    <w:rsid w:val="00BD12A1"/>
    <w:rsid w:val="00BE1DFA"/>
    <w:rsid w:val="00BE3BEF"/>
    <w:rsid w:val="00BF17C6"/>
    <w:rsid w:val="00BF5046"/>
    <w:rsid w:val="00BF6070"/>
    <w:rsid w:val="00BF74D9"/>
    <w:rsid w:val="00C00FDA"/>
    <w:rsid w:val="00C02EB9"/>
    <w:rsid w:val="00C0414E"/>
    <w:rsid w:val="00C04B9E"/>
    <w:rsid w:val="00C04E4B"/>
    <w:rsid w:val="00C0565A"/>
    <w:rsid w:val="00C22896"/>
    <w:rsid w:val="00C34F9F"/>
    <w:rsid w:val="00C4429A"/>
    <w:rsid w:val="00C469A7"/>
    <w:rsid w:val="00C541F9"/>
    <w:rsid w:val="00C62BF5"/>
    <w:rsid w:val="00C636DA"/>
    <w:rsid w:val="00C70D18"/>
    <w:rsid w:val="00C71D1E"/>
    <w:rsid w:val="00C72271"/>
    <w:rsid w:val="00C75755"/>
    <w:rsid w:val="00C8199D"/>
    <w:rsid w:val="00C87DA0"/>
    <w:rsid w:val="00C915EE"/>
    <w:rsid w:val="00C96757"/>
    <w:rsid w:val="00CA3C47"/>
    <w:rsid w:val="00CA6FF9"/>
    <w:rsid w:val="00CA7E07"/>
    <w:rsid w:val="00CB4238"/>
    <w:rsid w:val="00CB6891"/>
    <w:rsid w:val="00CC1A64"/>
    <w:rsid w:val="00CC34EB"/>
    <w:rsid w:val="00CC35FE"/>
    <w:rsid w:val="00CC66EA"/>
    <w:rsid w:val="00CD3393"/>
    <w:rsid w:val="00CD366F"/>
    <w:rsid w:val="00CD3C17"/>
    <w:rsid w:val="00CD7A6F"/>
    <w:rsid w:val="00CE13FD"/>
    <w:rsid w:val="00CE1F9C"/>
    <w:rsid w:val="00CE2E48"/>
    <w:rsid w:val="00CE3BB3"/>
    <w:rsid w:val="00CE5B39"/>
    <w:rsid w:val="00CF7091"/>
    <w:rsid w:val="00CF74B1"/>
    <w:rsid w:val="00D010F9"/>
    <w:rsid w:val="00D021F7"/>
    <w:rsid w:val="00D078A2"/>
    <w:rsid w:val="00D21303"/>
    <w:rsid w:val="00D2178F"/>
    <w:rsid w:val="00D26BB7"/>
    <w:rsid w:val="00D367EB"/>
    <w:rsid w:val="00D45954"/>
    <w:rsid w:val="00D461C2"/>
    <w:rsid w:val="00D4711F"/>
    <w:rsid w:val="00D60388"/>
    <w:rsid w:val="00D61AAE"/>
    <w:rsid w:val="00D63292"/>
    <w:rsid w:val="00D704E3"/>
    <w:rsid w:val="00D71598"/>
    <w:rsid w:val="00DA1C2C"/>
    <w:rsid w:val="00DA4C48"/>
    <w:rsid w:val="00DA727D"/>
    <w:rsid w:val="00DB348E"/>
    <w:rsid w:val="00DB53A7"/>
    <w:rsid w:val="00DC0215"/>
    <w:rsid w:val="00DC2C9E"/>
    <w:rsid w:val="00DC3FB2"/>
    <w:rsid w:val="00DD170F"/>
    <w:rsid w:val="00DE0A8A"/>
    <w:rsid w:val="00DF19B1"/>
    <w:rsid w:val="00DF1F81"/>
    <w:rsid w:val="00DF6BAC"/>
    <w:rsid w:val="00DF6E54"/>
    <w:rsid w:val="00E005C8"/>
    <w:rsid w:val="00E02190"/>
    <w:rsid w:val="00E02B95"/>
    <w:rsid w:val="00E04228"/>
    <w:rsid w:val="00E04457"/>
    <w:rsid w:val="00E04BBC"/>
    <w:rsid w:val="00E07CD0"/>
    <w:rsid w:val="00E13A9D"/>
    <w:rsid w:val="00E159D7"/>
    <w:rsid w:val="00E21653"/>
    <w:rsid w:val="00E21A23"/>
    <w:rsid w:val="00E2414E"/>
    <w:rsid w:val="00E26830"/>
    <w:rsid w:val="00E3328E"/>
    <w:rsid w:val="00E44F2C"/>
    <w:rsid w:val="00E46222"/>
    <w:rsid w:val="00E530C8"/>
    <w:rsid w:val="00E53BED"/>
    <w:rsid w:val="00E55EE5"/>
    <w:rsid w:val="00E5610E"/>
    <w:rsid w:val="00E6048B"/>
    <w:rsid w:val="00E6294B"/>
    <w:rsid w:val="00E67FF3"/>
    <w:rsid w:val="00E724DF"/>
    <w:rsid w:val="00E7257D"/>
    <w:rsid w:val="00E725F0"/>
    <w:rsid w:val="00E728CB"/>
    <w:rsid w:val="00E74E1A"/>
    <w:rsid w:val="00E76F5D"/>
    <w:rsid w:val="00E76F7D"/>
    <w:rsid w:val="00E84A6B"/>
    <w:rsid w:val="00E92385"/>
    <w:rsid w:val="00E96DEA"/>
    <w:rsid w:val="00EA48AE"/>
    <w:rsid w:val="00EA6B2D"/>
    <w:rsid w:val="00EB53B7"/>
    <w:rsid w:val="00EC1E37"/>
    <w:rsid w:val="00ED153C"/>
    <w:rsid w:val="00ED617A"/>
    <w:rsid w:val="00ED76B6"/>
    <w:rsid w:val="00EE0126"/>
    <w:rsid w:val="00EE0A0D"/>
    <w:rsid w:val="00EE0E09"/>
    <w:rsid w:val="00EE7327"/>
    <w:rsid w:val="00EF2A15"/>
    <w:rsid w:val="00EF2BF1"/>
    <w:rsid w:val="00EF5BFD"/>
    <w:rsid w:val="00F04E47"/>
    <w:rsid w:val="00F0721E"/>
    <w:rsid w:val="00F238BC"/>
    <w:rsid w:val="00F32EE0"/>
    <w:rsid w:val="00F348E7"/>
    <w:rsid w:val="00F34D63"/>
    <w:rsid w:val="00F36862"/>
    <w:rsid w:val="00F45082"/>
    <w:rsid w:val="00F51AD0"/>
    <w:rsid w:val="00F52728"/>
    <w:rsid w:val="00F52BB0"/>
    <w:rsid w:val="00F57F7A"/>
    <w:rsid w:val="00F602CC"/>
    <w:rsid w:val="00F62B06"/>
    <w:rsid w:val="00F62E30"/>
    <w:rsid w:val="00F6570B"/>
    <w:rsid w:val="00F67615"/>
    <w:rsid w:val="00F76C98"/>
    <w:rsid w:val="00F76D82"/>
    <w:rsid w:val="00F77442"/>
    <w:rsid w:val="00F775EA"/>
    <w:rsid w:val="00F80238"/>
    <w:rsid w:val="00F804CD"/>
    <w:rsid w:val="00F80750"/>
    <w:rsid w:val="00F85F59"/>
    <w:rsid w:val="00F86717"/>
    <w:rsid w:val="00F86DD4"/>
    <w:rsid w:val="00F92DC0"/>
    <w:rsid w:val="00F9367A"/>
    <w:rsid w:val="00F95A61"/>
    <w:rsid w:val="00FA725C"/>
    <w:rsid w:val="00FB11FB"/>
    <w:rsid w:val="00FB2255"/>
    <w:rsid w:val="00FB4CF2"/>
    <w:rsid w:val="00FB7A79"/>
    <w:rsid w:val="00FC4140"/>
    <w:rsid w:val="00FC6DDF"/>
    <w:rsid w:val="00FC73CA"/>
    <w:rsid w:val="00FC7659"/>
    <w:rsid w:val="00FD06D5"/>
    <w:rsid w:val="00FD74C1"/>
    <w:rsid w:val="00FE3EE8"/>
    <w:rsid w:val="00FE419E"/>
    <w:rsid w:val="00FF2F87"/>
    <w:rsid w:val="00FF6C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334446"/>
  <w15:docId w15:val="{3A8DA086-0196-9D4F-BE0C-6D28AA30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en-AU" w:eastAsia="en-US" w:bidi="ar-SA"/>
      </w:rPr>
    </w:rPrDefault>
    <w:pPrDefault>
      <w:pPr>
        <w:spacing w:after="120"/>
        <w:jc w:val="both"/>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1" w:unhideWhenUsed="1" w:qFormat="1"/>
    <w:lsdException w:name="heading 3" w:semiHidden="1" w:uiPriority="1" w:unhideWhenUsed="1" w:qFormat="1"/>
    <w:lsdException w:name="heading 4" w:locked="0"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unhideWhenUsed="1" w:qFormat="1"/>
    <w:lsdException w:name="List Bullet 3" w:uiPriority="1" w:unhideWhenUsed="1" w:qFormat="1"/>
    <w:lsdException w:name="List Bullet 4" w:uiPriority="21" w:unhideWhenUsed="1" w:qFormat="1"/>
    <w:lsdException w:name="List Bullet 5" w:semiHidden="1" w:uiPriority="21" w:unhideWhenUsed="1" w:qFormat="1"/>
    <w:lsdException w:name="List Number 2" w:uiPriority="1" w:unhideWhenUsed="1" w:qFormat="1"/>
    <w:lsdException w:name="List Number 3" w:uiPriority="20" w:unhideWhenUsed="1" w:qFormat="1"/>
    <w:lsdException w:name="List Number 4" w:uiPriority="20"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aliases w:val="Table Body"/>
    <w:uiPriority w:val="2"/>
    <w:qFormat/>
    <w:rsid w:val="00023FF2"/>
    <w:pPr>
      <w:spacing w:after="0"/>
    </w:pPr>
  </w:style>
  <w:style w:type="paragraph" w:styleId="Heading1">
    <w:name w:val="heading 1"/>
    <w:basedOn w:val="Normal"/>
    <w:next w:val="BodyNormal"/>
    <w:link w:val="Heading1Char"/>
    <w:uiPriority w:val="1"/>
    <w:unhideWhenUsed/>
    <w:qFormat/>
    <w:rsid w:val="00004000"/>
    <w:pPr>
      <w:keepNext/>
      <w:keepLines/>
      <w:numPr>
        <w:numId w:val="15"/>
      </w:numPr>
      <w:spacing w:before="400" w:after="240"/>
      <w:ind w:left="1077" w:hanging="1077"/>
      <w:jc w:val="left"/>
      <w:outlineLvl w:val="0"/>
    </w:pPr>
    <w:rPr>
      <w:rFonts w:ascii="Palatino Linotype" w:eastAsiaTheme="majorEastAsia" w:hAnsi="Palatino Linotype" w:cstheme="majorBidi"/>
      <w:b/>
      <w:bCs/>
      <w:color w:val="203145" w:themeColor="text2"/>
      <w:sz w:val="50"/>
      <w:szCs w:val="28"/>
    </w:rPr>
  </w:style>
  <w:style w:type="paragraph" w:styleId="Heading2">
    <w:name w:val="heading 2"/>
    <w:basedOn w:val="Normal"/>
    <w:next w:val="BodyNormal"/>
    <w:link w:val="Heading2Char"/>
    <w:uiPriority w:val="1"/>
    <w:unhideWhenUsed/>
    <w:qFormat/>
    <w:rsid w:val="00004000"/>
    <w:pPr>
      <w:keepNext/>
      <w:keepLines/>
      <w:numPr>
        <w:ilvl w:val="1"/>
        <w:numId w:val="15"/>
      </w:numPr>
      <w:spacing w:before="400" w:after="240"/>
      <w:jc w:val="left"/>
      <w:outlineLvl w:val="1"/>
    </w:pPr>
    <w:rPr>
      <w:rFonts w:eastAsiaTheme="majorEastAsia" w:cstheme="majorBidi"/>
      <w:b/>
      <w:bCs/>
      <w:caps/>
      <w:color w:val="203145" w:themeColor="text2"/>
      <w:spacing w:val="54"/>
      <w:sz w:val="24"/>
      <w:szCs w:val="26"/>
    </w:rPr>
  </w:style>
  <w:style w:type="paragraph" w:styleId="Heading3">
    <w:name w:val="heading 3"/>
    <w:basedOn w:val="Normal"/>
    <w:next w:val="BodyNormal"/>
    <w:link w:val="Heading3Char"/>
    <w:uiPriority w:val="1"/>
    <w:qFormat/>
    <w:rsid w:val="00004000"/>
    <w:pPr>
      <w:numPr>
        <w:ilvl w:val="2"/>
        <w:numId w:val="15"/>
      </w:numPr>
      <w:spacing w:before="400" w:after="240"/>
      <w:jc w:val="left"/>
      <w:outlineLvl w:val="2"/>
    </w:pPr>
    <w:rPr>
      <w:b/>
      <w:caps/>
      <w:spacing w:val="54"/>
    </w:rPr>
  </w:style>
  <w:style w:type="paragraph" w:styleId="Heading4">
    <w:name w:val="heading 4"/>
    <w:basedOn w:val="Normal"/>
    <w:next w:val="Normal"/>
    <w:link w:val="Heading4Char"/>
    <w:uiPriority w:val="9"/>
    <w:semiHidden/>
    <w:qFormat/>
    <w:rsid w:val="00A541BD"/>
    <w:pPr>
      <w:keepNext/>
      <w:keepLines/>
      <w:numPr>
        <w:ilvl w:val="3"/>
        <w:numId w:val="15"/>
      </w:numPr>
      <w:spacing w:before="113" w:after="57" w:line="216" w:lineRule="atLeast"/>
      <w:outlineLvl w:val="3"/>
    </w:pPr>
    <w:rPr>
      <w:rFonts w:asciiTheme="majorHAnsi" w:eastAsiaTheme="majorEastAsia" w:hAnsiTheme="majorHAnsi" w:cstheme="majorBidi"/>
      <w:b/>
      <w:bCs/>
      <w:iCs/>
      <w:color w:val="203145" w:themeColor="text2"/>
      <w:sz w:val="26"/>
    </w:rPr>
  </w:style>
  <w:style w:type="paragraph" w:styleId="Heading5">
    <w:name w:val="heading 5"/>
    <w:basedOn w:val="Normal"/>
    <w:next w:val="Normal"/>
    <w:link w:val="Heading5Char"/>
    <w:uiPriority w:val="9"/>
    <w:semiHidden/>
    <w:qFormat/>
    <w:locked/>
    <w:rsid w:val="00F80750"/>
    <w:pPr>
      <w:keepNext/>
      <w:keepLines/>
      <w:numPr>
        <w:ilvl w:val="4"/>
        <w:numId w:val="15"/>
      </w:numPr>
      <w:spacing w:before="200"/>
      <w:outlineLvl w:val="4"/>
    </w:pPr>
    <w:rPr>
      <w:rFonts w:asciiTheme="majorHAnsi" w:eastAsiaTheme="majorEastAsia" w:hAnsiTheme="majorHAnsi" w:cstheme="majorBidi"/>
      <w:color w:val="101822" w:themeColor="accent1" w:themeShade="7F"/>
    </w:rPr>
  </w:style>
  <w:style w:type="paragraph" w:styleId="Heading6">
    <w:name w:val="heading 6"/>
    <w:basedOn w:val="Normal"/>
    <w:next w:val="Normal"/>
    <w:link w:val="Heading6Char"/>
    <w:uiPriority w:val="9"/>
    <w:semiHidden/>
    <w:qFormat/>
    <w:locked/>
    <w:rsid w:val="00F57F7A"/>
    <w:pPr>
      <w:keepNext/>
      <w:keepLines/>
      <w:numPr>
        <w:ilvl w:val="5"/>
        <w:numId w:val="15"/>
      </w:numPr>
      <w:spacing w:before="200"/>
      <w:outlineLvl w:val="5"/>
    </w:pPr>
    <w:rPr>
      <w:rFonts w:asciiTheme="majorHAnsi" w:eastAsiaTheme="majorEastAsia" w:hAnsiTheme="majorHAnsi" w:cstheme="majorBidi"/>
      <w:iCs/>
      <w:color w:val="000000" w:themeColor="text1"/>
      <w:sz w:val="36"/>
    </w:rPr>
  </w:style>
  <w:style w:type="paragraph" w:styleId="Heading7">
    <w:name w:val="heading 7"/>
    <w:basedOn w:val="Normal"/>
    <w:next w:val="Normal"/>
    <w:link w:val="Heading7Char"/>
    <w:uiPriority w:val="9"/>
    <w:semiHidden/>
    <w:qFormat/>
    <w:locked/>
    <w:rsid w:val="00F80750"/>
    <w:pPr>
      <w:keepNext/>
      <w:keepLines/>
      <w:numPr>
        <w:ilvl w:val="6"/>
        <w:numId w:val="1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F80750"/>
    <w:pPr>
      <w:keepNext/>
      <w:keepLines/>
      <w:numPr>
        <w:ilvl w:val="7"/>
        <w:numId w:val="15"/>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F80750"/>
    <w:pPr>
      <w:keepNext/>
      <w:keepLines/>
      <w:numPr>
        <w:ilvl w:val="8"/>
        <w:numId w:val="15"/>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23FF2"/>
    <w:rPr>
      <w:rFonts w:ascii="Palatino Linotype" w:eastAsiaTheme="majorEastAsia" w:hAnsi="Palatino Linotype" w:cstheme="majorBidi"/>
      <w:b/>
      <w:bCs/>
      <w:color w:val="203145" w:themeColor="text2"/>
      <w:sz w:val="50"/>
      <w:szCs w:val="28"/>
    </w:rPr>
  </w:style>
  <w:style w:type="character" w:customStyle="1" w:styleId="Heading2Char">
    <w:name w:val="Heading 2 Char"/>
    <w:basedOn w:val="DefaultParagraphFont"/>
    <w:link w:val="Heading2"/>
    <w:uiPriority w:val="1"/>
    <w:rsid w:val="00023FF2"/>
    <w:rPr>
      <w:rFonts w:eastAsiaTheme="majorEastAsia" w:cstheme="majorBidi"/>
      <w:b/>
      <w:bCs/>
      <w:caps/>
      <w:color w:val="203145" w:themeColor="text2"/>
      <w:spacing w:val="54"/>
      <w:sz w:val="24"/>
      <w:szCs w:val="26"/>
    </w:rPr>
  </w:style>
  <w:style w:type="character" w:customStyle="1" w:styleId="Heading3Char">
    <w:name w:val="Heading 3 Char"/>
    <w:basedOn w:val="DefaultParagraphFont"/>
    <w:link w:val="Heading3"/>
    <w:uiPriority w:val="1"/>
    <w:rsid w:val="00023FF2"/>
    <w:rPr>
      <w:b/>
      <w:caps/>
      <w:spacing w:val="54"/>
    </w:rPr>
  </w:style>
  <w:style w:type="paragraph" w:customStyle="1" w:styleId="CoverSubtitle">
    <w:name w:val="Cover Subtitle"/>
    <w:uiPriority w:val="26"/>
    <w:rsid w:val="000D37E9"/>
    <w:pPr>
      <w:suppressAutoHyphens/>
      <w:spacing w:before="500"/>
      <w:jc w:val="left"/>
    </w:pPr>
    <w:rPr>
      <w:rFonts w:ascii="Helvetica" w:hAnsi="Helvetica" w:cs="Helvetica"/>
      <w:color w:val="FFFFFF" w:themeColor="background1"/>
      <w:sz w:val="28"/>
      <w:szCs w:val="28"/>
      <w:lang w:val="en-US"/>
    </w:rPr>
  </w:style>
  <w:style w:type="paragraph" w:customStyle="1" w:styleId="BodyBold">
    <w:name w:val="Body Bold"/>
    <w:basedOn w:val="BodyNormal"/>
    <w:next w:val="BodyNormal"/>
    <w:qFormat/>
    <w:locked/>
    <w:rsid w:val="008D080C"/>
    <w:rPr>
      <w:b/>
    </w:rPr>
  </w:style>
  <w:style w:type="paragraph" w:customStyle="1" w:styleId="BodyBullet1">
    <w:name w:val="Body Bullet 1"/>
    <w:basedOn w:val="Normal"/>
    <w:semiHidden/>
    <w:qFormat/>
    <w:locked/>
    <w:rsid w:val="008A72D2"/>
    <w:pPr>
      <w:numPr>
        <w:numId w:val="1"/>
      </w:numPr>
      <w:spacing w:line="240" w:lineRule="atLeast"/>
      <w:ind w:left="714" w:hanging="357"/>
      <w:contextualSpacing/>
    </w:pPr>
  </w:style>
  <w:style w:type="paragraph" w:customStyle="1" w:styleId="BodyBullet2">
    <w:name w:val="Body Bullet 2"/>
    <w:basedOn w:val="BodyBullet1"/>
    <w:semiHidden/>
    <w:qFormat/>
    <w:locked/>
    <w:rsid w:val="008A72D2"/>
    <w:pPr>
      <w:numPr>
        <w:numId w:val="2"/>
      </w:numPr>
      <w:ind w:hanging="357"/>
    </w:pPr>
  </w:style>
  <w:style w:type="paragraph" w:customStyle="1" w:styleId="SubHeading">
    <w:name w:val="Sub Heading"/>
    <w:next w:val="BodyNormal"/>
    <w:uiPriority w:val="9"/>
    <w:qFormat/>
    <w:rsid w:val="00C541F9"/>
    <w:rPr>
      <w:b/>
      <w:sz w:val="26"/>
    </w:rPr>
  </w:style>
  <w:style w:type="character" w:customStyle="1" w:styleId="BoldCharacter">
    <w:name w:val="Bold Character"/>
    <w:basedOn w:val="DefaultParagraphFont"/>
    <w:qFormat/>
    <w:locked/>
    <w:rsid w:val="003F0F0D"/>
    <w:rPr>
      <w:b/>
      <w:noProof w:val="0"/>
      <w:lang w:val="en-AU"/>
    </w:rPr>
  </w:style>
  <w:style w:type="character" w:customStyle="1" w:styleId="ItalicCharacter">
    <w:name w:val="Italic Character"/>
    <w:basedOn w:val="DefaultParagraphFont"/>
    <w:qFormat/>
    <w:locked/>
    <w:rsid w:val="003F0F0D"/>
    <w:rPr>
      <w:i/>
      <w:noProof w:val="0"/>
      <w:lang w:val="en-AU"/>
    </w:rPr>
  </w:style>
  <w:style w:type="paragraph" w:customStyle="1" w:styleId="Italic">
    <w:name w:val="Italic"/>
    <w:basedOn w:val="BodyNormal"/>
    <w:next w:val="BodyNormal"/>
    <w:qFormat/>
    <w:locked/>
    <w:rsid w:val="008D080C"/>
    <w:rPr>
      <w:i/>
    </w:rPr>
  </w:style>
  <w:style w:type="paragraph" w:customStyle="1" w:styleId="CoverIntroductionText">
    <w:name w:val="Cover Introduction Text"/>
    <w:basedOn w:val="Normal"/>
    <w:uiPriority w:val="26"/>
    <w:rsid w:val="003E6BF6"/>
    <w:pPr>
      <w:spacing w:after="113"/>
    </w:pPr>
    <w:rPr>
      <w:color w:val="000000" w:themeColor="text1"/>
      <w:spacing w:val="-2"/>
    </w:rPr>
  </w:style>
  <w:style w:type="character" w:customStyle="1" w:styleId="Heading4Char">
    <w:name w:val="Heading 4 Char"/>
    <w:basedOn w:val="DefaultParagraphFont"/>
    <w:link w:val="Heading4"/>
    <w:uiPriority w:val="9"/>
    <w:semiHidden/>
    <w:rsid w:val="003B3CBB"/>
    <w:rPr>
      <w:rFonts w:asciiTheme="majorHAnsi" w:eastAsiaTheme="majorEastAsia" w:hAnsiTheme="majorHAnsi" w:cstheme="majorBidi"/>
      <w:b/>
      <w:bCs/>
      <w:iCs/>
      <w:color w:val="203145" w:themeColor="text2"/>
      <w:sz w:val="26"/>
    </w:rPr>
  </w:style>
  <w:style w:type="paragraph" w:styleId="ListBullet">
    <w:name w:val="List Bullet"/>
    <w:qFormat/>
    <w:rsid w:val="004E6E12"/>
    <w:pPr>
      <w:numPr>
        <w:numId w:val="12"/>
      </w:numPr>
      <w:spacing w:before="60" w:after="60" w:line="288" w:lineRule="auto"/>
    </w:pPr>
  </w:style>
  <w:style w:type="paragraph" w:styleId="ListBullet2">
    <w:name w:val="List Bullet 2"/>
    <w:uiPriority w:val="1"/>
    <w:qFormat/>
    <w:rsid w:val="001F3C12"/>
    <w:pPr>
      <w:numPr>
        <w:numId w:val="11"/>
      </w:numPr>
      <w:spacing w:before="60" w:after="60" w:line="288" w:lineRule="auto"/>
      <w:ind w:left="714" w:hanging="357"/>
    </w:pPr>
  </w:style>
  <w:style w:type="paragraph" w:styleId="ListNumber">
    <w:name w:val="List Number"/>
    <w:uiPriority w:val="99"/>
    <w:qFormat/>
    <w:rsid w:val="0090503F"/>
    <w:pPr>
      <w:numPr>
        <w:ilvl w:val="1"/>
        <w:numId w:val="3"/>
      </w:numPr>
      <w:spacing w:before="60" w:after="60" w:line="288" w:lineRule="auto"/>
    </w:pPr>
  </w:style>
  <w:style w:type="paragraph" w:styleId="ListNumber2">
    <w:name w:val="List Number 2"/>
    <w:uiPriority w:val="1"/>
    <w:qFormat/>
    <w:rsid w:val="0090503F"/>
    <w:pPr>
      <w:numPr>
        <w:ilvl w:val="2"/>
        <w:numId w:val="3"/>
      </w:numPr>
      <w:spacing w:before="60" w:after="60" w:line="288" w:lineRule="auto"/>
    </w:pPr>
  </w:style>
  <w:style w:type="numbering" w:customStyle="1" w:styleId="Lists">
    <w:name w:val="Lists"/>
    <w:uiPriority w:val="99"/>
    <w:rsid w:val="00362ADA"/>
    <w:pPr>
      <w:numPr>
        <w:numId w:val="3"/>
      </w:numPr>
    </w:pPr>
  </w:style>
  <w:style w:type="paragraph" w:styleId="ListNumber3">
    <w:name w:val="List Number 3"/>
    <w:basedOn w:val="Normal"/>
    <w:uiPriority w:val="20"/>
    <w:semiHidden/>
    <w:qFormat/>
    <w:rsid w:val="00EA48AE"/>
    <w:pPr>
      <w:numPr>
        <w:ilvl w:val="3"/>
        <w:numId w:val="3"/>
      </w:numPr>
    </w:pPr>
  </w:style>
  <w:style w:type="paragraph" w:styleId="Title">
    <w:name w:val="Title"/>
    <w:next w:val="CoverSubtitle"/>
    <w:link w:val="TitleChar"/>
    <w:uiPriority w:val="25"/>
    <w:rsid w:val="0033787D"/>
    <w:pPr>
      <w:framePr w:w="5387" w:wrap="notBeside" w:vAnchor="text" w:hAnchor="text" w:y="1"/>
      <w:spacing w:after="600"/>
      <w:contextualSpacing/>
      <w:jc w:val="left"/>
    </w:pPr>
    <w:rPr>
      <w:rFonts w:ascii="Palatino Linotype" w:eastAsiaTheme="majorEastAsia" w:hAnsi="Palatino Linotype" w:cstheme="majorBidi"/>
      <w:b/>
      <w:color w:val="FFFFFF" w:themeColor="background1"/>
      <w:sz w:val="60"/>
      <w:szCs w:val="52"/>
    </w:rPr>
  </w:style>
  <w:style w:type="character" w:customStyle="1" w:styleId="TitleChar">
    <w:name w:val="Title Char"/>
    <w:basedOn w:val="DefaultParagraphFont"/>
    <w:link w:val="Title"/>
    <w:uiPriority w:val="25"/>
    <w:rsid w:val="0033787D"/>
    <w:rPr>
      <w:rFonts w:ascii="Palatino Linotype" w:eastAsiaTheme="majorEastAsia" w:hAnsi="Palatino Linotype" w:cstheme="majorBidi"/>
      <w:b/>
      <w:color w:val="FFFFFF" w:themeColor="background1"/>
      <w:sz w:val="60"/>
      <w:szCs w:val="52"/>
    </w:rPr>
  </w:style>
  <w:style w:type="paragraph" w:customStyle="1" w:styleId="AppendixHeading">
    <w:name w:val="Appendix Heading"/>
    <w:basedOn w:val="Heading1"/>
    <w:next w:val="Normal"/>
    <w:semiHidden/>
    <w:qFormat/>
    <w:locked/>
    <w:rsid w:val="00FD06D5"/>
    <w:pPr>
      <w:numPr>
        <w:numId w:val="0"/>
      </w:numPr>
    </w:pPr>
  </w:style>
  <w:style w:type="numbering" w:customStyle="1" w:styleId="MultiLevelheadinglist">
    <w:name w:val="Multi Level heading list"/>
    <w:uiPriority w:val="99"/>
    <w:rsid w:val="00D461C2"/>
    <w:pPr>
      <w:numPr>
        <w:numId w:val="4"/>
      </w:numPr>
    </w:pPr>
  </w:style>
  <w:style w:type="paragraph" w:styleId="TOC1">
    <w:name w:val="toc 1"/>
    <w:basedOn w:val="Normal"/>
    <w:next w:val="Normal"/>
    <w:autoRedefine/>
    <w:uiPriority w:val="39"/>
    <w:rsid w:val="009A6772"/>
    <w:pPr>
      <w:tabs>
        <w:tab w:val="left" w:pos="440"/>
        <w:tab w:val="right" w:pos="9639"/>
      </w:tabs>
      <w:spacing w:before="320" w:after="60"/>
    </w:pPr>
    <w:rPr>
      <w:b/>
      <w:color w:val="203145" w:themeColor="text2"/>
      <w:sz w:val="24"/>
    </w:rPr>
  </w:style>
  <w:style w:type="paragraph" w:styleId="TOCHeading">
    <w:name w:val="TOC Heading"/>
    <w:basedOn w:val="Heading1"/>
    <w:next w:val="BodyNormal"/>
    <w:uiPriority w:val="39"/>
    <w:rsid w:val="00E44F2C"/>
    <w:pPr>
      <w:numPr>
        <w:numId w:val="0"/>
      </w:numPr>
      <w:spacing w:after="1440"/>
      <w:outlineLvl w:val="9"/>
    </w:pPr>
    <w:rPr>
      <w:color w:val="203145"/>
    </w:rPr>
  </w:style>
  <w:style w:type="paragraph" w:styleId="Footer">
    <w:name w:val="footer"/>
    <w:basedOn w:val="Normal"/>
    <w:link w:val="FooterChar"/>
    <w:uiPriority w:val="99"/>
    <w:rsid w:val="00F04E47"/>
    <w:pPr>
      <w:tabs>
        <w:tab w:val="center" w:pos="4513"/>
        <w:tab w:val="right" w:pos="9026"/>
      </w:tabs>
      <w:spacing w:line="200" w:lineRule="exact"/>
    </w:pPr>
    <w:rPr>
      <w:rFonts w:asciiTheme="minorHAnsi" w:hAnsiTheme="minorHAnsi"/>
      <w:caps/>
      <w:spacing w:val="20"/>
      <w:sz w:val="12"/>
    </w:rPr>
  </w:style>
  <w:style w:type="character" w:customStyle="1" w:styleId="FooterChar">
    <w:name w:val="Footer Char"/>
    <w:basedOn w:val="DefaultParagraphFont"/>
    <w:link w:val="Footer"/>
    <w:uiPriority w:val="99"/>
    <w:rsid w:val="00F04E47"/>
    <w:rPr>
      <w:rFonts w:asciiTheme="minorHAnsi" w:hAnsiTheme="minorHAnsi"/>
      <w:caps/>
      <w:spacing w:val="20"/>
      <w:sz w:val="12"/>
    </w:rPr>
  </w:style>
  <w:style w:type="paragraph" w:styleId="ListBullet3">
    <w:name w:val="List Bullet 3"/>
    <w:uiPriority w:val="1"/>
    <w:qFormat/>
    <w:rsid w:val="00125C92"/>
    <w:pPr>
      <w:numPr>
        <w:numId w:val="10"/>
      </w:numPr>
      <w:spacing w:before="60" w:after="60" w:line="288" w:lineRule="auto"/>
      <w:ind w:left="1077" w:hanging="357"/>
    </w:pPr>
  </w:style>
  <w:style w:type="paragraph" w:styleId="ListBullet4">
    <w:name w:val="List Bullet 4"/>
    <w:aliases w:val="Message Bullet 1"/>
    <w:uiPriority w:val="21"/>
    <w:qFormat/>
    <w:rsid w:val="0033787D"/>
    <w:pPr>
      <w:framePr w:w="4678" w:wrap="notBeside" w:vAnchor="text" w:hAnchor="text" w:y="1"/>
      <w:numPr>
        <w:ilvl w:val="3"/>
        <w:numId w:val="10"/>
      </w:numPr>
      <w:pBdr>
        <w:left w:val="single" w:sz="12"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table" w:styleId="TableGrid">
    <w:name w:val="Table Grid"/>
    <w:basedOn w:val="TableNormal"/>
    <w:uiPriority w:val="59"/>
    <w:rsid w:val="00F04E47"/>
    <w:pPr>
      <w:spacing w:before="60" w:after="60" w:line="288" w:lineRule="auto"/>
      <w:ind w:left="108" w:right="108"/>
      <w:jc w:val="left"/>
    </w:pPr>
    <w:rPr>
      <w:sz w:val="18"/>
    </w:rPr>
    <w:tblPr>
      <w:tblBorders>
        <w:top w:val="single" w:sz="4" w:space="0" w:color="8F96A1"/>
        <w:left w:val="single" w:sz="4" w:space="0" w:color="8F96A1"/>
        <w:bottom w:val="single" w:sz="4" w:space="0" w:color="8F96A1"/>
        <w:right w:val="single" w:sz="4" w:space="0" w:color="8F96A1"/>
        <w:insideH w:val="single" w:sz="4" w:space="0" w:color="8F96A1"/>
        <w:insideV w:val="single" w:sz="4" w:space="0" w:color="8F96A1"/>
      </w:tblBorders>
      <w:tblCellMar>
        <w:left w:w="0" w:type="dxa"/>
        <w:right w:w="0" w:type="dxa"/>
      </w:tblCellMar>
    </w:tblPr>
    <w:tblStylePr w:type="firstRow">
      <w:pPr>
        <w:wordWrap/>
        <w:spacing w:beforeLines="0" w:before="120" w:beforeAutospacing="0" w:afterLines="0" w:after="360" w:afterAutospacing="0" w:line="288" w:lineRule="auto"/>
        <w:jc w:val="left"/>
      </w:pPr>
      <w:rPr>
        <w:b/>
        <w:caps/>
        <w:smallCaps w:val="0"/>
        <w:color w:val="FFFFFF" w:themeColor="background1"/>
        <w:spacing w:val="20"/>
        <w:sz w:val="18"/>
      </w:rPr>
      <w:tblPr/>
      <w:tcPr>
        <w:tcBorders>
          <w:top w:val="single" w:sz="4" w:space="0" w:color="203145"/>
          <w:left w:val="single" w:sz="4" w:space="0" w:color="203145"/>
          <w:bottom w:val="single" w:sz="4" w:space="0" w:color="203145"/>
          <w:right w:val="single" w:sz="4" w:space="0" w:color="203145"/>
          <w:insideH w:val="nil"/>
          <w:insideV w:val="single" w:sz="4" w:space="0" w:color="808080" w:themeColor="background1" w:themeShade="80"/>
          <w:tl2br w:val="nil"/>
          <w:tr2bl w:val="nil"/>
        </w:tcBorders>
        <w:shd w:val="clear" w:color="auto" w:fill="203145"/>
      </w:tcPr>
    </w:tblStylePr>
  </w:style>
  <w:style w:type="paragraph" w:styleId="Caption">
    <w:name w:val="caption"/>
    <w:next w:val="Normal"/>
    <w:uiPriority w:val="35"/>
    <w:qFormat/>
    <w:rsid w:val="0033787D"/>
    <w:pPr>
      <w:spacing w:before="80"/>
    </w:pPr>
    <w:rPr>
      <w:b/>
    </w:rPr>
  </w:style>
  <w:style w:type="paragraph" w:styleId="Header">
    <w:name w:val="header"/>
    <w:basedOn w:val="Normal"/>
    <w:link w:val="HeaderChar"/>
    <w:uiPriority w:val="99"/>
    <w:rsid w:val="00755163"/>
    <w:pPr>
      <w:tabs>
        <w:tab w:val="center" w:pos="4513"/>
        <w:tab w:val="right" w:pos="9026"/>
      </w:tabs>
      <w:jc w:val="right"/>
    </w:pPr>
    <w:rPr>
      <w:sz w:val="16"/>
    </w:rPr>
  </w:style>
  <w:style w:type="character" w:customStyle="1" w:styleId="HeaderChar">
    <w:name w:val="Header Char"/>
    <w:basedOn w:val="DefaultParagraphFont"/>
    <w:link w:val="Header"/>
    <w:uiPriority w:val="99"/>
    <w:rsid w:val="00755163"/>
    <w:rPr>
      <w:sz w:val="16"/>
    </w:rPr>
  </w:style>
  <w:style w:type="paragraph" w:styleId="BalloonText">
    <w:name w:val="Balloon Text"/>
    <w:basedOn w:val="Normal"/>
    <w:link w:val="BalloonTextChar"/>
    <w:uiPriority w:val="99"/>
    <w:semiHidden/>
    <w:unhideWhenUsed/>
    <w:locked/>
    <w:rsid w:val="00C636DA"/>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noProof w:val="0"/>
      <w:sz w:val="16"/>
      <w:szCs w:val="16"/>
      <w:lang w:val="en-AU"/>
    </w:rPr>
  </w:style>
  <w:style w:type="character" w:styleId="PlaceholderText">
    <w:name w:val="Placeholder Text"/>
    <w:basedOn w:val="DefaultParagraphFont"/>
    <w:uiPriority w:val="99"/>
    <w:unhideWhenUsed/>
    <w:rsid w:val="003C180A"/>
    <w:rPr>
      <w:noProof w:val="0"/>
      <w:color w:val="000000" w:themeColor="text1"/>
      <w:sz w:val="16"/>
      <w:lang w:val="en-AU"/>
    </w:rPr>
  </w:style>
  <w:style w:type="paragraph" w:customStyle="1" w:styleId="AppendixSubHeading">
    <w:name w:val="Appendix Sub Heading"/>
    <w:basedOn w:val="Heading2"/>
    <w:next w:val="Normal"/>
    <w:semiHidden/>
    <w:qFormat/>
    <w:locked/>
    <w:rsid w:val="00FD06D5"/>
    <w:pPr>
      <w:numPr>
        <w:ilvl w:val="0"/>
        <w:numId w:val="0"/>
      </w:numPr>
    </w:pPr>
  </w:style>
  <w:style w:type="paragraph" w:styleId="ListNumber4">
    <w:name w:val="List Number 4"/>
    <w:basedOn w:val="Normal"/>
    <w:uiPriority w:val="20"/>
    <w:semiHidden/>
    <w:qFormat/>
    <w:rsid w:val="00DA4C48"/>
    <w:pPr>
      <w:numPr>
        <w:ilvl w:val="4"/>
        <w:numId w:val="3"/>
      </w:numPr>
      <w:contextualSpacing/>
    </w:pPr>
  </w:style>
  <w:style w:type="character" w:styleId="Hyperlink">
    <w:name w:val="Hyperlink"/>
    <w:basedOn w:val="DefaultParagraphFont"/>
    <w:uiPriority w:val="99"/>
    <w:rsid w:val="006427FE"/>
    <w:rPr>
      <w:noProof w:val="0"/>
      <w:color w:val="5F5F5F" w:themeColor="hyperlink"/>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203145" w:themeColor="accent1"/>
        <w:left w:val="single" w:sz="2" w:space="10" w:color="203145" w:themeColor="accent1"/>
        <w:bottom w:val="single" w:sz="2" w:space="10" w:color="203145" w:themeColor="accent1"/>
        <w:right w:val="single" w:sz="2" w:space="10" w:color="203145" w:themeColor="accent1"/>
      </w:pBdr>
      <w:ind w:left="1152" w:right="1152"/>
    </w:pPr>
    <w:rPr>
      <w:rFonts w:asciiTheme="minorHAnsi" w:eastAsiaTheme="minorEastAsia" w:hAnsiTheme="minorHAnsi"/>
      <w:i/>
      <w:iCs/>
      <w:color w:val="203145" w:themeColor="accent1"/>
    </w:rPr>
  </w:style>
  <w:style w:type="paragraph" w:styleId="BodyText">
    <w:name w:val="Body Text"/>
    <w:basedOn w:val="Normal"/>
    <w:link w:val="BodyTextChar"/>
    <w:uiPriority w:val="99"/>
    <w:semiHidden/>
    <w:unhideWhenUsed/>
    <w:locked/>
    <w:rsid w:val="00F80750"/>
  </w:style>
  <w:style w:type="character" w:customStyle="1" w:styleId="BodyTextChar">
    <w:name w:val="Body Text Char"/>
    <w:basedOn w:val="DefaultParagraphFont"/>
    <w:link w:val="BodyText"/>
    <w:uiPriority w:val="99"/>
    <w:semiHidden/>
    <w:rsid w:val="00F80750"/>
    <w:rPr>
      <w:noProof w:val="0"/>
      <w:lang w:val="en-AU"/>
    </w:rPr>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rPr>
      <w:noProof w:val="0"/>
      <w:lang w:val="en-AU"/>
    </w:rPr>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noProof w:val="0"/>
      <w:sz w:val="16"/>
      <w:szCs w:val="16"/>
      <w:lang w:val="en-AU"/>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rPr>
      <w:noProof w:val="0"/>
      <w:lang w:val="en-AU"/>
    </w:rPr>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rPr>
      <w:noProof w:val="0"/>
      <w:lang w:val="en-AU"/>
    </w:rPr>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rPr>
      <w:noProof w:val="0"/>
      <w:lang w:val="en-AU"/>
    </w:rPr>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rPr>
      <w:noProof w:val="0"/>
      <w:lang w:val="en-AU"/>
    </w:rPr>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noProof w:val="0"/>
      <w:sz w:val="16"/>
      <w:szCs w:val="16"/>
      <w:lang w:val="en-AU"/>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ind w:left="4252"/>
    </w:pPr>
  </w:style>
  <w:style w:type="character" w:customStyle="1" w:styleId="ClosingChar">
    <w:name w:val="Closing Char"/>
    <w:basedOn w:val="DefaultParagraphFont"/>
    <w:link w:val="Closing"/>
    <w:uiPriority w:val="99"/>
    <w:semiHidden/>
    <w:rsid w:val="00F80750"/>
    <w:rPr>
      <w:noProof w:val="0"/>
      <w:lang w:val="en-AU"/>
    </w:rPr>
  </w:style>
  <w:style w:type="table" w:styleId="ColorfulGrid">
    <w:name w:val="Colorful Grid"/>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C6D4E5" w:themeFill="accent1" w:themeFillTint="33"/>
    </w:tcPr>
    <w:tblStylePr w:type="firstRow">
      <w:rPr>
        <w:b/>
        <w:bCs/>
      </w:rPr>
      <w:tblPr/>
      <w:tcPr>
        <w:shd w:val="clear" w:color="auto" w:fill="8FAACB" w:themeFill="accent1" w:themeFillTint="66"/>
      </w:tcPr>
    </w:tblStylePr>
    <w:tblStylePr w:type="lastRow">
      <w:rPr>
        <w:b/>
        <w:bCs/>
        <w:color w:val="000000" w:themeColor="text1"/>
      </w:rPr>
      <w:tblPr/>
      <w:tcPr>
        <w:shd w:val="clear" w:color="auto" w:fill="8FAACB" w:themeFill="accent1" w:themeFillTint="66"/>
      </w:tcPr>
    </w:tblStylePr>
    <w:tblStylePr w:type="firstCol">
      <w:rPr>
        <w:color w:val="FFFFFF" w:themeColor="background1"/>
      </w:rPr>
      <w:tblPr/>
      <w:tcPr>
        <w:shd w:val="clear" w:color="auto" w:fill="182433" w:themeFill="accent1" w:themeFillShade="BF"/>
      </w:tcPr>
    </w:tblStylePr>
    <w:tblStylePr w:type="lastCol">
      <w:rPr>
        <w:color w:val="FFFFFF" w:themeColor="background1"/>
      </w:rPr>
      <w:tblPr/>
      <w:tcPr>
        <w:shd w:val="clear" w:color="auto" w:fill="182433" w:themeFill="accent1" w:themeFillShade="BF"/>
      </w:tc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ColorfulGrid-Accent2">
    <w:name w:val="Colorful Grid Accent 2"/>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E8E9EC" w:themeFill="accent2" w:themeFillTint="33"/>
    </w:tcPr>
    <w:tblStylePr w:type="firstRow">
      <w:rPr>
        <w:b/>
        <w:bCs/>
      </w:rPr>
      <w:tblPr/>
      <w:tcPr>
        <w:shd w:val="clear" w:color="auto" w:fill="D2D4D9" w:themeFill="accent2" w:themeFillTint="66"/>
      </w:tcPr>
    </w:tblStylePr>
    <w:tblStylePr w:type="lastRow">
      <w:rPr>
        <w:b/>
        <w:bCs/>
        <w:color w:val="000000" w:themeColor="text1"/>
      </w:rPr>
      <w:tblPr/>
      <w:tcPr>
        <w:shd w:val="clear" w:color="auto" w:fill="D2D4D9" w:themeFill="accent2" w:themeFillTint="66"/>
      </w:tcPr>
    </w:tblStylePr>
    <w:tblStylePr w:type="firstCol">
      <w:rPr>
        <w:color w:val="FFFFFF" w:themeColor="background1"/>
      </w:rPr>
      <w:tblPr/>
      <w:tcPr>
        <w:shd w:val="clear" w:color="auto" w:fill="686F7B" w:themeFill="accent2" w:themeFillShade="BF"/>
      </w:tcPr>
    </w:tblStylePr>
    <w:tblStylePr w:type="lastCol">
      <w:rPr>
        <w:color w:val="FFFFFF" w:themeColor="background1"/>
      </w:rPr>
      <w:tblPr/>
      <w:tcPr>
        <w:shd w:val="clear" w:color="auto" w:fill="686F7B" w:themeFill="accent2" w:themeFillShade="BF"/>
      </w:tc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ColorfulGrid-Accent3">
    <w:name w:val="Colorful Grid Accent 3"/>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CEBD2" w:themeFill="accent3" w:themeFillTint="33"/>
    </w:tcPr>
    <w:tblStylePr w:type="firstRow">
      <w:rPr>
        <w:b/>
        <w:bCs/>
      </w:rPr>
      <w:tblPr/>
      <w:tcPr>
        <w:shd w:val="clear" w:color="auto" w:fill="B9D6A6" w:themeFill="accent3" w:themeFillTint="66"/>
      </w:tcPr>
    </w:tblStylePr>
    <w:tblStylePr w:type="lastRow">
      <w:rPr>
        <w:b/>
        <w:bCs/>
        <w:color w:val="000000" w:themeColor="text1"/>
      </w:rPr>
      <w:tblPr/>
      <w:tcPr>
        <w:shd w:val="clear" w:color="auto" w:fill="B9D6A6" w:themeFill="accent3" w:themeFillTint="66"/>
      </w:tcPr>
    </w:tblStylePr>
    <w:tblStylePr w:type="firstCol">
      <w:rPr>
        <w:color w:val="FFFFFF" w:themeColor="background1"/>
      </w:rPr>
      <w:tblPr/>
      <w:tcPr>
        <w:shd w:val="clear" w:color="auto" w:fill="40612C" w:themeFill="accent3" w:themeFillShade="BF"/>
      </w:tcPr>
    </w:tblStylePr>
    <w:tblStylePr w:type="lastCol">
      <w:rPr>
        <w:color w:val="FFFFFF" w:themeColor="background1"/>
      </w:rPr>
      <w:tblPr/>
      <w:tcPr>
        <w:shd w:val="clear" w:color="auto" w:fill="40612C" w:themeFill="accent3" w:themeFillShade="BF"/>
      </w:tc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ColorfulGrid-Accent4">
    <w:name w:val="Colorful Grid Accent 4"/>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FF6DB" w:themeFill="accent4" w:themeFillTint="33"/>
    </w:tcPr>
    <w:tblStylePr w:type="firstRow">
      <w:rPr>
        <w:b/>
        <w:bCs/>
      </w:rPr>
      <w:tblPr/>
      <w:tcPr>
        <w:shd w:val="clear" w:color="auto" w:fill="FFEEB8" w:themeFill="accent4" w:themeFillTint="66"/>
      </w:tcPr>
    </w:tblStylePr>
    <w:tblStylePr w:type="lastRow">
      <w:rPr>
        <w:b/>
        <w:bCs/>
        <w:color w:val="000000" w:themeColor="text1"/>
      </w:rPr>
      <w:tblPr/>
      <w:tcPr>
        <w:shd w:val="clear" w:color="auto" w:fill="FFEEB8" w:themeFill="accent4" w:themeFillTint="66"/>
      </w:tcPr>
    </w:tblStylePr>
    <w:tblStylePr w:type="firstCol">
      <w:rPr>
        <w:color w:val="FFFFFF" w:themeColor="background1"/>
      </w:rPr>
      <w:tblPr/>
      <w:tcPr>
        <w:shd w:val="clear" w:color="auto" w:fill="FABF00" w:themeFill="accent4" w:themeFillShade="BF"/>
      </w:tcPr>
    </w:tblStylePr>
    <w:tblStylePr w:type="lastCol">
      <w:rPr>
        <w:color w:val="FFFFFF" w:themeColor="background1"/>
      </w:rPr>
      <w:tblPr/>
      <w:tcPr>
        <w:shd w:val="clear" w:color="auto" w:fill="FABF00" w:themeFill="accent4" w:themeFillShade="BF"/>
      </w:tc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ColorfulGrid-Accent5">
    <w:name w:val="Colorful Grid Accent 5"/>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F7DED2" w:themeFill="accent5" w:themeFillTint="33"/>
    </w:tcPr>
    <w:tblStylePr w:type="firstRow">
      <w:rPr>
        <w:b/>
        <w:bCs/>
      </w:rPr>
      <w:tblPr/>
      <w:tcPr>
        <w:shd w:val="clear" w:color="auto" w:fill="EFBDA5" w:themeFill="accent5" w:themeFillTint="66"/>
      </w:tcPr>
    </w:tblStylePr>
    <w:tblStylePr w:type="lastRow">
      <w:rPr>
        <w:b/>
        <w:bCs/>
        <w:color w:val="000000" w:themeColor="text1"/>
      </w:rPr>
      <w:tblPr/>
      <w:tcPr>
        <w:shd w:val="clear" w:color="auto" w:fill="EFBDA5" w:themeFill="accent5" w:themeFillTint="66"/>
      </w:tcPr>
    </w:tblStylePr>
    <w:tblStylePr w:type="firstCol">
      <w:rPr>
        <w:color w:val="FFFFFF" w:themeColor="background1"/>
      </w:rPr>
      <w:tblPr/>
      <w:tcPr>
        <w:shd w:val="clear" w:color="auto" w:fill="9E461B" w:themeFill="accent5" w:themeFillShade="BF"/>
      </w:tcPr>
    </w:tblStylePr>
    <w:tblStylePr w:type="lastCol">
      <w:rPr>
        <w:color w:val="FFFFFF" w:themeColor="background1"/>
      </w:rPr>
      <w:tblPr/>
      <w:tcPr>
        <w:shd w:val="clear" w:color="auto" w:fill="9E461B" w:themeFill="accent5" w:themeFillShade="BF"/>
      </w:tc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ColorfulGrid-Accent6">
    <w:name w:val="Colorful Grid Accent 6"/>
    <w:basedOn w:val="TableNormal"/>
    <w:uiPriority w:val="73"/>
    <w:locked/>
    <w:rsid w:val="00F80750"/>
    <w:pPr>
      <w:spacing w:after="0"/>
    </w:pPr>
    <w:rPr>
      <w:color w:val="000000" w:themeColor="text1"/>
    </w:r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F80750"/>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rPr>
      <w:color w:val="000000" w:themeColor="text1"/>
    </w:rPr>
    <w:tblPr>
      <w:tblStyleRowBandSize w:val="1"/>
      <w:tblStyleColBandSize w:val="1"/>
    </w:tblPr>
    <w:tcPr>
      <w:shd w:val="clear" w:color="auto" w:fill="E3EAF2" w:themeFill="accent1"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CADF" w:themeFill="accent1" w:themeFillTint="3F"/>
      </w:tcPr>
    </w:tblStylePr>
    <w:tblStylePr w:type="band1Horz">
      <w:tblPr/>
      <w:tcPr>
        <w:shd w:val="clear" w:color="auto" w:fill="C6D4E5" w:themeFill="accent1" w:themeFillTint="33"/>
      </w:tcPr>
    </w:tblStylePr>
  </w:style>
  <w:style w:type="table" w:styleId="ColorfulList-Accent2">
    <w:name w:val="Colorful List Accent 2"/>
    <w:basedOn w:val="TableNormal"/>
    <w:uiPriority w:val="72"/>
    <w:locked/>
    <w:rsid w:val="00F80750"/>
    <w:pPr>
      <w:spacing w:after="0"/>
    </w:pPr>
    <w:rPr>
      <w:color w:val="000000" w:themeColor="text1"/>
    </w:rPr>
    <w:tblPr>
      <w:tblStyleRowBandSize w:val="1"/>
      <w:tblStyleColBandSize w:val="1"/>
    </w:tblPr>
    <w:tcPr>
      <w:shd w:val="clear" w:color="auto" w:fill="F3F4F5" w:themeFill="accent2" w:themeFillTint="19"/>
    </w:tcPr>
    <w:tblStylePr w:type="firstRow">
      <w:rPr>
        <w:b/>
        <w:bCs/>
        <w:color w:val="FFFFFF" w:themeColor="background1"/>
      </w:rPr>
      <w:tblPr/>
      <w:tcPr>
        <w:tcBorders>
          <w:bottom w:val="single" w:sz="12" w:space="0" w:color="FFFFFF" w:themeColor="background1"/>
        </w:tcBorders>
        <w:shd w:val="clear" w:color="auto" w:fill="6F7784" w:themeFill="accent2" w:themeFillShade="CC"/>
      </w:tcPr>
    </w:tblStylePr>
    <w:tblStylePr w:type="lastRow">
      <w:rPr>
        <w:b/>
        <w:bCs/>
        <w:color w:val="6F778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4E7" w:themeFill="accent2" w:themeFillTint="3F"/>
      </w:tcPr>
    </w:tblStylePr>
    <w:tblStylePr w:type="band1Horz">
      <w:tblPr/>
      <w:tcPr>
        <w:shd w:val="clear" w:color="auto" w:fill="E8E9EC" w:themeFill="accent2" w:themeFillTint="33"/>
      </w:tcPr>
    </w:tblStylePr>
  </w:style>
  <w:style w:type="table" w:styleId="ColorfulList-Accent3">
    <w:name w:val="Colorful List Accent 3"/>
    <w:basedOn w:val="TableNormal"/>
    <w:uiPriority w:val="72"/>
    <w:locked/>
    <w:rsid w:val="00F80750"/>
    <w:pPr>
      <w:spacing w:after="0"/>
    </w:pPr>
    <w:rPr>
      <w:color w:val="000000" w:themeColor="text1"/>
    </w:rPr>
    <w:tblPr>
      <w:tblStyleRowBandSize w:val="1"/>
      <w:tblStyleColBandSize w:val="1"/>
    </w:tblPr>
    <w:tcPr>
      <w:shd w:val="clear" w:color="auto" w:fill="EDF5E9" w:themeFill="accent3" w:themeFillTint="19"/>
    </w:tcPr>
    <w:tblStylePr w:type="firstRow">
      <w:rPr>
        <w:b/>
        <w:bCs/>
        <w:color w:val="FFFFFF" w:themeColor="background1"/>
      </w:rPr>
      <w:tblPr/>
      <w:tcPr>
        <w:tcBorders>
          <w:bottom w:val="single" w:sz="12" w:space="0" w:color="FFFFFF" w:themeColor="background1"/>
        </w:tcBorders>
        <w:shd w:val="clear" w:color="auto" w:fill="FFC50C" w:themeFill="accent4" w:themeFillShade="CC"/>
      </w:tcPr>
    </w:tblStylePr>
    <w:tblStylePr w:type="lastRow">
      <w:rPr>
        <w:b/>
        <w:bCs/>
        <w:color w:val="FFC50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4E6C8" w:themeFill="accent3" w:themeFillTint="3F"/>
      </w:tcPr>
    </w:tblStylePr>
    <w:tblStylePr w:type="band1Horz">
      <w:tblPr/>
      <w:tcPr>
        <w:shd w:val="clear" w:color="auto" w:fill="DCEBD2" w:themeFill="accent3" w:themeFillTint="33"/>
      </w:tcPr>
    </w:tblStylePr>
  </w:style>
  <w:style w:type="table" w:styleId="ColorfulList-Accent4">
    <w:name w:val="Colorful List Accent 4"/>
    <w:basedOn w:val="TableNormal"/>
    <w:uiPriority w:val="72"/>
    <w:locked/>
    <w:rsid w:val="00F80750"/>
    <w:pPr>
      <w:spacing w:after="0"/>
    </w:pPr>
    <w:rPr>
      <w:color w:val="000000" w:themeColor="text1"/>
    </w:rPr>
    <w:tblPr>
      <w:tblStyleRowBandSize w:val="1"/>
      <w:tblStyleColBandSize w:val="1"/>
    </w:tblPr>
    <w:tcPr>
      <w:shd w:val="clear" w:color="auto" w:fill="FFFAED" w:themeFill="accent4" w:themeFillTint="19"/>
    </w:tcPr>
    <w:tblStylePr w:type="firstRow">
      <w:rPr>
        <w:b/>
        <w:bCs/>
        <w:color w:val="FFFFFF" w:themeColor="background1"/>
      </w:rPr>
      <w:tblPr/>
      <w:tcPr>
        <w:tcBorders>
          <w:bottom w:val="single" w:sz="12" w:space="0" w:color="FFFFFF" w:themeColor="background1"/>
        </w:tcBorders>
        <w:shd w:val="clear" w:color="auto" w:fill="45672F" w:themeFill="accent3" w:themeFillShade="CC"/>
      </w:tcPr>
    </w:tblStylePr>
    <w:tblStylePr w:type="lastRow">
      <w:rPr>
        <w:b/>
        <w:bCs/>
        <w:color w:val="45672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4D3" w:themeFill="accent4" w:themeFillTint="3F"/>
      </w:tcPr>
    </w:tblStylePr>
    <w:tblStylePr w:type="band1Horz">
      <w:tblPr/>
      <w:tcPr>
        <w:shd w:val="clear" w:color="auto" w:fill="FFF6DB" w:themeFill="accent4" w:themeFillTint="33"/>
      </w:tcPr>
    </w:tblStylePr>
  </w:style>
  <w:style w:type="table" w:styleId="ColorfulList-Accent5">
    <w:name w:val="Colorful List Accent 5"/>
    <w:basedOn w:val="TableNormal"/>
    <w:uiPriority w:val="72"/>
    <w:locked/>
    <w:rsid w:val="00F80750"/>
    <w:pPr>
      <w:spacing w:after="0"/>
    </w:pPr>
    <w:rPr>
      <w:color w:val="000000" w:themeColor="text1"/>
    </w:rPr>
    <w:tblPr>
      <w:tblStyleRowBandSize w:val="1"/>
      <w:tblStyleColBandSize w:val="1"/>
    </w:tblPr>
    <w:tcPr>
      <w:shd w:val="clear" w:color="auto" w:fill="FBEEE9"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6C7" w:themeFill="accent5" w:themeFillTint="3F"/>
      </w:tcPr>
    </w:tblStylePr>
    <w:tblStylePr w:type="band1Horz">
      <w:tblPr/>
      <w:tcPr>
        <w:shd w:val="clear" w:color="auto" w:fill="F7DED2" w:themeFill="accent5" w:themeFillTint="33"/>
      </w:tcPr>
    </w:tblStylePr>
  </w:style>
  <w:style w:type="table" w:styleId="ColorfulList-Accent6">
    <w:name w:val="Colorful List Accent 6"/>
    <w:basedOn w:val="TableNormal"/>
    <w:uiPriority w:val="72"/>
    <w:locked/>
    <w:rsid w:val="00F80750"/>
    <w:pPr>
      <w:spacing w:after="0"/>
    </w:pPr>
    <w:rPr>
      <w:color w:val="000000" w:themeColor="text1"/>
    </w:r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A94B1D" w:themeFill="accent5" w:themeFillShade="CC"/>
      </w:tcPr>
    </w:tblStylePr>
    <w:tblStylePr w:type="lastRow">
      <w:rPr>
        <w:b/>
        <w:bCs/>
        <w:color w:val="A94B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203145" w:themeColor="accent1"/>
        <w:bottom w:val="single" w:sz="4" w:space="0" w:color="203145" w:themeColor="accent1"/>
        <w:right w:val="single" w:sz="4" w:space="0" w:color="203145" w:themeColor="accent1"/>
        <w:insideH w:val="single" w:sz="4" w:space="0" w:color="FFFFFF" w:themeColor="background1"/>
        <w:insideV w:val="single" w:sz="4" w:space="0" w:color="FFFFFF" w:themeColor="background1"/>
      </w:tblBorders>
    </w:tblPr>
    <w:tcPr>
      <w:shd w:val="clear" w:color="auto" w:fill="E3EAF2" w:themeFill="accent1"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1D29" w:themeFill="accent1" w:themeFillShade="99"/>
      </w:tcPr>
    </w:tblStylePr>
    <w:tblStylePr w:type="firstCol">
      <w:rPr>
        <w:color w:val="FFFFFF" w:themeColor="background1"/>
      </w:rPr>
      <w:tblPr/>
      <w:tcPr>
        <w:tcBorders>
          <w:top w:val="nil"/>
          <w:left w:val="nil"/>
          <w:bottom w:val="nil"/>
          <w:right w:val="nil"/>
          <w:insideH w:val="single" w:sz="4" w:space="0" w:color="131D29" w:themeColor="accent1" w:themeShade="99"/>
          <w:insideV w:val="nil"/>
        </w:tcBorders>
        <w:shd w:val="clear" w:color="auto" w:fill="131D2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1D29" w:themeFill="accent1" w:themeFillShade="99"/>
      </w:tcPr>
    </w:tblStylePr>
    <w:tblStylePr w:type="band1Vert">
      <w:tblPr/>
      <w:tcPr>
        <w:shd w:val="clear" w:color="auto" w:fill="8FAACB" w:themeFill="accent1" w:themeFillTint="66"/>
      </w:tcPr>
    </w:tblStylePr>
    <w:tblStylePr w:type="band1Horz">
      <w:tblPr/>
      <w:tcPr>
        <w:shd w:val="clear" w:color="auto" w:fill="7395B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rPr>
      <w:color w:val="000000" w:themeColor="text1"/>
    </w:rPr>
    <w:tblPr>
      <w:tblStyleRowBandSize w:val="1"/>
      <w:tblStyleColBandSize w:val="1"/>
      <w:tblBorders>
        <w:top w:val="single" w:sz="24" w:space="0" w:color="8F96A1" w:themeColor="accent2"/>
        <w:left w:val="single" w:sz="4" w:space="0" w:color="8F96A1" w:themeColor="accent2"/>
        <w:bottom w:val="single" w:sz="4" w:space="0" w:color="8F96A1" w:themeColor="accent2"/>
        <w:right w:val="single" w:sz="4" w:space="0" w:color="8F96A1" w:themeColor="accent2"/>
        <w:insideH w:val="single" w:sz="4" w:space="0" w:color="FFFFFF" w:themeColor="background1"/>
        <w:insideV w:val="single" w:sz="4" w:space="0" w:color="FFFFFF" w:themeColor="background1"/>
      </w:tblBorders>
    </w:tblPr>
    <w:tcPr>
      <w:shd w:val="clear" w:color="auto" w:fill="F3F4F5" w:themeFill="accent2" w:themeFillTint="19"/>
    </w:tcPr>
    <w:tblStylePr w:type="firstRow">
      <w:rPr>
        <w:b/>
        <w:bCs/>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5963" w:themeFill="accent2" w:themeFillShade="99"/>
      </w:tcPr>
    </w:tblStylePr>
    <w:tblStylePr w:type="firstCol">
      <w:rPr>
        <w:color w:val="FFFFFF" w:themeColor="background1"/>
      </w:rPr>
      <w:tblPr/>
      <w:tcPr>
        <w:tcBorders>
          <w:top w:val="nil"/>
          <w:left w:val="nil"/>
          <w:bottom w:val="nil"/>
          <w:right w:val="nil"/>
          <w:insideH w:val="single" w:sz="4" w:space="0" w:color="535963" w:themeColor="accent2" w:themeShade="99"/>
          <w:insideV w:val="nil"/>
        </w:tcBorders>
        <w:shd w:val="clear" w:color="auto" w:fill="53596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35963" w:themeFill="accent2" w:themeFillShade="99"/>
      </w:tcPr>
    </w:tblStylePr>
    <w:tblStylePr w:type="band1Vert">
      <w:tblPr/>
      <w:tcPr>
        <w:shd w:val="clear" w:color="auto" w:fill="D2D4D9" w:themeFill="accent2" w:themeFillTint="66"/>
      </w:tcPr>
    </w:tblStylePr>
    <w:tblStylePr w:type="band1Horz">
      <w:tblPr/>
      <w:tcPr>
        <w:shd w:val="clear" w:color="auto" w:fill="C7CAD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rPr>
      <w:color w:val="000000" w:themeColor="text1"/>
    </w:rPr>
    <w:tblPr>
      <w:tblStyleRowBandSize w:val="1"/>
      <w:tblStyleColBandSize w:val="1"/>
      <w:tblBorders>
        <w:top w:val="single" w:sz="24" w:space="0" w:color="FFD64F" w:themeColor="accent4"/>
        <w:left w:val="single" w:sz="4" w:space="0" w:color="57823B" w:themeColor="accent3"/>
        <w:bottom w:val="single" w:sz="4" w:space="0" w:color="57823B" w:themeColor="accent3"/>
        <w:right w:val="single" w:sz="4" w:space="0" w:color="57823B" w:themeColor="accent3"/>
        <w:insideH w:val="single" w:sz="4" w:space="0" w:color="FFFFFF" w:themeColor="background1"/>
        <w:insideV w:val="single" w:sz="4" w:space="0" w:color="FFFFFF" w:themeColor="background1"/>
      </w:tblBorders>
    </w:tblPr>
    <w:tcPr>
      <w:shd w:val="clear" w:color="auto" w:fill="EDF5E9" w:themeFill="accent3" w:themeFillTint="19"/>
    </w:tcPr>
    <w:tblStylePr w:type="firstRow">
      <w:rPr>
        <w:b/>
        <w:bCs/>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4D23" w:themeFill="accent3" w:themeFillShade="99"/>
      </w:tcPr>
    </w:tblStylePr>
    <w:tblStylePr w:type="firstCol">
      <w:rPr>
        <w:color w:val="FFFFFF" w:themeColor="background1"/>
      </w:rPr>
      <w:tblPr/>
      <w:tcPr>
        <w:tcBorders>
          <w:top w:val="nil"/>
          <w:left w:val="nil"/>
          <w:bottom w:val="nil"/>
          <w:right w:val="nil"/>
          <w:insideH w:val="single" w:sz="4" w:space="0" w:color="344D23" w:themeColor="accent3" w:themeShade="99"/>
          <w:insideV w:val="nil"/>
        </w:tcBorders>
        <w:shd w:val="clear" w:color="auto" w:fill="344D2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44D23" w:themeFill="accent3" w:themeFillShade="99"/>
      </w:tcPr>
    </w:tblStylePr>
    <w:tblStylePr w:type="band1Vert">
      <w:tblPr/>
      <w:tcPr>
        <w:shd w:val="clear" w:color="auto" w:fill="B9D6A6" w:themeFill="accent3" w:themeFillTint="66"/>
      </w:tcPr>
    </w:tblStylePr>
    <w:tblStylePr w:type="band1Horz">
      <w:tblPr/>
      <w:tcPr>
        <w:shd w:val="clear" w:color="auto" w:fill="A8CD90" w:themeFill="accent3" w:themeFillTint="7F"/>
      </w:tcPr>
    </w:tblStylePr>
  </w:style>
  <w:style w:type="table" w:styleId="ColorfulShading-Accent4">
    <w:name w:val="Colorful Shading Accent 4"/>
    <w:basedOn w:val="TableNormal"/>
    <w:uiPriority w:val="71"/>
    <w:locked/>
    <w:rsid w:val="00F80750"/>
    <w:pPr>
      <w:spacing w:after="0"/>
    </w:pPr>
    <w:rPr>
      <w:color w:val="000000" w:themeColor="text1"/>
    </w:rPr>
    <w:tblPr>
      <w:tblStyleRowBandSize w:val="1"/>
      <w:tblStyleColBandSize w:val="1"/>
      <w:tblBorders>
        <w:top w:val="single" w:sz="24" w:space="0" w:color="57823B" w:themeColor="accent3"/>
        <w:left w:val="single" w:sz="4" w:space="0" w:color="FFD64F" w:themeColor="accent4"/>
        <w:bottom w:val="single" w:sz="4" w:space="0" w:color="FFD64F" w:themeColor="accent4"/>
        <w:right w:val="single" w:sz="4" w:space="0" w:color="FFD64F" w:themeColor="accent4"/>
        <w:insideH w:val="single" w:sz="4" w:space="0" w:color="FFFFFF" w:themeColor="background1"/>
        <w:insideV w:val="single" w:sz="4" w:space="0" w:color="FFFFFF" w:themeColor="background1"/>
      </w:tblBorders>
    </w:tblPr>
    <w:tcPr>
      <w:shd w:val="clear" w:color="auto" w:fill="FFFAED" w:themeFill="accent4" w:themeFillTint="19"/>
    </w:tcPr>
    <w:tblStylePr w:type="firstRow">
      <w:rPr>
        <w:b/>
        <w:bCs/>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89900" w:themeFill="accent4" w:themeFillShade="99"/>
      </w:tcPr>
    </w:tblStylePr>
    <w:tblStylePr w:type="firstCol">
      <w:rPr>
        <w:color w:val="FFFFFF" w:themeColor="background1"/>
      </w:rPr>
      <w:tblPr/>
      <w:tcPr>
        <w:tcBorders>
          <w:top w:val="nil"/>
          <w:left w:val="nil"/>
          <w:bottom w:val="nil"/>
          <w:right w:val="nil"/>
          <w:insideH w:val="single" w:sz="4" w:space="0" w:color="C89900" w:themeColor="accent4" w:themeShade="99"/>
          <w:insideV w:val="nil"/>
        </w:tcBorders>
        <w:shd w:val="clear" w:color="auto" w:fill="C899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89900" w:themeFill="accent4" w:themeFillShade="99"/>
      </w:tcPr>
    </w:tblStylePr>
    <w:tblStylePr w:type="band1Vert">
      <w:tblPr/>
      <w:tcPr>
        <w:shd w:val="clear" w:color="auto" w:fill="FFEEB8" w:themeFill="accent4" w:themeFillTint="66"/>
      </w:tcPr>
    </w:tblStylePr>
    <w:tblStylePr w:type="band1Horz">
      <w:tblPr/>
      <w:tcPr>
        <w:shd w:val="clear" w:color="auto" w:fill="FFEAA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rPr>
      <w:color w:val="000000" w:themeColor="text1"/>
    </w:rPr>
    <w:tblPr>
      <w:tblStyleRowBandSize w:val="1"/>
      <w:tblStyleColBandSize w:val="1"/>
      <w:tblBorders>
        <w:top w:val="single" w:sz="24" w:space="0" w:color="4D4D4D" w:themeColor="accent6"/>
        <w:left w:val="single" w:sz="4" w:space="0" w:color="D45E25" w:themeColor="accent5"/>
        <w:bottom w:val="single" w:sz="4" w:space="0" w:color="D45E25" w:themeColor="accent5"/>
        <w:right w:val="single" w:sz="4" w:space="0" w:color="D45E25" w:themeColor="accent5"/>
        <w:insideH w:val="single" w:sz="4" w:space="0" w:color="FFFFFF" w:themeColor="background1"/>
        <w:insideV w:val="single" w:sz="4" w:space="0" w:color="FFFFFF" w:themeColor="background1"/>
      </w:tblBorders>
    </w:tblPr>
    <w:tcPr>
      <w:shd w:val="clear" w:color="auto" w:fill="FBEEE9"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3816" w:themeFill="accent5" w:themeFillShade="99"/>
      </w:tcPr>
    </w:tblStylePr>
    <w:tblStylePr w:type="firstCol">
      <w:rPr>
        <w:color w:val="FFFFFF" w:themeColor="background1"/>
      </w:rPr>
      <w:tblPr/>
      <w:tcPr>
        <w:tcBorders>
          <w:top w:val="nil"/>
          <w:left w:val="nil"/>
          <w:bottom w:val="nil"/>
          <w:right w:val="nil"/>
          <w:insideH w:val="single" w:sz="4" w:space="0" w:color="7F3816" w:themeColor="accent5" w:themeShade="99"/>
          <w:insideV w:val="nil"/>
        </w:tcBorders>
        <w:shd w:val="clear" w:color="auto" w:fill="7F38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F3816" w:themeFill="accent5" w:themeFillShade="99"/>
      </w:tcPr>
    </w:tblStylePr>
    <w:tblStylePr w:type="band1Vert">
      <w:tblPr/>
      <w:tcPr>
        <w:shd w:val="clear" w:color="auto" w:fill="EFBDA5" w:themeFill="accent5" w:themeFillTint="66"/>
      </w:tcPr>
    </w:tblStylePr>
    <w:tblStylePr w:type="band1Horz">
      <w:tblPr/>
      <w:tcPr>
        <w:shd w:val="clear" w:color="auto" w:fill="EBAE9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rPr>
      <w:color w:val="000000" w:themeColor="text1"/>
    </w:rPr>
    <w:tblPr>
      <w:tblStyleRowBandSize w:val="1"/>
      <w:tblStyleColBandSize w:val="1"/>
      <w:tblBorders>
        <w:top w:val="single" w:sz="24" w:space="0" w:color="D45E25"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rPr>
      <w:noProof w:val="0"/>
      <w:sz w:val="20"/>
      <w:szCs w:val="20"/>
      <w:lang w:val="en-AU"/>
    </w:rPr>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noProof w:val="0"/>
      <w:sz w:val="20"/>
      <w:szCs w:val="20"/>
      <w:lang w:val="en-AU"/>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20314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182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8243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82433" w:themeFill="accent1" w:themeFillShade="BF"/>
      </w:tcPr>
    </w:tblStylePr>
    <w:tblStylePr w:type="band1Vert">
      <w:tblPr/>
      <w:tcPr>
        <w:tcBorders>
          <w:top w:val="nil"/>
          <w:left w:val="nil"/>
          <w:bottom w:val="nil"/>
          <w:right w:val="nil"/>
          <w:insideH w:val="nil"/>
          <w:insideV w:val="nil"/>
        </w:tcBorders>
        <w:shd w:val="clear" w:color="auto" w:fill="182433" w:themeFill="accent1" w:themeFillShade="BF"/>
      </w:tcPr>
    </w:tblStylePr>
    <w:tblStylePr w:type="band1Horz">
      <w:tblPr/>
      <w:tcPr>
        <w:tcBorders>
          <w:top w:val="nil"/>
          <w:left w:val="nil"/>
          <w:bottom w:val="nil"/>
          <w:right w:val="nil"/>
          <w:insideH w:val="nil"/>
          <w:insideV w:val="nil"/>
        </w:tcBorders>
        <w:shd w:val="clear" w:color="auto" w:fill="182433"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8F96A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A5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86F7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86F7B" w:themeFill="accent2" w:themeFillShade="BF"/>
      </w:tcPr>
    </w:tblStylePr>
    <w:tblStylePr w:type="band1Vert">
      <w:tblPr/>
      <w:tcPr>
        <w:tcBorders>
          <w:top w:val="nil"/>
          <w:left w:val="nil"/>
          <w:bottom w:val="nil"/>
          <w:right w:val="nil"/>
          <w:insideH w:val="nil"/>
          <w:insideV w:val="nil"/>
        </w:tcBorders>
        <w:shd w:val="clear" w:color="auto" w:fill="686F7B" w:themeFill="accent2" w:themeFillShade="BF"/>
      </w:tcPr>
    </w:tblStylePr>
    <w:tblStylePr w:type="band1Horz">
      <w:tblPr/>
      <w:tcPr>
        <w:tcBorders>
          <w:top w:val="nil"/>
          <w:left w:val="nil"/>
          <w:bottom w:val="nil"/>
          <w:right w:val="nil"/>
          <w:insideH w:val="nil"/>
          <w:insideV w:val="nil"/>
        </w:tcBorders>
        <w:shd w:val="clear" w:color="auto" w:fill="686F7B"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57823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401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0612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0612C" w:themeFill="accent3" w:themeFillShade="BF"/>
      </w:tcPr>
    </w:tblStylePr>
    <w:tblStylePr w:type="band1Vert">
      <w:tblPr/>
      <w:tcPr>
        <w:tcBorders>
          <w:top w:val="nil"/>
          <w:left w:val="nil"/>
          <w:bottom w:val="nil"/>
          <w:right w:val="nil"/>
          <w:insideH w:val="nil"/>
          <w:insideV w:val="nil"/>
        </w:tcBorders>
        <w:shd w:val="clear" w:color="auto" w:fill="40612C" w:themeFill="accent3" w:themeFillShade="BF"/>
      </w:tcPr>
    </w:tblStylePr>
    <w:tblStylePr w:type="band1Horz">
      <w:tblPr/>
      <w:tcPr>
        <w:tcBorders>
          <w:top w:val="nil"/>
          <w:left w:val="nil"/>
          <w:bottom w:val="nil"/>
          <w:right w:val="nil"/>
          <w:insideH w:val="nil"/>
          <w:insideV w:val="nil"/>
        </w:tcBorders>
        <w:shd w:val="clear" w:color="auto" w:fill="40612C"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FFD6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67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AB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ABF00" w:themeFill="accent4" w:themeFillShade="BF"/>
      </w:tcPr>
    </w:tblStylePr>
    <w:tblStylePr w:type="band1Vert">
      <w:tblPr/>
      <w:tcPr>
        <w:tcBorders>
          <w:top w:val="nil"/>
          <w:left w:val="nil"/>
          <w:bottom w:val="nil"/>
          <w:right w:val="nil"/>
          <w:insideH w:val="nil"/>
          <w:insideV w:val="nil"/>
        </w:tcBorders>
        <w:shd w:val="clear" w:color="auto" w:fill="FABF00" w:themeFill="accent4" w:themeFillShade="BF"/>
      </w:tcPr>
    </w:tblStylePr>
    <w:tblStylePr w:type="band1Horz">
      <w:tblPr/>
      <w:tcPr>
        <w:tcBorders>
          <w:top w:val="nil"/>
          <w:left w:val="nil"/>
          <w:bottom w:val="nil"/>
          <w:right w:val="nil"/>
          <w:insideH w:val="nil"/>
          <w:insideV w:val="nil"/>
        </w:tcBorders>
        <w:shd w:val="clear" w:color="auto" w:fill="FABF00"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D45E2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2E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E46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E461B" w:themeFill="accent5" w:themeFillShade="BF"/>
      </w:tcPr>
    </w:tblStylePr>
    <w:tblStylePr w:type="band1Vert">
      <w:tblPr/>
      <w:tcPr>
        <w:tcBorders>
          <w:top w:val="nil"/>
          <w:left w:val="nil"/>
          <w:bottom w:val="nil"/>
          <w:right w:val="nil"/>
          <w:insideH w:val="nil"/>
          <w:insideV w:val="nil"/>
        </w:tcBorders>
        <w:shd w:val="clear" w:color="auto" w:fill="9E461B" w:themeFill="accent5" w:themeFillShade="BF"/>
      </w:tcPr>
    </w:tblStylePr>
    <w:tblStylePr w:type="band1Horz">
      <w:tblPr/>
      <w:tcPr>
        <w:tcBorders>
          <w:top w:val="nil"/>
          <w:left w:val="nil"/>
          <w:bottom w:val="nil"/>
          <w:right w:val="nil"/>
          <w:insideH w:val="nil"/>
          <w:insideV w:val="nil"/>
        </w:tcBorders>
        <w:shd w:val="clear" w:color="auto" w:fill="9E461B"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rPr>
      <w:noProof w:val="0"/>
      <w:lang w:val="en-AU"/>
    </w:rPr>
  </w:style>
  <w:style w:type="paragraph" w:styleId="DocumentMap">
    <w:name w:val="Document Map"/>
    <w:basedOn w:val="Normal"/>
    <w:link w:val="DocumentMapChar"/>
    <w:uiPriority w:val="99"/>
    <w:semiHidden/>
    <w:unhideWhenUsed/>
    <w:locked/>
    <w:rsid w:val="00F80750"/>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noProof w:val="0"/>
      <w:sz w:val="16"/>
      <w:szCs w:val="16"/>
      <w:lang w:val="en-AU"/>
    </w:rPr>
  </w:style>
  <w:style w:type="paragraph" w:styleId="E-mailSignature">
    <w:name w:val="E-mail Signature"/>
    <w:basedOn w:val="Normal"/>
    <w:link w:val="E-mailSignatureChar"/>
    <w:uiPriority w:val="99"/>
    <w:semiHidden/>
    <w:unhideWhenUsed/>
    <w:locked/>
    <w:rsid w:val="00F80750"/>
  </w:style>
  <w:style w:type="character" w:customStyle="1" w:styleId="E-mailSignatureChar">
    <w:name w:val="E-mail Signature Char"/>
    <w:basedOn w:val="DefaultParagraphFont"/>
    <w:link w:val="E-mailSignature"/>
    <w:uiPriority w:val="99"/>
    <w:semiHidden/>
    <w:rsid w:val="00F80750"/>
    <w:rPr>
      <w:noProof w:val="0"/>
      <w:lang w:val="en-AU"/>
    </w:rPr>
  </w:style>
  <w:style w:type="character" w:styleId="Emphasis">
    <w:name w:val="Emphasis"/>
    <w:basedOn w:val="DefaultParagraphFont"/>
    <w:uiPriority w:val="20"/>
    <w:semiHidden/>
    <w:qFormat/>
    <w:locked/>
    <w:rsid w:val="00F80750"/>
    <w:rPr>
      <w:i/>
      <w:iCs/>
      <w:noProof w:val="0"/>
      <w:lang w:val="en-AU"/>
    </w:rPr>
  </w:style>
  <w:style w:type="character" w:styleId="EndnoteReference">
    <w:name w:val="endnote reference"/>
    <w:basedOn w:val="DefaultParagraphFont"/>
    <w:uiPriority w:val="99"/>
    <w:rsid w:val="00F80750"/>
    <w:rPr>
      <w:noProof w:val="0"/>
      <w:vertAlign w:val="superscript"/>
      <w:lang w:val="en-AU"/>
    </w:rPr>
  </w:style>
  <w:style w:type="paragraph" w:styleId="EndnoteText">
    <w:name w:val="endnote text"/>
    <w:link w:val="EndnoteTextChar"/>
    <w:uiPriority w:val="99"/>
    <w:rsid w:val="00290D16"/>
    <w:pPr>
      <w:spacing w:after="0"/>
    </w:pPr>
  </w:style>
  <w:style w:type="character" w:customStyle="1" w:styleId="EndnoteTextChar">
    <w:name w:val="Endnote Text Char"/>
    <w:basedOn w:val="DefaultParagraphFont"/>
    <w:link w:val="EndnoteText"/>
    <w:uiPriority w:val="99"/>
    <w:rsid w:val="00290D16"/>
  </w:style>
  <w:style w:type="paragraph" w:styleId="EnvelopeAddress">
    <w:name w:val="envelope address"/>
    <w:basedOn w:val="Normal"/>
    <w:uiPriority w:val="99"/>
    <w:semiHidden/>
    <w:unhideWhenUsed/>
    <w:locked/>
    <w:rsid w:val="00F8075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919191" w:themeColor="followedHyperlink"/>
      <w:u w:val="single"/>
      <w:lang w:val="en-AU"/>
    </w:rPr>
  </w:style>
  <w:style w:type="character" w:styleId="FootnoteReference">
    <w:name w:val="footnote reference"/>
    <w:basedOn w:val="DefaultParagraphFont"/>
    <w:uiPriority w:val="99"/>
    <w:rsid w:val="00F80750"/>
    <w:rPr>
      <w:noProof w:val="0"/>
      <w:vertAlign w:val="superscript"/>
      <w:lang w:val="en-AU"/>
    </w:rPr>
  </w:style>
  <w:style w:type="paragraph" w:styleId="FootnoteText">
    <w:name w:val="footnote text"/>
    <w:link w:val="FootnoteTextChar"/>
    <w:uiPriority w:val="99"/>
    <w:rsid w:val="00B644F6"/>
    <w:pPr>
      <w:spacing w:after="0"/>
      <w:ind w:left="227" w:hanging="227"/>
    </w:pPr>
    <w:rPr>
      <w:sz w:val="14"/>
    </w:rPr>
  </w:style>
  <w:style w:type="character" w:customStyle="1" w:styleId="FootnoteTextChar">
    <w:name w:val="Footnote Text Char"/>
    <w:basedOn w:val="DefaultParagraphFont"/>
    <w:link w:val="FootnoteText"/>
    <w:uiPriority w:val="99"/>
    <w:rsid w:val="00B644F6"/>
    <w:rPr>
      <w:sz w:val="14"/>
    </w:rPr>
  </w:style>
  <w:style w:type="character" w:customStyle="1" w:styleId="Heading5Char">
    <w:name w:val="Heading 5 Char"/>
    <w:basedOn w:val="DefaultParagraphFont"/>
    <w:link w:val="Heading5"/>
    <w:uiPriority w:val="9"/>
    <w:semiHidden/>
    <w:rsid w:val="00F80750"/>
    <w:rPr>
      <w:rFonts w:asciiTheme="majorHAnsi" w:eastAsiaTheme="majorEastAsia" w:hAnsiTheme="majorHAnsi" w:cstheme="majorBidi"/>
      <w:color w:val="101822" w:themeColor="accent1" w:themeShade="7F"/>
    </w:rPr>
  </w:style>
  <w:style w:type="character" w:customStyle="1" w:styleId="Heading6Char">
    <w:name w:val="Heading 6 Char"/>
    <w:basedOn w:val="DefaultParagraphFont"/>
    <w:link w:val="Heading6"/>
    <w:uiPriority w:val="9"/>
    <w:semiHidden/>
    <w:rsid w:val="00FD06D5"/>
    <w:rPr>
      <w:rFonts w:asciiTheme="majorHAnsi" w:eastAsiaTheme="majorEastAsia" w:hAnsiTheme="majorHAnsi" w:cstheme="majorBidi"/>
      <w:iCs/>
      <w:color w:val="000000" w:themeColor="text1"/>
      <w:sz w:val="36"/>
    </w:rPr>
  </w:style>
  <w:style w:type="character" w:customStyle="1" w:styleId="Heading7Char">
    <w:name w:val="Heading 7 Char"/>
    <w:basedOn w:val="DefaultParagraphFont"/>
    <w:link w:val="Heading7"/>
    <w:uiPriority w:val="9"/>
    <w:semiHidden/>
    <w:rsid w:val="00F57F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8075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F80750"/>
    <w:rPr>
      <w:rFonts w:asciiTheme="majorHAnsi" w:eastAsiaTheme="majorEastAsia" w:hAnsiTheme="majorHAnsi" w:cstheme="majorBidi"/>
      <w:i/>
      <w:iCs/>
      <w:color w:val="404040" w:themeColor="text1" w:themeTint="BF"/>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rPr>
      <w:i/>
      <w:iCs/>
    </w:rPr>
  </w:style>
  <w:style w:type="character" w:customStyle="1" w:styleId="HTMLAddressChar">
    <w:name w:val="HTML Address Char"/>
    <w:basedOn w:val="DefaultParagraphFont"/>
    <w:link w:val="HTMLAddress"/>
    <w:uiPriority w:val="99"/>
    <w:semiHidden/>
    <w:rsid w:val="00F80750"/>
    <w:rPr>
      <w:i/>
      <w:iCs/>
      <w:noProof w:val="0"/>
      <w:lang w:val="en-AU"/>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noProof w:val="0"/>
      <w:sz w:val="20"/>
      <w:szCs w:val="20"/>
      <w:lang w:val="en-AU"/>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ind w:left="190" w:hanging="190"/>
    </w:pPr>
  </w:style>
  <w:style w:type="paragraph" w:styleId="Index2">
    <w:name w:val="index 2"/>
    <w:basedOn w:val="Normal"/>
    <w:next w:val="Normal"/>
    <w:autoRedefine/>
    <w:uiPriority w:val="99"/>
    <w:semiHidden/>
    <w:unhideWhenUsed/>
    <w:locked/>
    <w:rsid w:val="00F80750"/>
    <w:pPr>
      <w:ind w:left="380" w:hanging="190"/>
    </w:pPr>
  </w:style>
  <w:style w:type="paragraph" w:styleId="Index3">
    <w:name w:val="index 3"/>
    <w:basedOn w:val="Normal"/>
    <w:next w:val="Normal"/>
    <w:autoRedefine/>
    <w:uiPriority w:val="99"/>
    <w:semiHidden/>
    <w:unhideWhenUsed/>
    <w:locked/>
    <w:rsid w:val="00F80750"/>
    <w:pPr>
      <w:ind w:left="570" w:hanging="190"/>
    </w:pPr>
  </w:style>
  <w:style w:type="paragraph" w:styleId="Index4">
    <w:name w:val="index 4"/>
    <w:basedOn w:val="Normal"/>
    <w:next w:val="Normal"/>
    <w:autoRedefine/>
    <w:uiPriority w:val="99"/>
    <w:semiHidden/>
    <w:unhideWhenUsed/>
    <w:locked/>
    <w:rsid w:val="00F80750"/>
    <w:pPr>
      <w:ind w:left="760" w:hanging="190"/>
    </w:pPr>
  </w:style>
  <w:style w:type="paragraph" w:styleId="Index5">
    <w:name w:val="index 5"/>
    <w:basedOn w:val="Normal"/>
    <w:next w:val="Normal"/>
    <w:autoRedefine/>
    <w:uiPriority w:val="99"/>
    <w:semiHidden/>
    <w:unhideWhenUsed/>
    <w:locked/>
    <w:rsid w:val="00F80750"/>
    <w:pPr>
      <w:ind w:left="950" w:hanging="190"/>
    </w:pPr>
  </w:style>
  <w:style w:type="paragraph" w:styleId="Index6">
    <w:name w:val="index 6"/>
    <w:basedOn w:val="Normal"/>
    <w:next w:val="Normal"/>
    <w:autoRedefine/>
    <w:uiPriority w:val="99"/>
    <w:semiHidden/>
    <w:unhideWhenUsed/>
    <w:locked/>
    <w:rsid w:val="00F80750"/>
    <w:pPr>
      <w:ind w:left="1140" w:hanging="190"/>
    </w:pPr>
  </w:style>
  <w:style w:type="paragraph" w:styleId="Index7">
    <w:name w:val="index 7"/>
    <w:basedOn w:val="Normal"/>
    <w:next w:val="Normal"/>
    <w:autoRedefine/>
    <w:uiPriority w:val="99"/>
    <w:semiHidden/>
    <w:unhideWhenUsed/>
    <w:locked/>
    <w:rsid w:val="00F80750"/>
    <w:pPr>
      <w:ind w:left="1330" w:hanging="190"/>
    </w:pPr>
  </w:style>
  <w:style w:type="paragraph" w:styleId="Index8">
    <w:name w:val="index 8"/>
    <w:basedOn w:val="Normal"/>
    <w:next w:val="Normal"/>
    <w:autoRedefine/>
    <w:uiPriority w:val="99"/>
    <w:semiHidden/>
    <w:unhideWhenUsed/>
    <w:locked/>
    <w:rsid w:val="00F80750"/>
    <w:pPr>
      <w:ind w:left="1520" w:hanging="190"/>
    </w:pPr>
  </w:style>
  <w:style w:type="paragraph" w:styleId="Index9">
    <w:name w:val="index 9"/>
    <w:basedOn w:val="Normal"/>
    <w:next w:val="Normal"/>
    <w:autoRedefine/>
    <w:uiPriority w:val="99"/>
    <w:semiHidden/>
    <w:unhideWhenUsed/>
    <w:locked/>
    <w:rsid w:val="00F80750"/>
    <w:pPr>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203145"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203145" w:themeColor="accent1"/>
      </w:pBdr>
      <w:spacing w:before="200" w:after="280"/>
      <w:ind w:left="936" w:right="936"/>
    </w:pPr>
    <w:rPr>
      <w:b/>
      <w:bCs/>
      <w:i/>
      <w:iCs/>
      <w:color w:val="203145" w:themeColor="accent1"/>
    </w:rPr>
  </w:style>
  <w:style w:type="character" w:customStyle="1" w:styleId="IntenseQuoteChar">
    <w:name w:val="Intense Quote Char"/>
    <w:basedOn w:val="DefaultParagraphFont"/>
    <w:link w:val="IntenseQuote"/>
    <w:uiPriority w:val="30"/>
    <w:semiHidden/>
    <w:rsid w:val="00F80750"/>
    <w:rPr>
      <w:b/>
      <w:bCs/>
      <w:i/>
      <w:iCs/>
      <w:noProof w:val="0"/>
      <w:color w:val="203145" w:themeColor="accent1"/>
      <w:lang w:val="en-AU"/>
    </w:rPr>
  </w:style>
  <w:style w:type="character" w:styleId="IntenseReference">
    <w:name w:val="Intense Reference"/>
    <w:basedOn w:val="DefaultParagraphFont"/>
    <w:uiPriority w:val="32"/>
    <w:semiHidden/>
    <w:qFormat/>
    <w:locked/>
    <w:rsid w:val="00F80750"/>
    <w:rPr>
      <w:b/>
      <w:bCs/>
      <w:smallCaps/>
      <w:noProof w:val="0"/>
      <w:color w:val="8F96A1"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18" w:space="0" w:color="203145" w:themeColor="accent1"/>
          <w:right w:val="single" w:sz="8" w:space="0" w:color="203145" w:themeColor="accent1"/>
          <w:insideH w:val="nil"/>
          <w:insideV w:val="single" w:sz="8" w:space="0" w:color="20314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insideH w:val="nil"/>
          <w:insideV w:val="single" w:sz="8" w:space="0" w:color="20314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shd w:val="clear" w:color="auto" w:fill="B9CADF" w:themeFill="accent1" w:themeFillTint="3F"/>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shd w:val="clear" w:color="auto" w:fill="B9CADF" w:themeFill="accent1" w:themeFillTint="3F"/>
      </w:tcPr>
    </w:tblStylePr>
    <w:tblStylePr w:type="band2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insideV w:val="single" w:sz="8" w:space="0" w:color="203145"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18" w:space="0" w:color="8F96A1" w:themeColor="accent2"/>
          <w:right w:val="single" w:sz="8" w:space="0" w:color="8F96A1" w:themeColor="accent2"/>
          <w:insideH w:val="nil"/>
          <w:insideV w:val="single" w:sz="8" w:space="0" w:color="8F96A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insideH w:val="nil"/>
          <w:insideV w:val="single" w:sz="8" w:space="0" w:color="8F96A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shd w:val="clear" w:color="auto" w:fill="E3E4E7" w:themeFill="accent2" w:themeFillTint="3F"/>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shd w:val="clear" w:color="auto" w:fill="E3E4E7" w:themeFill="accent2" w:themeFillTint="3F"/>
      </w:tcPr>
    </w:tblStylePr>
    <w:tblStylePr w:type="band2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insideV w:val="single" w:sz="8" w:space="0" w:color="8F96A1"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18" w:space="0" w:color="57823B" w:themeColor="accent3"/>
          <w:right w:val="single" w:sz="8" w:space="0" w:color="57823B" w:themeColor="accent3"/>
          <w:insideH w:val="nil"/>
          <w:insideV w:val="single" w:sz="8" w:space="0" w:color="57823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insideH w:val="nil"/>
          <w:insideV w:val="single" w:sz="8" w:space="0" w:color="57823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shd w:val="clear" w:color="auto" w:fill="D4E6C8" w:themeFill="accent3" w:themeFillTint="3F"/>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shd w:val="clear" w:color="auto" w:fill="D4E6C8" w:themeFill="accent3" w:themeFillTint="3F"/>
      </w:tcPr>
    </w:tblStylePr>
    <w:tblStylePr w:type="band2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insideV w:val="single" w:sz="8" w:space="0" w:color="57823B"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18" w:space="0" w:color="FFD64F" w:themeColor="accent4"/>
          <w:right w:val="single" w:sz="8" w:space="0" w:color="FFD64F" w:themeColor="accent4"/>
          <w:insideH w:val="nil"/>
          <w:insideV w:val="single" w:sz="8" w:space="0" w:color="FFD6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insideH w:val="nil"/>
          <w:insideV w:val="single" w:sz="8" w:space="0" w:color="FFD6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shd w:val="clear" w:color="auto" w:fill="FFF4D3" w:themeFill="accent4" w:themeFillTint="3F"/>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shd w:val="clear" w:color="auto" w:fill="FFF4D3" w:themeFill="accent4" w:themeFillTint="3F"/>
      </w:tcPr>
    </w:tblStylePr>
    <w:tblStylePr w:type="band2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insideV w:val="single" w:sz="8" w:space="0" w:color="FFD64F"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18" w:space="0" w:color="D45E25" w:themeColor="accent5"/>
          <w:right w:val="single" w:sz="8" w:space="0" w:color="D45E25" w:themeColor="accent5"/>
          <w:insideH w:val="nil"/>
          <w:insideV w:val="single" w:sz="8" w:space="0" w:color="D45E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insideH w:val="nil"/>
          <w:insideV w:val="single" w:sz="8" w:space="0" w:color="D45E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shd w:val="clear" w:color="auto" w:fill="F5D6C7" w:themeFill="accent5" w:themeFillTint="3F"/>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shd w:val="clear" w:color="auto" w:fill="F5D6C7" w:themeFill="accent5" w:themeFillTint="3F"/>
      </w:tcPr>
    </w:tblStylePr>
    <w:tblStylePr w:type="band2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insideV w:val="single" w:sz="8" w:space="0" w:color="D45E25"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pPr>
        <w:spacing w:before="0" w:after="0" w:line="240" w:lineRule="auto"/>
      </w:pPr>
      <w:rPr>
        <w:b/>
        <w:bCs/>
        <w:color w:val="FFFFFF" w:themeColor="background1"/>
      </w:rPr>
      <w:tblPr/>
      <w:tcPr>
        <w:shd w:val="clear" w:color="auto" w:fill="203145" w:themeFill="accent1"/>
      </w:tcPr>
    </w:tblStylePr>
    <w:tblStylePr w:type="lastRow">
      <w:pPr>
        <w:spacing w:before="0" w:after="0" w:line="240" w:lineRule="auto"/>
      </w:pPr>
      <w:rPr>
        <w:b/>
        <w:bCs/>
      </w:rPr>
      <w:tblPr/>
      <w:tcPr>
        <w:tcBorders>
          <w:top w:val="double" w:sz="6" w:space="0" w:color="203145" w:themeColor="accent1"/>
          <w:left w:val="single" w:sz="8" w:space="0" w:color="203145" w:themeColor="accent1"/>
          <w:bottom w:val="single" w:sz="8" w:space="0" w:color="203145" w:themeColor="accent1"/>
          <w:right w:val="single" w:sz="8" w:space="0" w:color="203145" w:themeColor="accent1"/>
        </w:tcBorders>
      </w:tcPr>
    </w:tblStylePr>
    <w:tblStylePr w:type="firstCol">
      <w:rPr>
        <w:b/>
        <w:bCs/>
      </w:rPr>
    </w:tblStylePr>
    <w:tblStylePr w:type="lastCol">
      <w:rPr>
        <w:b/>
        <w:bCs/>
      </w:rPr>
    </w:tblStylePr>
    <w:tblStylePr w:type="band1Vert">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tblStylePr w:type="band1Horz">
      <w:tblPr/>
      <w:tcPr>
        <w:tcBorders>
          <w:top w:val="single" w:sz="8" w:space="0" w:color="203145" w:themeColor="accent1"/>
          <w:left w:val="single" w:sz="8" w:space="0" w:color="203145" w:themeColor="accent1"/>
          <w:bottom w:val="single" w:sz="8" w:space="0" w:color="203145" w:themeColor="accent1"/>
          <w:right w:val="single" w:sz="8" w:space="0" w:color="203145"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pPr>
        <w:spacing w:before="0" w:after="0" w:line="240" w:lineRule="auto"/>
      </w:pPr>
      <w:rPr>
        <w:b/>
        <w:bCs/>
        <w:color w:val="FFFFFF" w:themeColor="background1"/>
      </w:rPr>
      <w:tblPr/>
      <w:tcPr>
        <w:shd w:val="clear" w:color="auto" w:fill="8F96A1" w:themeFill="accent2"/>
      </w:tcPr>
    </w:tblStylePr>
    <w:tblStylePr w:type="lastRow">
      <w:pPr>
        <w:spacing w:before="0" w:after="0" w:line="240" w:lineRule="auto"/>
      </w:pPr>
      <w:rPr>
        <w:b/>
        <w:bCs/>
      </w:rPr>
      <w:tblPr/>
      <w:tcPr>
        <w:tcBorders>
          <w:top w:val="double" w:sz="6" w:space="0" w:color="8F96A1" w:themeColor="accent2"/>
          <w:left w:val="single" w:sz="8" w:space="0" w:color="8F96A1" w:themeColor="accent2"/>
          <w:bottom w:val="single" w:sz="8" w:space="0" w:color="8F96A1" w:themeColor="accent2"/>
          <w:right w:val="single" w:sz="8" w:space="0" w:color="8F96A1" w:themeColor="accent2"/>
        </w:tcBorders>
      </w:tcPr>
    </w:tblStylePr>
    <w:tblStylePr w:type="firstCol">
      <w:rPr>
        <w:b/>
        <w:bCs/>
      </w:rPr>
    </w:tblStylePr>
    <w:tblStylePr w:type="lastCol">
      <w:rPr>
        <w:b/>
        <w:bCs/>
      </w:rPr>
    </w:tblStylePr>
    <w:tblStylePr w:type="band1Vert">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tblStylePr w:type="band1Horz">
      <w:tblPr/>
      <w:tcPr>
        <w:tcBorders>
          <w:top w:val="single" w:sz="8" w:space="0" w:color="8F96A1" w:themeColor="accent2"/>
          <w:left w:val="single" w:sz="8" w:space="0" w:color="8F96A1" w:themeColor="accent2"/>
          <w:bottom w:val="single" w:sz="8" w:space="0" w:color="8F96A1" w:themeColor="accent2"/>
          <w:right w:val="single" w:sz="8" w:space="0" w:color="8F96A1"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pPr>
        <w:spacing w:before="0" w:after="0" w:line="240" w:lineRule="auto"/>
      </w:pPr>
      <w:rPr>
        <w:b/>
        <w:bCs/>
        <w:color w:val="FFFFFF" w:themeColor="background1"/>
      </w:rPr>
      <w:tblPr/>
      <w:tcPr>
        <w:shd w:val="clear" w:color="auto" w:fill="57823B" w:themeFill="accent3"/>
      </w:tcPr>
    </w:tblStylePr>
    <w:tblStylePr w:type="lastRow">
      <w:pPr>
        <w:spacing w:before="0" w:after="0" w:line="240" w:lineRule="auto"/>
      </w:pPr>
      <w:rPr>
        <w:b/>
        <w:bCs/>
      </w:rPr>
      <w:tblPr/>
      <w:tcPr>
        <w:tcBorders>
          <w:top w:val="double" w:sz="6" w:space="0" w:color="57823B" w:themeColor="accent3"/>
          <w:left w:val="single" w:sz="8" w:space="0" w:color="57823B" w:themeColor="accent3"/>
          <w:bottom w:val="single" w:sz="8" w:space="0" w:color="57823B" w:themeColor="accent3"/>
          <w:right w:val="single" w:sz="8" w:space="0" w:color="57823B" w:themeColor="accent3"/>
        </w:tcBorders>
      </w:tcPr>
    </w:tblStylePr>
    <w:tblStylePr w:type="firstCol">
      <w:rPr>
        <w:b/>
        <w:bCs/>
      </w:rPr>
    </w:tblStylePr>
    <w:tblStylePr w:type="lastCol">
      <w:rPr>
        <w:b/>
        <w:bCs/>
      </w:rPr>
    </w:tblStylePr>
    <w:tblStylePr w:type="band1Vert">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tblStylePr w:type="band1Horz">
      <w:tblPr/>
      <w:tcPr>
        <w:tcBorders>
          <w:top w:val="single" w:sz="8" w:space="0" w:color="57823B" w:themeColor="accent3"/>
          <w:left w:val="single" w:sz="8" w:space="0" w:color="57823B" w:themeColor="accent3"/>
          <w:bottom w:val="single" w:sz="8" w:space="0" w:color="57823B" w:themeColor="accent3"/>
          <w:right w:val="single" w:sz="8" w:space="0" w:color="57823B"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pPr>
        <w:spacing w:before="0" w:after="0" w:line="240" w:lineRule="auto"/>
      </w:pPr>
      <w:rPr>
        <w:b/>
        <w:bCs/>
        <w:color w:val="FFFFFF" w:themeColor="background1"/>
      </w:rPr>
      <w:tblPr/>
      <w:tcPr>
        <w:shd w:val="clear" w:color="auto" w:fill="FFD64F" w:themeFill="accent4"/>
      </w:tcPr>
    </w:tblStylePr>
    <w:tblStylePr w:type="lastRow">
      <w:pPr>
        <w:spacing w:before="0" w:after="0" w:line="240" w:lineRule="auto"/>
      </w:pPr>
      <w:rPr>
        <w:b/>
        <w:bCs/>
      </w:rPr>
      <w:tblPr/>
      <w:tcPr>
        <w:tcBorders>
          <w:top w:val="double" w:sz="6" w:space="0" w:color="FFD64F" w:themeColor="accent4"/>
          <w:left w:val="single" w:sz="8" w:space="0" w:color="FFD64F" w:themeColor="accent4"/>
          <w:bottom w:val="single" w:sz="8" w:space="0" w:color="FFD64F" w:themeColor="accent4"/>
          <w:right w:val="single" w:sz="8" w:space="0" w:color="FFD64F" w:themeColor="accent4"/>
        </w:tcBorders>
      </w:tcPr>
    </w:tblStylePr>
    <w:tblStylePr w:type="firstCol">
      <w:rPr>
        <w:b/>
        <w:bCs/>
      </w:rPr>
    </w:tblStylePr>
    <w:tblStylePr w:type="lastCol">
      <w:rPr>
        <w:b/>
        <w:bCs/>
      </w:rPr>
    </w:tblStylePr>
    <w:tblStylePr w:type="band1Vert">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tblStylePr w:type="band1Horz">
      <w:tblPr/>
      <w:tcPr>
        <w:tcBorders>
          <w:top w:val="single" w:sz="8" w:space="0" w:color="FFD64F" w:themeColor="accent4"/>
          <w:left w:val="single" w:sz="8" w:space="0" w:color="FFD64F" w:themeColor="accent4"/>
          <w:bottom w:val="single" w:sz="8" w:space="0" w:color="FFD64F" w:themeColor="accent4"/>
          <w:right w:val="single" w:sz="8" w:space="0" w:color="FFD64F"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pPr>
        <w:spacing w:before="0" w:after="0" w:line="240" w:lineRule="auto"/>
      </w:pPr>
      <w:rPr>
        <w:b/>
        <w:bCs/>
        <w:color w:val="FFFFFF" w:themeColor="background1"/>
      </w:rPr>
      <w:tblPr/>
      <w:tcPr>
        <w:shd w:val="clear" w:color="auto" w:fill="D45E25" w:themeFill="accent5"/>
      </w:tcPr>
    </w:tblStylePr>
    <w:tblStylePr w:type="lastRow">
      <w:pPr>
        <w:spacing w:before="0" w:after="0" w:line="240" w:lineRule="auto"/>
      </w:pPr>
      <w:rPr>
        <w:b/>
        <w:bCs/>
      </w:rPr>
      <w:tblPr/>
      <w:tcPr>
        <w:tcBorders>
          <w:top w:val="double" w:sz="6" w:space="0" w:color="D45E25" w:themeColor="accent5"/>
          <w:left w:val="single" w:sz="8" w:space="0" w:color="D45E25" w:themeColor="accent5"/>
          <w:bottom w:val="single" w:sz="8" w:space="0" w:color="D45E25" w:themeColor="accent5"/>
          <w:right w:val="single" w:sz="8" w:space="0" w:color="D45E25" w:themeColor="accent5"/>
        </w:tcBorders>
      </w:tcPr>
    </w:tblStylePr>
    <w:tblStylePr w:type="firstCol">
      <w:rPr>
        <w:b/>
        <w:bCs/>
      </w:rPr>
    </w:tblStylePr>
    <w:tblStylePr w:type="lastCol">
      <w:rPr>
        <w:b/>
        <w:bCs/>
      </w:rPr>
    </w:tblStylePr>
    <w:tblStylePr w:type="band1Vert">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tblStylePr w:type="band1Horz">
      <w:tblPr/>
      <w:tcPr>
        <w:tcBorders>
          <w:top w:val="single" w:sz="8" w:space="0" w:color="D45E25" w:themeColor="accent5"/>
          <w:left w:val="single" w:sz="8" w:space="0" w:color="D45E25" w:themeColor="accent5"/>
          <w:bottom w:val="single" w:sz="8" w:space="0" w:color="D45E25" w:themeColor="accent5"/>
          <w:right w:val="single" w:sz="8" w:space="0" w:color="D45E25"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182433" w:themeColor="accent1" w:themeShade="BF"/>
    </w:rPr>
    <w:tblPr>
      <w:tblStyleRowBandSize w:val="1"/>
      <w:tblStyleColBandSize w:val="1"/>
      <w:tblBorders>
        <w:top w:val="single" w:sz="8" w:space="0" w:color="203145" w:themeColor="accent1"/>
        <w:bottom w:val="single" w:sz="8" w:space="0" w:color="203145" w:themeColor="accent1"/>
      </w:tblBorders>
    </w:tblPr>
    <w:tblStylePr w:type="fir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lastRow">
      <w:pPr>
        <w:spacing w:before="0" w:after="0" w:line="240" w:lineRule="auto"/>
      </w:pPr>
      <w:rPr>
        <w:b/>
        <w:bCs/>
      </w:rPr>
      <w:tblPr/>
      <w:tcPr>
        <w:tcBorders>
          <w:top w:val="single" w:sz="8" w:space="0" w:color="203145" w:themeColor="accent1"/>
          <w:left w:val="nil"/>
          <w:bottom w:val="single" w:sz="8" w:space="0" w:color="20314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left w:val="nil"/>
          <w:right w:val="nil"/>
          <w:insideH w:val="nil"/>
          <w:insideV w:val="nil"/>
        </w:tcBorders>
        <w:shd w:val="clear" w:color="auto" w:fill="B9CADF" w:themeFill="accent1" w:themeFillTint="3F"/>
      </w:tcPr>
    </w:tblStylePr>
  </w:style>
  <w:style w:type="table" w:styleId="LightShading-Accent2">
    <w:name w:val="Light Shading Accent 2"/>
    <w:basedOn w:val="TableNormal"/>
    <w:uiPriority w:val="60"/>
    <w:locked/>
    <w:rsid w:val="00F80750"/>
    <w:pPr>
      <w:spacing w:after="0"/>
    </w:pPr>
    <w:rPr>
      <w:color w:val="686F7B" w:themeColor="accent2" w:themeShade="BF"/>
    </w:rPr>
    <w:tblPr>
      <w:tblStyleRowBandSize w:val="1"/>
      <w:tblStyleColBandSize w:val="1"/>
      <w:tblBorders>
        <w:top w:val="single" w:sz="8" w:space="0" w:color="8F96A1" w:themeColor="accent2"/>
        <w:bottom w:val="single" w:sz="8" w:space="0" w:color="8F96A1" w:themeColor="accent2"/>
      </w:tblBorders>
    </w:tblPr>
    <w:tblStylePr w:type="fir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lastRow">
      <w:pPr>
        <w:spacing w:before="0" w:after="0" w:line="240" w:lineRule="auto"/>
      </w:pPr>
      <w:rPr>
        <w:b/>
        <w:bCs/>
      </w:rPr>
      <w:tblPr/>
      <w:tcPr>
        <w:tcBorders>
          <w:top w:val="single" w:sz="8" w:space="0" w:color="8F96A1" w:themeColor="accent2"/>
          <w:left w:val="nil"/>
          <w:bottom w:val="single" w:sz="8" w:space="0" w:color="8F96A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left w:val="nil"/>
          <w:right w:val="nil"/>
          <w:insideH w:val="nil"/>
          <w:insideV w:val="nil"/>
        </w:tcBorders>
        <w:shd w:val="clear" w:color="auto" w:fill="E3E4E7" w:themeFill="accent2" w:themeFillTint="3F"/>
      </w:tcPr>
    </w:tblStylePr>
  </w:style>
  <w:style w:type="table" w:styleId="LightShading-Accent3">
    <w:name w:val="Light Shading Accent 3"/>
    <w:basedOn w:val="TableNormal"/>
    <w:uiPriority w:val="60"/>
    <w:locked/>
    <w:rsid w:val="00F80750"/>
    <w:pPr>
      <w:spacing w:after="0"/>
    </w:pPr>
    <w:rPr>
      <w:color w:val="40612C" w:themeColor="accent3" w:themeShade="BF"/>
    </w:rPr>
    <w:tblPr>
      <w:tblStyleRowBandSize w:val="1"/>
      <w:tblStyleColBandSize w:val="1"/>
      <w:tblBorders>
        <w:top w:val="single" w:sz="8" w:space="0" w:color="57823B" w:themeColor="accent3"/>
        <w:bottom w:val="single" w:sz="8" w:space="0" w:color="57823B" w:themeColor="accent3"/>
      </w:tblBorders>
    </w:tblPr>
    <w:tblStylePr w:type="fir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lastRow">
      <w:pPr>
        <w:spacing w:before="0" w:after="0" w:line="240" w:lineRule="auto"/>
      </w:pPr>
      <w:rPr>
        <w:b/>
        <w:bCs/>
      </w:rPr>
      <w:tblPr/>
      <w:tcPr>
        <w:tcBorders>
          <w:top w:val="single" w:sz="8" w:space="0" w:color="57823B" w:themeColor="accent3"/>
          <w:left w:val="nil"/>
          <w:bottom w:val="single" w:sz="8" w:space="0" w:color="57823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left w:val="nil"/>
          <w:right w:val="nil"/>
          <w:insideH w:val="nil"/>
          <w:insideV w:val="nil"/>
        </w:tcBorders>
        <w:shd w:val="clear" w:color="auto" w:fill="D4E6C8" w:themeFill="accent3" w:themeFillTint="3F"/>
      </w:tcPr>
    </w:tblStylePr>
  </w:style>
  <w:style w:type="table" w:styleId="LightShading-Accent4">
    <w:name w:val="Light Shading Accent 4"/>
    <w:basedOn w:val="TableNormal"/>
    <w:uiPriority w:val="60"/>
    <w:locked/>
    <w:rsid w:val="00F80750"/>
    <w:pPr>
      <w:spacing w:after="0"/>
    </w:pPr>
    <w:rPr>
      <w:color w:val="FABF00" w:themeColor="accent4" w:themeShade="BF"/>
    </w:rPr>
    <w:tblPr>
      <w:tblStyleRowBandSize w:val="1"/>
      <w:tblStyleColBandSize w:val="1"/>
      <w:tblBorders>
        <w:top w:val="single" w:sz="8" w:space="0" w:color="FFD64F" w:themeColor="accent4"/>
        <w:bottom w:val="single" w:sz="8" w:space="0" w:color="FFD64F" w:themeColor="accent4"/>
      </w:tblBorders>
    </w:tblPr>
    <w:tblStylePr w:type="fir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lastRow">
      <w:pPr>
        <w:spacing w:before="0" w:after="0" w:line="240" w:lineRule="auto"/>
      </w:pPr>
      <w:rPr>
        <w:b/>
        <w:bCs/>
      </w:rPr>
      <w:tblPr/>
      <w:tcPr>
        <w:tcBorders>
          <w:top w:val="single" w:sz="8" w:space="0" w:color="FFD64F" w:themeColor="accent4"/>
          <w:left w:val="nil"/>
          <w:bottom w:val="single" w:sz="8" w:space="0" w:color="FFD6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left w:val="nil"/>
          <w:right w:val="nil"/>
          <w:insideH w:val="nil"/>
          <w:insideV w:val="nil"/>
        </w:tcBorders>
        <w:shd w:val="clear" w:color="auto" w:fill="FFF4D3" w:themeFill="accent4" w:themeFillTint="3F"/>
      </w:tcPr>
    </w:tblStylePr>
  </w:style>
  <w:style w:type="table" w:styleId="LightShading-Accent5">
    <w:name w:val="Light Shading Accent 5"/>
    <w:basedOn w:val="TableNormal"/>
    <w:uiPriority w:val="60"/>
    <w:locked/>
    <w:rsid w:val="00F80750"/>
    <w:pPr>
      <w:spacing w:after="0"/>
    </w:pPr>
    <w:rPr>
      <w:color w:val="9E461B" w:themeColor="accent5" w:themeShade="BF"/>
    </w:rPr>
    <w:tblPr>
      <w:tblStyleRowBandSize w:val="1"/>
      <w:tblStyleColBandSize w:val="1"/>
      <w:tblBorders>
        <w:top w:val="single" w:sz="8" w:space="0" w:color="D45E25" w:themeColor="accent5"/>
        <w:bottom w:val="single" w:sz="8" w:space="0" w:color="D45E25" w:themeColor="accent5"/>
      </w:tblBorders>
    </w:tblPr>
    <w:tblStylePr w:type="fir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lastRow">
      <w:pPr>
        <w:spacing w:before="0" w:after="0" w:line="240" w:lineRule="auto"/>
      </w:pPr>
      <w:rPr>
        <w:b/>
        <w:bCs/>
      </w:rPr>
      <w:tblPr/>
      <w:tcPr>
        <w:tcBorders>
          <w:top w:val="single" w:sz="8" w:space="0" w:color="D45E25" w:themeColor="accent5"/>
          <w:left w:val="nil"/>
          <w:bottom w:val="single" w:sz="8" w:space="0" w:color="D45E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left w:val="nil"/>
          <w:right w:val="nil"/>
          <w:insideH w:val="nil"/>
          <w:insideV w:val="nil"/>
        </w:tcBorders>
        <w:shd w:val="clear" w:color="auto" w:fill="F5D6C7" w:themeFill="accent5" w:themeFillTint="3F"/>
      </w:tcPr>
    </w:tblStylePr>
  </w:style>
  <w:style w:type="table" w:styleId="LightShading-Accent6">
    <w:name w:val="Light Shading Accent 6"/>
    <w:basedOn w:val="TableNormal"/>
    <w:uiPriority w:val="60"/>
    <w:locked/>
    <w:rsid w:val="00F80750"/>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99"/>
    <w:semiHidden/>
    <w:unhideWhenUsed/>
    <w:locked/>
    <w:rsid w:val="00F80750"/>
    <w:pPr>
      <w:ind w:left="283" w:hanging="283"/>
      <w:contextualSpacing/>
    </w:pPr>
  </w:style>
  <w:style w:type="paragraph" w:styleId="List2">
    <w:name w:val="List 2"/>
    <w:basedOn w:val="Normal"/>
    <w:uiPriority w:val="99"/>
    <w:semiHidden/>
    <w:unhideWhenUsed/>
    <w:locked/>
    <w:rsid w:val="00F80750"/>
    <w:pPr>
      <w:ind w:left="566" w:hanging="283"/>
      <w:contextualSpacing/>
    </w:pPr>
  </w:style>
  <w:style w:type="paragraph" w:styleId="List3">
    <w:name w:val="List 3"/>
    <w:basedOn w:val="Normal"/>
    <w:uiPriority w:val="99"/>
    <w:semiHidden/>
    <w:unhideWhenUsed/>
    <w:locked/>
    <w:rsid w:val="00F80750"/>
    <w:pPr>
      <w:ind w:left="849" w:hanging="283"/>
      <w:contextualSpacing/>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aliases w:val="Message Bullet 2"/>
    <w:uiPriority w:val="21"/>
    <w:qFormat/>
    <w:rsid w:val="0033787D"/>
    <w:pPr>
      <w:framePr w:w="4678" w:wrap="notBeside" w:vAnchor="text" w:hAnchor="text" w:y="1"/>
      <w:numPr>
        <w:ilvl w:val="4"/>
        <w:numId w:val="10"/>
      </w:numPr>
      <w:pBdr>
        <w:left w:val="single" w:sz="48" w:space="4" w:color="203145"/>
        <w:bottom w:val="single" w:sz="18" w:space="1" w:color="203145"/>
        <w:right w:val="single" w:sz="48" w:space="4" w:color="203145"/>
      </w:pBdr>
      <w:shd w:val="clear" w:color="auto" w:fill="203145"/>
      <w:spacing w:after="0"/>
      <w:contextualSpacing/>
      <w:jc w:val="left"/>
    </w:pPr>
    <w:rPr>
      <w:color w:val="FFFFFF" w:themeColor="background1"/>
    </w:r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rsid w:val="00F80750"/>
    <w:pPr>
      <w:numPr>
        <w:numId w:val="5"/>
      </w:numPr>
      <w:contextualSpacing/>
    </w:pPr>
  </w:style>
  <w:style w:type="paragraph" w:styleId="ListParagraph">
    <w:name w:val="List Paragraph"/>
    <w:aliases w:val="NFP GP Bulleted List,List Paragraph1,Recommendation,List Paragraph11"/>
    <w:basedOn w:val="Normal"/>
    <w:link w:val="ListParagraphChar"/>
    <w:uiPriority w:val="34"/>
    <w:unhideWhenUsed/>
    <w:qFormat/>
    <w:rsid w:val="00F80750"/>
    <w:pPr>
      <w:ind w:left="720"/>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insideV w:val="single" w:sz="8" w:space="0" w:color="40628A" w:themeColor="accent1" w:themeTint="BF"/>
      </w:tblBorders>
    </w:tblPr>
    <w:tcPr>
      <w:shd w:val="clear" w:color="auto" w:fill="B9CADF" w:themeFill="accent1" w:themeFillTint="3F"/>
    </w:tcPr>
    <w:tblStylePr w:type="firstRow">
      <w:rPr>
        <w:b/>
        <w:bCs/>
      </w:rPr>
    </w:tblStylePr>
    <w:tblStylePr w:type="lastRow">
      <w:rPr>
        <w:b/>
        <w:bCs/>
      </w:rPr>
      <w:tblPr/>
      <w:tcPr>
        <w:tcBorders>
          <w:top w:val="single" w:sz="18" w:space="0" w:color="40628A" w:themeColor="accent1" w:themeTint="BF"/>
        </w:tcBorders>
      </w:tcPr>
    </w:tblStylePr>
    <w:tblStylePr w:type="firstCol">
      <w:rPr>
        <w:b/>
        <w:bCs/>
      </w:rPr>
    </w:tblStylePr>
    <w:tblStylePr w:type="lastCol">
      <w:rPr>
        <w:b/>
        <w:bCs/>
      </w:rPr>
    </w:tblStylePr>
    <w:tblStylePr w:type="band1Vert">
      <w:tblPr/>
      <w:tcPr>
        <w:shd w:val="clear" w:color="auto" w:fill="7395BE" w:themeFill="accent1" w:themeFillTint="7F"/>
      </w:tcPr>
    </w:tblStylePr>
    <w:tblStylePr w:type="band1Horz">
      <w:tblPr/>
      <w:tcPr>
        <w:shd w:val="clear" w:color="auto" w:fill="7395BE"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insideV w:val="single" w:sz="8" w:space="0" w:color="ABB0B8" w:themeColor="accent2" w:themeTint="BF"/>
      </w:tblBorders>
    </w:tblPr>
    <w:tcPr>
      <w:shd w:val="clear" w:color="auto" w:fill="E3E4E7" w:themeFill="accent2" w:themeFillTint="3F"/>
    </w:tcPr>
    <w:tblStylePr w:type="firstRow">
      <w:rPr>
        <w:b/>
        <w:bCs/>
      </w:rPr>
    </w:tblStylePr>
    <w:tblStylePr w:type="lastRow">
      <w:rPr>
        <w:b/>
        <w:bCs/>
      </w:rPr>
      <w:tblPr/>
      <w:tcPr>
        <w:tcBorders>
          <w:top w:val="single" w:sz="18" w:space="0" w:color="ABB0B8" w:themeColor="accent2" w:themeTint="BF"/>
        </w:tcBorders>
      </w:tcPr>
    </w:tblStylePr>
    <w:tblStylePr w:type="firstCol">
      <w:rPr>
        <w:b/>
        <w:bCs/>
      </w:rPr>
    </w:tblStylePr>
    <w:tblStylePr w:type="lastCol">
      <w:rPr>
        <w:b/>
        <w:bCs/>
      </w:rPr>
    </w:tblStylePr>
    <w:tblStylePr w:type="band1Vert">
      <w:tblPr/>
      <w:tcPr>
        <w:shd w:val="clear" w:color="auto" w:fill="C7CAD0" w:themeFill="accent2" w:themeFillTint="7F"/>
      </w:tcPr>
    </w:tblStylePr>
    <w:tblStylePr w:type="band1Horz">
      <w:tblPr/>
      <w:tcPr>
        <w:shd w:val="clear" w:color="auto" w:fill="C7CAD0"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insideV w:val="single" w:sz="8" w:space="0" w:color="7CB359" w:themeColor="accent3" w:themeTint="BF"/>
      </w:tblBorders>
    </w:tblPr>
    <w:tcPr>
      <w:shd w:val="clear" w:color="auto" w:fill="D4E6C8" w:themeFill="accent3" w:themeFillTint="3F"/>
    </w:tcPr>
    <w:tblStylePr w:type="firstRow">
      <w:rPr>
        <w:b/>
        <w:bCs/>
      </w:rPr>
    </w:tblStylePr>
    <w:tblStylePr w:type="lastRow">
      <w:rPr>
        <w:b/>
        <w:bCs/>
      </w:rPr>
      <w:tblPr/>
      <w:tcPr>
        <w:tcBorders>
          <w:top w:val="single" w:sz="18" w:space="0" w:color="7CB359" w:themeColor="accent3" w:themeTint="BF"/>
        </w:tcBorders>
      </w:tcPr>
    </w:tblStylePr>
    <w:tblStylePr w:type="firstCol">
      <w:rPr>
        <w:b/>
        <w:bCs/>
      </w:rPr>
    </w:tblStylePr>
    <w:tblStylePr w:type="lastCol">
      <w:rPr>
        <w:b/>
        <w:bCs/>
      </w:rPr>
    </w:tblStylePr>
    <w:tblStylePr w:type="band1Vert">
      <w:tblPr/>
      <w:tcPr>
        <w:shd w:val="clear" w:color="auto" w:fill="A8CD90" w:themeFill="accent3" w:themeFillTint="7F"/>
      </w:tcPr>
    </w:tblStylePr>
    <w:tblStylePr w:type="band1Horz">
      <w:tblPr/>
      <w:tcPr>
        <w:shd w:val="clear" w:color="auto" w:fill="A8CD90"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insideV w:val="single" w:sz="8" w:space="0" w:color="FFDF7B" w:themeColor="accent4" w:themeTint="BF"/>
      </w:tblBorders>
    </w:tblPr>
    <w:tcPr>
      <w:shd w:val="clear" w:color="auto" w:fill="FFF4D3" w:themeFill="accent4" w:themeFillTint="3F"/>
    </w:tcPr>
    <w:tblStylePr w:type="firstRow">
      <w:rPr>
        <w:b/>
        <w:bCs/>
      </w:rPr>
    </w:tblStylePr>
    <w:tblStylePr w:type="lastRow">
      <w:rPr>
        <w:b/>
        <w:bCs/>
      </w:rPr>
      <w:tblPr/>
      <w:tcPr>
        <w:tcBorders>
          <w:top w:val="single" w:sz="18" w:space="0" w:color="FFDF7B" w:themeColor="accent4" w:themeTint="BF"/>
        </w:tcBorders>
      </w:tcPr>
    </w:tblStylePr>
    <w:tblStylePr w:type="firstCol">
      <w:rPr>
        <w:b/>
        <w:bCs/>
      </w:rPr>
    </w:tblStylePr>
    <w:tblStylePr w:type="lastCol">
      <w:rPr>
        <w:b/>
        <w:bCs/>
      </w:rPr>
    </w:tblStylePr>
    <w:tblStylePr w:type="band1Vert">
      <w:tblPr/>
      <w:tcPr>
        <w:shd w:val="clear" w:color="auto" w:fill="FFEAA7" w:themeFill="accent4" w:themeFillTint="7F"/>
      </w:tcPr>
    </w:tblStylePr>
    <w:tblStylePr w:type="band1Horz">
      <w:tblPr/>
      <w:tcPr>
        <w:shd w:val="clear" w:color="auto" w:fill="FFEAA7"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insideV w:val="single" w:sz="8" w:space="0" w:color="E28558" w:themeColor="accent5" w:themeTint="BF"/>
      </w:tblBorders>
    </w:tblPr>
    <w:tcPr>
      <w:shd w:val="clear" w:color="auto" w:fill="F5D6C7" w:themeFill="accent5" w:themeFillTint="3F"/>
    </w:tcPr>
    <w:tblStylePr w:type="firstRow">
      <w:rPr>
        <w:b/>
        <w:bCs/>
      </w:rPr>
    </w:tblStylePr>
    <w:tblStylePr w:type="lastRow">
      <w:rPr>
        <w:b/>
        <w:bCs/>
      </w:rPr>
      <w:tblPr/>
      <w:tcPr>
        <w:tcBorders>
          <w:top w:val="single" w:sz="18" w:space="0" w:color="E28558" w:themeColor="accent5" w:themeTint="BF"/>
        </w:tcBorders>
      </w:tcPr>
    </w:tblStylePr>
    <w:tblStylePr w:type="firstCol">
      <w:rPr>
        <w:b/>
        <w:bCs/>
      </w:rPr>
    </w:tblStylePr>
    <w:tblStylePr w:type="lastCol">
      <w:rPr>
        <w:b/>
        <w:bCs/>
      </w:rPr>
    </w:tblStylePr>
    <w:tblStylePr w:type="band1Vert">
      <w:tblPr/>
      <w:tcPr>
        <w:shd w:val="clear" w:color="auto" w:fill="EBAE90" w:themeFill="accent5" w:themeFillTint="7F"/>
      </w:tcPr>
    </w:tblStylePr>
    <w:tblStylePr w:type="band1Horz">
      <w:tblPr/>
      <w:tcPr>
        <w:shd w:val="clear" w:color="auto" w:fill="EBAE90"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insideH w:val="single" w:sz="8" w:space="0" w:color="203145" w:themeColor="accent1"/>
        <w:insideV w:val="single" w:sz="8" w:space="0" w:color="203145" w:themeColor="accent1"/>
      </w:tblBorders>
    </w:tblPr>
    <w:tcPr>
      <w:shd w:val="clear" w:color="auto" w:fill="B9CADF" w:themeFill="accent1" w:themeFillTint="3F"/>
    </w:tcPr>
    <w:tblStylePr w:type="firstRow">
      <w:rPr>
        <w:b/>
        <w:bCs/>
        <w:color w:val="000000" w:themeColor="text1"/>
      </w:rPr>
      <w:tblPr/>
      <w:tcPr>
        <w:shd w:val="clear" w:color="auto" w:fill="E3EA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D4E5" w:themeFill="accent1" w:themeFillTint="33"/>
      </w:tcPr>
    </w:tblStylePr>
    <w:tblStylePr w:type="band1Vert">
      <w:tblPr/>
      <w:tcPr>
        <w:shd w:val="clear" w:color="auto" w:fill="7395BE" w:themeFill="accent1" w:themeFillTint="7F"/>
      </w:tcPr>
    </w:tblStylePr>
    <w:tblStylePr w:type="band1Horz">
      <w:tblPr/>
      <w:tcPr>
        <w:tcBorders>
          <w:insideH w:val="single" w:sz="6" w:space="0" w:color="203145" w:themeColor="accent1"/>
          <w:insideV w:val="single" w:sz="6" w:space="0" w:color="203145" w:themeColor="accent1"/>
        </w:tcBorders>
        <w:shd w:val="clear" w:color="auto" w:fill="7395B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insideH w:val="single" w:sz="8" w:space="0" w:color="8F96A1" w:themeColor="accent2"/>
        <w:insideV w:val="single" w:sz="8" w:space="0" w:color="8F96A1" w:themeColor="accent2"/>
      </w:tblBorders>
    </w:tblPr>
    <w:tcPr>
      <w:shd w:val="clear" w:color="auto" w:fill="E3E4E7" w:themeFill="accent2" w:themeFillTint="3F"/>
    </w:tcPr>
    <w:tblStylePr w:type="firstRow">
      <w:rPr>
        <w:b/>
        <w:bCs/>
        <w:color w:val="000000" w:themeColor="text1"/>
      </w:rPr>
      <w:tblPr/>
      <w:tcPr>
        <w:shd w:val="clear" w:color="auto" w:fill="F3F4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9EC" w:themeFill="accent2" w:themeFillTint="33"/>
      </w:tcPr>
    </w:tblStylePr>
    <w:tblStylePr w:type="band1Vert">
      <w:tblPr/>
      <w:tcPr>
        <w:shd w:val="clear" w:color="auto" w:fill="C7CAD0" w:themeFill="accent2" w:themeFillTint="7F"/>
      </w:tcPr>
    </w:tblStylePr>
    <w:tblStylePr w:type="band1Horz">
      <w:tblPr/>
      <w:tcPr>
        <w:tcBorders>
          <w:insideH w:val="single" w:sz="6" w:space="0" w:color="8F96A1" w:themeColor="accent2"/>
          <w:insideV w:val="single" w:sz="6" w:space="0" w:color="8F96A1" w:themeColor="accent2"/>
        </w:tcBorders>
        <w:shd w:val="clear" w:color="auto" w:fill="C7CAD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insideH w:val="single" w:sz="8" w:space="0" w:color="57823B" w:themeColor="accent3"/>
        <w:insideV w:val="single" w:sz="8" w:space="0" w:color="57823B" w:themeColor="accent3"/>
      </w:tblBorders>
    </w:tblPr>
    <w:tcPr>
      <w:shd w:val="clear" w:color="auto" w:fill="D4E6C8" w:themeFill="accent3" w:themeFillTint="3F"/>
    </w:tcPr>
    <w:tblStylePr w:type="firstRow">
      <w:rPr>
        <w:b/>
        <w:bCs/>
        <w:color w:val="000000" w:themeColor="text1"/>
      </w:rPr>
      <w:tblPr/>
      <w:tcPr>
        <w:shd w:val="clear" w:color="auto" w:fill="EDF5E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CEBD2" w:themeFill="accent3" w:themeFillTint="33"/>
      </w:tcPr>
    </w:tblStylePr>
    <w:tblStylePr w:type="band1Vert">
      <w:tblPr/>
      <w:tcPr>
        <w:shd w:val="clear" w:color="auto" w:fill="A8CD90" w:themeFill="accent3" w:themeFillTint="7F"/>
      </w:tcPr>
    </w:tblStylePr>
    <w:tblStylePr w:type="band1Horz">
      <w:tblPr/>
      <w:tcPr>
        <w:tcBorders>
          <w:insideH w:val="single" w:sz="6" w:space="0" w:color="57823B" w:themeColor="accent3"/>
          <w:insideV w:val="single" w:sz="6" w:space="0" w:color="57823B" w:themeColor="accent3"/>
        </w:tcBorders>
        <w:shd w:val="clear" w:color="auto" w:fill="A8CD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insideH w:val="single" w:sz="8" w:space="0" w:color="FFD64F" w:themeColor="accent4"/>
        <w:insideV w:val="single" w:sz="8" w:space="0" w:color="FFD64F" w:themeColor="accent4"/>
      </w:tblBorders>
    </w:tblPr>
    <w:tcPr>
      <w:shd w:val="clear" w:color="auto" w:fill="FFF4D3" w:themeFill="accent4" w:themeFillTint="3F"/>
    </w:tcPr>
    <w:tblStylePr w:type="firstRow">
      <w:rPr>
        <w:b/>
        <w:bCs/>
        <w:color w:val="000000" w:themeColor="text1"/>
      </w:rPr>
      <w:tblPr/>
      <w:tcPr>
        <w:shd w:val="clear" w:color="auto" w:fill="FFFA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6DB" w:themeFill="accent4" w:themeFillTint="33"/>
      </w:tcPr>
    </w:tblStylePr>
    <w:tblStylePr w:type="band1Vert">
      <w:tblPr/>
      <w:tcPr>
        <w:shd w:val="clear" w:color="auto" w:fill="FFEAA7" w:themeFill="accent4" w:themeFillTint="7F"/>
      </w:tcPr>
    </w:tblStylePr>
    <w:tblStylePr w:type="band1Horz">
      <w:tblPr/>
      <w:tcPr>
        <w:tcBorders>
          <w:insideH w:val="single" w:sz="6" w:space="0" w:color="FFD64F" w:themeColor="accent4"/>
          <w:insideV w:val="single" w:sz="6" w:space="0" w:color="FFD64F" w:themeColor="accent4"/>
        </w:tcBorders>
        <w:shd w:val="clear" w:color="auto" w:fill="FFEA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insideH w:val="single" w:sz="8" w:space="0" w:color="D45E25" w:themeColor="accent5"/>
        <w:insideV w:val="single" w:sz="8" w:space="0" w:color="D45E25" w:themeColor="accent5"/>
      </w:tblBorders>
    </w:tblPr>
    <w:tcPr>
      <w:shd w:val="clear" w:color="auto" w:fill="F5D6C7" w:themeFill="accent5" w:themeFillTint="3F"/>
    </w:tcPr>
    <w:tblStylePr w:type="firstRow">
      <w:rPr>
        <w:b/>
        <w:bCs/>
        <w:color w:val="000000" w:themeColor="text1"/>
      </w:rPr>
      <w:tblPr/>
      <w:tcPr>
        <w:shd w:val="clear" w:color="auto" w:fill="FBEE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ED2" w:themeFill="accent5" w:themeFillTint="33"/>
      </w:tcPr>
    </w:tblStylePr>
    <w:tblStylePr w:type="band1Vert">
      <w:tblPr/>
      <w:tcPr>
        <w:shd w:val="clear" w:color="auto" w:fill="EBAE90" w:themeFill="accent5" w:themeFillTint="7F"/>
      </w:tcPr>
    </w:tblStylePr>
    <w:tblStylePr w:type="band1Horz">
      <w:tblPr/>
      <w:tcPr>
        <w:tcBorders>
          <w:insideH w:val="single" w:sz="6" w:space="0" w:color="D45E25" w:themeColor="accent5"/>
          <w:insideV w:val="single" w:sz="6" w:space="0" w:color="D45E25" w:themeColor="accent5"/>
        </w:tcBorders>
        <w:shd w:val="clear" w:color="auto" w:fill="EBAE9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CAD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314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314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314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95B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95BE"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4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96A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96A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96A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AD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AD0"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4E6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823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823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823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8CD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8CD90"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4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6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6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6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A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AA7"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6C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5E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5E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5E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AE9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AE90"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F80750"/>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031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rPr>
      <w:color w:val="000000" w:themeColor="text1"/>
    </w:rPr>
    <w:tblPr>
      <w:tblStyleRowBandSize w:val="1"/>
      <w:tblStyleColBandSize w:val="1"/>
      <w:tblBorders>
        <w:top w:val="single" w:sz="8" w:space="0" w:color="203145" w:themeColor="accent1"/>
        <w:bottom w:val="single" w:sz="8" w:space="0" w:color="203145" w:themeColor="accent1"/>
      </w:tblBorders>
    </w:tblPr>
    <w:tblStylePr w:type="firstRow">
      <w:rPr>
        <w:rFonts w:asciiTheme="majorHAnsi" w:eastAsiaTheme="majorEastAsia" w:hAnsiTheme="majorHAnsi" w:cstheme="majorBidi"/>
      </w:rPr>
      <w:tblPr/>
      <w:tcPr>
        <w:tcBorders>
          <w:top w:val="nil"/>
          <w:bottom w:val="single" w:sz="8" w:space="0" w:color="203145" w:themeColor="accent1"/>
        </w:tcBorders>
      </w:tcPr>
    </w:tblStylePr>
    <w:tblStylePr w:type="lastRow">
      <w:rPr>
        <w:b/>
        <w:bCs/>
        <w:color w:val="203145" w:themeColor="text2"/>
      </w:rPr>
      <w:tblPr/>
      <w:tcPr>
        <w:tcBorders>
          <w:top w:val="single" w:sz="8" w:space="0" w:color="203145" w:themeColor="accent1"/>
          <w:bottom w:val="single" w:sz="8" w:space="0" w:color="203145" w:themeColor="accent1"/>
        </w:tcBorders>
      </w:tcPr>
    </w:tblStylePr>
    <w:tblStylePr w:type="firstCol">
      <w:rPr>
        <w:b/>
        <w:bCs/>
      </w:rPr>
    </w:tblStylePr>
    <w:tblStylePr w:type="lastCol">
      <w:rPr>
        <w:b/>
        <w:bCs/>
      </w:rPr>
      <w:tblPr/>
      <w:tcPr>
        <w:tcBorders>
          <w:top w:val="single" w:sz="8" w:space="0" w:color="203145" w:themeColor="accent1"/>
          <w:bottom w:val="single" w:sz="8" w:space="0" w:color="203145" w:themeColor="accent1"/>
        </w:tcBorders>
      </w:tcPr>
    </w:tblStylePr>
    <w:tblStylePr w:type="band1Vert">
      <w:tblPr/>
      <w:tcPr>
        <w:shd w:val="clear" w:color="auto" w:fill="B9CADF" w:themeFill="accent1" w:themeFillTint="3F"/>
      </w:tcPr>
    </w:tblStylePr>
    <w:tblStylePr w:type="band1Horz">
      <w:tblPr/>
      <w:tcPr>
        <w:shd w:val="clear" w:color="auto" w:fill="B9CADF" w:themeFill="accent1" w:themeFillTint="3F"/>
      </w:tcPr>
    </w:tblStylePr>
  </w:style>
  <w:style w:type="table" w:styleId="MediumList1-Accent2">
    <w:name w:val="Medium List 1 Accent 2"/>
    <w:basedOn w:val="TableNormal"/>
    <w:uiPriority w:val="65"/>
    <w:locked/>
    <w:rsid w:val="00F80750"/>
    <w:pPr>
      <w:spacing w:after="0"/>
    </w:pPr>
    <w:rPr>
      <w:color w:val="000000" w:themeColor="text1"/>
    </w:rPr>
    <w:tblPr>
      <w:tblStyleRowBandSize w:val="1"/>
      <w:tblStyleColBandSize w:val="1"/>
      <w:tblBorders>
        <w:top w:val="single" w:sz="8" w:space="0" w:color="8F96A1" w:themeColor="accent2"/>
        <w:bottom w:val="single" w:sz="8" w:space="0" w:color="8F96A1" w:themeColor="accent2"/>
      </w:tblBorders>
    </w:tblPr>
    <w:tblStylePr w:type="firstRow">
      <w:rPr>
        <w:rFonts w:asciiTheme="majorHAnsi" w:eastAsiaTheme="majorEastAsia" w:hAnsiTheme="majorHAnsi" w:cstheme="majorBidi"/>
      </w:rPr>
      <w:tblPr/>
      <w:tcPr>
        <w:tcBorders>
          <w:top w:val="nil"/>
          <w:bottom w:val="single" w:sz="8" w:space="0" w:color="8F96A1" w:themeColor="accent2"/>
        </w:tcBorders>
      </w:tcPr>
    </w:tblStylePr>
    <w:tblStylePr w:type="lastRow">
      <w:rPr>
        <w:b/>
        <w:bCs/>
        <w:color w:val="203145" w:themeColor="text2"/>
      </w:rPr>
      <w:tblPr/>
      <w:tcPr>
        <w:tcBorders>
          <w:top w:val="single" w:sz="8" w:space="0" w:color="8F96A1" w:themeColor="accent2"/>
          <w:bottom w:val="single" w:sz="8" w:space="0" w:color="8F96A1" w:themeColor="accent2"/>
        </w:tcBorders>
      </w:tcPr>
    </w:tblStylePr>
    <w:tblStylePr w:type="firstCol">
      <w:rPr>
        <w:b/>
        <w:bCs/>
      </w:rPr>
    </w:tblStylePr>
    <w:tblStylePr w:type="lastCol">
      <w:rPr>
        <w:b/>
        <w:bCs/>
      </w:rPr>
      <w:tblPr/>
      <w:tcPr>
        <w:tcBorders>
          <w:top w:val="single" w:sz="8" w:space="0" w:color="8F96A1" w:themeColor="accent2"/>
          <w:bottom w:val="single" w:sz="8" w:space="0" w:color="8F96A1" w:themeColor="accent2"/>
        </w:tcBorders>
      </w:tcPr>
    </w:tblStylePr>
    <w:tblStylePr w:type="band1Vert">
      <w:tblPr/>
      <w:tcPr>
        <w:shd w:val="clear" w:color="auto" w:fill="E3E4E7" w:themeFill="accent2" w:themeFillTint="3F"/>
      </w:tcPr>
    </w:tblStylePr>
    <w:tblStylePr w:type="band1Horz">
      <w:tblPr/>
      <w:tcPr>
        <w:shd w:val="clear" w:color="auto" w:fill="E3E4E7" w:themeFill="accent2" w:themeFillTint="3F"/>
      </w:tcPr>
    </w:tblStylePr>
  </w:style>
  <w:style w:type="table" w:styleId="MediumList1-Accent3">
    <w:name w:val="Medium List 1 Accent 3"/>
    <w:basedOn w:val="TableNormal"/>
    <w:uiPriority w:val="65"/>
    <w:locked/>
    <w:rsid w:val="00F80750"/>
    <w:pPr>
      <w:spacing w:after="0"/>
    </w:pPr>
    <w:rPr>
      <w:color w:val="000000" w:themeColor="text1"/>
    </w:rPr>
    <w:tblPr>
      <w:tblStyleRowBandSize w:val="1"/>
      <w:tblStyleColBandSize w:val="1"/>
      <w:tblBorders>
        <w:top w:val="single" w:sz="8" w:space="0" w:color="57823B" w:themeColor="accent3"/>
        <w:bottom w:val="single" w:sz="8" w:space="0" w:color="57823B" w:themeColor="accent3"/>
      </w:tblBorders>
    </w:tblPr>
    <w:tblStylePr w:type="firstRow">
      <w:rPr>
        <w:rFonts w:asciiTheme="majorHAnsi" w:eastAsiaTheme="majorEastAsia" w:hAnsiTheme="majorHAnsi" w:cstheme="majorBidi"/>
      </w:rPr>
      <w:tblPr/>
      <w:tcPr>
        <w:tcBorders>
          <w:top w:val="nil"/>
          <w:bottom w:val="single" w:sz="8" w:space="0" w:color="57823B" w:themeColor="accent3"/>
        </w:tcBorders>
      </w:tcPr>
    </w:tblStylePr>
    <w:tblStylePr w:type="lastRow">
      <w:rPr>
        <w:b/>
        <w:bCs/>
        <w:color w:val="203145" w:themeColor="text2"/>
      </w:rPr>
      <w:tblPr/>
      <w:tcPr>
        <w:tcBorders>
          <w:top w:val="single" w:sz="8" w:space="0" w:color="57823B" w:themeColor="accent3"/>
          <w:bottom w:val="single" w:sz="8" w:space="0" w:color="57823B" w:themeColor="accent3"/>
        </w:tcBorders>
      </w:tcPr>
    </w:tblStylePr>
    <w:tblStylePr w:type="firstCol">
      <w:rPr>
        <w:b/>
        <w:bCs/>
      </w:rPr>
    </w:tblStylePr>
    <w:tblStylePr w:type="lastCol">
      <w:rPr>
        <w:b/>
        <w:bCs/>
      </w:rPr>
      <w:tblPr/>
      <w:tcPr>
        <w:tcBorders>
          <w:top w:val="single" w:sz="8" w:space="0" w:color="57823B" w:themeColor="accent3"/>
          <w:bottom w:val="single" w:sz="8" w:space="0" w:color="57823B" w:themeColor="accent3"/>
        </w:tcBorders>
      </w:tcPr>
    </w:tblStylePr>
    <w:tblStylePr w:type="band1Vert">
      <w:tblPr/>
      <w:tcPr>
        <w:shd w:val="clear" w:color="auto" w:fill="D4E6C8" w:themeFill="accent3" w:themeFillTint="3F"/>
      </w:tcPr>
    </w:tblStylePr>
    <w:tblStylePr w:type="band1Horz">
      <w:tblPr/>
      <w:tcPr>
        <w:shd w:val="clear" w:color="auto" w:fill="D4E6C8" w:themeFill="accent3" w:themeFillTint="3F"/>
      </w:tcPr>
    </w:tblStylePr>
  </w:style>
  <w:style w:type="table" w:styleId="MediumList1-Accent4">
    <w:name w:val="Medium List 1 Accent 4"/>
    <w:basedOn w:val="TableNormal"/>
    <w:uiPriority w:val="65"/>
    <w:locked/>
    <w:rsid w:val="00F80750"/>
    <w:pPr>
      <w:spacing w:after="0"/>
    </w:pPr>
    <w:rPr>
      <w:color w:val="000000" w:themeColor="text1"/>
    </w:rPr>
    <w:tblPr>
      <w:tblStyleRowBandSize w:val="1"/>
      <w:tblStyleColBandSize w:val="1"/>
      <w:tblBorders>
        <w:top w:val="single" w:sz="8" w:space="0" w:color="FFD64F" w:themeColor="accent4"/>
        <w:bottom w:val="single" w:sz="8" w:space="0" w:color="FFD64F" w:themeColor="accent4"/>
      </w:tblBorders>
    </w:tblPr>
    <w:tblStylePr w:type="firstRow">
      <w:rPr>
        <w:rFonts w:asciiTheme="majorHAnsi" w:eastAsiaTheme="majorEastAsia" w:hAnsiTheme="majorHAnsi" w:cstheme="majorBidi"/>
      </w:rPr>
      <w:tblPr/>
      <w:tcPr>
        <w:tcBorders>
          <w:top w:val="nil"/>
          <w:bottom w:val="single" w:sz="8" w:space="0" w:color="FFD64F" w:themeColor="accent4"/>
        </w:tcBorders>
      </w:tcPr>
    </w:tblStylePr>
    <w:tblStylePr w:type="lastRow">
      <w:rPr>
        <w:b/>
        <w:bCs/>
        <w:color w:val="203145" w:themeColor="text2"/>
      </w:rPr>
      <w:tblPr/>
      <w:tcPr>
        <w:tcBorders>
          <w:top w:val="single" w:sz="8" w:space="0" w:color="FFD64F" w:themeColor="accent4"/>
          <w:bottom w:val="single" w:sz="8" w:space="0" w:color="FFD64F" w:themeColor="accent4"/>
        </w:tcBorders>
      </w:tcPr>
    </w:tblStylePr>
    <w:tblStylePr w:type="firstCol">
      <w:rPr>
        <w:b/>
        <w:bCs/>
      </w:rPr>
    </w:tblStylePr>
    <w:tblStylePr w:type="lastCol">
      <w:rPr>
        <w:b/>
        <w:bCs/>
      </w:rPr>
      <w:tblPr/>
      <w:tcPr>
        <w:tcBorders>
          <w:top w:val="single" w:sz="8" w:space="0" w:color="FFD64F" w:themeColor="accent4"/>
          <w:bottom w:val="single" w:sz="8" w:space="0" w:color="FFD64F" w:themeColor="accent4"/>
        </w:tcBorders>
      </w:tcPr>
    </w:tblStylePr>
    <w:tblStylePr w:type="band1Vert">
      <w:tblPr/>
      <w:tcPr>
        <w:shd w:val="clear" w:color="auto" w:fill="FFF4D3" w:themeFill="accent4" w:themeFillTint="3F"/>
      </w:tcPr>
    </w:tblStylePr>
    <w:tblStylePr w:type="band1Horz">
      <w:tblPr/>
      <w:tcPr>
        <w:shd w:val="clear" w:color="auto" w:fill="FFF4D3" w:themeFill="accent4" w:themeFillTint="3F"/>
      </w:tcPr>
    </w:tblStylePr>
  </w:style>
  <w:style w:type="table" w:styleId="MediumList1-Accent5">
    <w:name w:val="Medium List 1 Accent 5"/>
    <w:basedOn w:val="TableNormal"/>
    <w:uiPriority w:val="65"/>
    <w:locked/>
    <w:rsid w:val="00F80750"/>
    <w:pPr>
      <w:spacing w:after="0"/>
    </w:pPr>
    <w:rPr>
      <w:color w:val="000000" w:themeColor="text1"/>
    </w:rPr>
    <w:tblPr>
      <w:tblStyleRowBandSize w:val="1"/>
      <w:tblStyleColBandSize w:val="1"/>
      <w:tblBorders>
        <w:top w:val="single" w:sz="8" w:space="0" w:color="D45E25" w:themeColor="accent5"/>
        <w:bottom w:val="single" w:sz="8" w:space="0" w:color="D45E25" w:themeColor="accent5"/>
      </w:tblBorders>
    </w:tblPr>
    <w:tblStylePr w:type="firstRow">
      <w:rPr>
        <w:rFonts w:asciiTheme="majorHAnsi" w:eastAsiaTheme="majorEastAsia" w:hAnsiTheme="majorHAnsi" w:cstheme="majorBidi"/>
      </w:rPr>
      <w:tblPr/>
      <w:tcPr>
        <w:tcBorders>
          <w:top w:val="nil"/>
          <w:bottom w:val="single" w:sz="8" w:space="0" w:color="D45E25" w:themeColor="accent5"/>
        </w:tcBorders>
      </w:tcPr>
    </w:tblStylePr>
    <w:tblStylePr w:type="lastRow">
      <w:rPr>
        <w:b/>
        <w:bCs/>
        <w:color w:val="203145" w:themeColor="text2"/>
      </w:rPr>
      <w:tblPr/>
      <w:tcPr>
        <w:tcBorders>
          <w:top w:val="single" w:sz="8" w:space="0" w:color="D45E25" w:themeColor="accent5"/>
          <w:bottom w:val="single" w:sz="8" w:space="0" w:color="D45E25" w:themeColor="accent5"/>
        </w:tcBorders>
      </w:tcPr>
    </w:tblStylePr>
    <w:tblStylePr w:type="firstCol">
      <w:rPr>
        <w:b/>
        <w:bCs/>
      </w:rPr>
    </w:tblStylePr>
    <w:tblStylePr w:type="lastCol">
      <w:rPr>
        <w:b/>
        <w:bCs/>
      </w:rPr>
      <w:tblPr/>
      <w:tcPr>
        <w:tcBorders>
          <w:top w:val="single" w:sz="8" w:space="0" w:color="D45E25" w:themeColor="accent5"/>
          <w:bottom w:val="single" w:sz="8" w:space="0" w:color="D45E25" w:themeColor="accent5"/>
        </w:tcBorders>
      </w:tcPr>
    </w:tblStylePr>
    <w:tblStylePr w:type="band1Vert">
      <w:tblPr/>
      <w:tcPr>
        <w:shd w:val="clear" w:color="auto" w:fill="F5D6C7" w:themeFill="accent5" w:themeFillTint="3F"/>
      </w:tcPr>
    </w:tblStylePr>
    <w:tblStylePr w:type="band1Horz">
      <w:tblPr/>
      <w:tcPr>
        <w:shd w:val="clear" w:color="auto" w:fill="F5D6C7" w:themeFill="accent5" w:themeFillTint="3F"/>
      </w:tcPr>
    </w:tblStylePr>
  </w:style>
  <w:style w:type="table" w:styleId="MediumList1-Accent6">
    <w:name w:val="Medium List 1 Accent 6"/>
    <w:basedOn w:val="TableNormal"/>
    <w:uiPriority w:val="65"/>
    <w:locked/>
    <w:rsid w:val="00F80750"/>
    <w:pPr>
      <w:spacing w:after="0"/>
    </w:pPr>
    <w:rPr>
      <w:color w:val="000000" w:themeColor="text1"/>
    </w:r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203145"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03145" w:themeColor="accent1"/>
        <w:left w:val="single" w:sz="8" w:space="0" w:color="203145" w:themeColor="accent1"/>
        <w:bottom w:val="single" w:sz="8" w:space="0" w:color="203145" w:themeColor="accent1"/>
        <w:right w:val="single" w:sz="8" w:space="0" w:color="203145" w:themeColor="accent1"/>
      </w:tblBorders>
    </w:tblPr>
    <w:tblStylePr w:type="firstRow">
      <w:rPr>
        <w:sz w:val="24"/>
        <w:szCs w:val="24"/>
      </w:rPr>
      <w:tblPr/>
      <w:tcPr>
        <w:tcBorders>
          <w:top w:val="nil"/>
          <w:left w:val="nil"/>
          <w:bottom w:val="single" w:sz="24" w:space="0" w:color="203145" w:themeColor="accent1"/>
          <w:right w:val="nil"/>
          <w:insideH w:val="nil"/>
          <w:insideV w:val="nil"/>
        </w:tcBorders>
        <w:shd w:val="clear" w:color="auto" w:fill="FFFFFF" w:themeFill="background1"/>
      </w:tcPr>
    </w:tblStylePr>
    <w:tblStylePr w:type="lastRow">
      <w:tblPr/>
      <w:tcPr>
        <w:tcBorders>
          <w:top w:val="single" w:sz="8" w:space="0" w:color="20314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3145" w:themeColor="accent1"/>
          <w:insideH w:val="nil"/>
          <w:insideV w:val="nil"/>
        </w:tcBorders>
        <w:shd w:val="clear" w:color="auto" w:fill="FFFFFF" w:themeFill="background1"/>
      </w:tcPr>
    </w:tblStylePr>
    <w:tblStylePr w:type="lastCol">
      <w:tblPr/>
      <w:tcPr>
        <w:tcBorders>
          <w:top w:val="nil"/>
          <w:left w:val="single" w:sz="8" w:space="0" w:color="20314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CADF" w:themeFill="accent1" w:themeFillTint="3F"/>
      </w:tcPr>
    </w:tblStylePr>
    <w:tblStylePr w:type="band1Horz">
      <w:tblPr/>
      <w:tcPr>
        <w:tcBorders>
          <w:top w:val="nil"/>
          <w:bottom w:val="nil"/>
          <w:insideH w:val="nil"/>
          <w:insideV w:val="nil"/>
        </w:tcBorders>
        <w:shd w:val="clear" w:color="auto" w:fill="B9CAD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F96A1" w:themeColor="accent2"/>
        <w:left w:val="single" w:sz="8" w:space="0" w:color="8F96A1" w:themeColor="accent2"/>
        <w:bottom w:val="single" w:sz="8" w:space="0" w:color="8F96A1" w:themeColor="accent2"/>
        <w:right w:val="single" w:sz="8" w:space="0" w:color="8F96A1" w:themeColor="accent2"/>
      </w:tblBorders>
    </w:tblPr>
    <w:tblStylePr w:type="firstRow">
      <w:rPr>
        <w:sz w:val="24"/>
        <w:szCs w:val="24"/>
      </w:rPr>
      <w:tblPr/>
      <w:tcPr>
        <w:tcBorders>
          <w:top w:val="nil"/>
          <w:left w:val="nil"/>
          <w:bottom w:val="single" w:sz="24" w:space="0" w:color="8F96A1" w:themeColor="accent2"/>
          <w:right w:val="nil"/>
          <w:insideH w:val="nil"/>
          <w:insideV w:val="nil"/>
        </w:tcBorders>
        <w:shd w:val="clear" w:color="auto" w:fill="FFFFFF" w:themeFill="background1"/>
      </w:tcPr>
    </w:tblStylePr>
    <w:tblStylePr w:type="lastRow">
      <w:tblPr/>
      <w:tcPr>
        <w:tcBorders>
          <w:top w:val="single" w:sz="8" w:space="0" w:color="8F96A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96A1" w:themeColor="accent2"/>
          <w:insideH w:val="nil"/>
          <w:insideV w:val="nil"/>
        </w:tcBorders>
        <w:shd w:val="clear" w:color="auto" w:fill="FFFFFF" w:themeFill="background1"/>
      </w:tcPr>
    </w:tblStylePr>
    <w:tblStylePr w:type="lastCol">
      <w:tblPr/>
      <w:tcPr>
        <w:tcBorders>
          <w:top w:val="nil"/>
          <w:left w:val="single" w:sz="8" w:space="0" w:color="8F96A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4E7" w:themeFill="accent2" w:themeFillTint="3F"/>
      </w:tcPr>
    </w:tblStylePr>
    <w:tblStylePr w:type="band1Horz">
      <w:tblPr/>
      <w:tcPr>
        <w:tcBorders>
          <w:top w:val="nil"/>
          <w:bottom w:val="nil"/>
          <w:insideH w:val="nil"/>
          <w:insideV w:val="nil"/>
        </w:tcBorders>
        <w:shd w:val="clear" w:color="auto" w:fill="E3E4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7823B" w:themeColor="accent3"/>
        <w:left w:val="single" w:sz="8" w:space="0" w:color="57823B" w:themeColor="accent3"/>
        <w:bottom w:val="single" w:sz="8" w:space="0" w:color="57823B" w:themeColor="accent3"/>
        <w:right w:val="single" w:sz="8" w:space="0" w:color="57823B" w:themeColor="accent3"/>
      </w:tblBorders>
    </w:tblPr>
    <w:tblStylePr w:type="firstRow">
      <w:rPr>
        <w:sz w:val="24"/>
        <w:szCs w:val="24"/>
      </w:rPr>
      <w:tblPr/>
      <w:tcPr>
        <w:tcBorders>
          <w:top w:val="nil"/>
          <w:left w:val="nil"/>
          <w:bottom w:val="single" w:sz="24" w:space="0" w:color="57823B" w:themeColor="accent3"/>
          <w:right w:val="nil"/>
          <w:insideH w:val="nil"/>
          <w:insideV w:val="nil"/>
        </w:tcBorders>
        <w:shd w:val="clear" w:color="auto" w:fill="FFFFFF" w:themeFill="background1"/>
      </w:tcPr>
    </w:tblStylePr>
    <w:tblStylePr w:type="lastRow">
      <w:tblPr/>
      <w:tcPr>
        <w:tcBorders>
          <w:top w:val="single" w:sz="8" w:space="0" w:color="57823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823B" w:themeColor="accent3"/>
          <w:insideH w:val="nil"/>
          <w:insideV w:val="nil"/>
        </w:tcBorders>
        <w:shd w:val="clear" w:color="auto" w:fill="FFFFFF" w:themeFill="background1"/>
      </w:tcPr>
    </w:tblStylePr>
    <w:tblStylePr w:type="lastCol">
      <w:tblPr/>
      <w:tcPr>
        <w:tcBorders>
          <w:top w:val="nil"/>
          <w:left w:val="single" w:sz="8" w:space="0" w:color="57823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6C8" w:themeFill="accent3" w:themeFillTint="3F"/>
      </w:tcPr>
    </w:tblStylePr>
    <w:tblStylePr w:type="band1Horz">
      <w:tblPr/>
      <w:tcPr>
        <w:tcBorders>
          <w:top w:val="nil"/>
          <w:bottom w:val="nil"/>
          <w:insideH w:val="nil"/>
          <w:insideV w:val="nil"/>
        </w:tcBorders>
        <w:shd w:val="clear" w:color="auto" w:fill="D4E6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FD64F" w:themeColor="accent4"/>
        <w:left w:val="single" w:sz="8" w:space="0" w:color="FFD64F" w:themeColor="accent4"/>
        <w:bottom w:val="single" w:sz="8" w:space="0" w:color="FFD64F" w:themeColor="accent4"/>
        <w:right w:val="single" w:sz="8" w:space="0" w:color="FFD64F" w:themeColor="accent4"/>
      </w:tblBorders>
    </w:tblPr>
    <w:tblStylePr w:type="firstRow">
      <w:rPr>
        <w:sz w:val="24"/>
        <w:szCs w:val="24"/>
      </w:rPr>
      <w:tblPr/>
      <w:tcPr>
        <w:tcBorders>
          <w:top w:val="nil"/>
          <w:left w:val="nil"/>
          <w:bottom w:val="single" w:sz="24" w:space="0" w:color="FFD64F" w:themeColor="accent4"/>
          <w:right w:val="nil"/>
          <w:insideH w:val="nil"/>
          <w:insideV w:val="nil"/>
        </w:tcBorders>
        <w:shd w:val="clear" w:color="auto" w:fill="FFFFFF" w:themeFill="background1"/>
      </w:tcPr>
    </w:tblStylePr>
    <w:tblStylePr w:type="lastRow">
      <w:tblPr/>
      <w:tcPr>
        <w:tcBorders>
          <w:top w:val="single" w:sz="8" w:space="0" w:color="FFD64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64F" w:themeColor="accent4"/>
          <w:insideH w:val="nil"/>
          <w:insideV w:val="nil"/>
        </w:tcBorders>
        <w:shd w:val="clear" w:color="auto" w:fill="FFFFFF" w:themeFill="background1"/>
      </w:tcPr>
    </w:tblStylePr>
    <w:tblStylePr w:type="lastCol">
      <w:tblPr/>
      <w:tcPr>
        <w:tcBorders>
          <w:top w:val="nil"/>
          <w:left w:val="single" w:sz="8" w:space="0" w:color="FFD6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4D3" w:themeFill="accent4" w:themeFillTint="3F"/>
      </w:tcPr>
    </w:tblStylePr>
    <w:tblStylePr w:type="band1Horz">
      <w:tblPr/>
      <w:tcPr>
        <w:tcBorders>
          <w:top w:val="nil"/>
          <w:bottom w:val="nil"/>
          <w:insideH w:val="nil"/>
          <w:insideV w:val="nil"/>
        </w:tcBorders>
        <w:shd w:val="clear" w:color="auto" w:fill="FFF4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D45E25" w:themeColor="accent5"/>
        <w:left w:val="single" w:sz="8" w:space="0" w:color="D45E25" w:themeColor="accent5"/>
        <w:bottom w:val="single" w:sz="8" w:space="0" w:color="D45E25" w:themeColor="accent5"/>
        <w:right w:val="single" w:sz="8" w:space="0" w:color="D45E25" w:themeColor="accent5"/>
      </w:tblBorders>
    </w:tblPr>
    <w:tblStylePr w:type="firstRow">
      <w:rPr>
        <w:sz w:val="24"/>
        <w:szCs w:val="24"/>
      </w:rPr>
      <w:tblPr/>
      <w:tcPr>
        <w:tcBorders>
          <w:top w:val="nil"/>
          <w:left w:val="nil"/>
          <w:bottom w:val="single" w:sz="24" w:space="0" w:color="D45E25" w:themeColor="accent5"/>
          <w:right w:val="nil"/>
          <w:insideH w:val="nil"/>
          <w:insideV w:val="nil"/>
        </w:tcBorders>
        <w:shd w:val="clear" w:color="auto" w:fill="FFFFFF" w:themeFill="background1"/>
      </w:tcPr>
    </w:tblStylePr>
    <w:tblStylePr w:type="lastRow">
      <w:tblPr/>
      <w:tcPr>
        <w:tcBorders>
          <w:top w:val="single" w:sz="8" w:space="0" w:color="D45E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5E25" w:themeColor="accent5"/>
          <w:insideH w:val="nil"/>
          <w:insideV w:val="nil"/>
        </w:tcBorders>
        <w:shd w:val="clear" w:color="auto" w:fill="FFFFFF" w:themeFill="background1"/>
      </w:tcPr>
    </w:tblStylePr>
    <w:tblStylePr w:type="lastCol">
      <w:tblPr/>
      <w:tcPr>
        <w:tcBorders>
          <w:top w:val="nil"/>
          <w:left w:val="single" w:sz="8" w:space="0" w:color="D45E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6C7" w:themeFill="accent5" w:themeFillTint="3F"/>
      </w:tcPr>
    </w:tblStylePr>
    <w:tblStylePr w:type="band1Horz">
      <w:tblPr/>
      <w:tcPr>
        <w:tcBorders>
          <w:top w:val="nil"/>
          <w:bottom w:val="nil"/>
          <w:insideH w:val="nil"/>
          <w:insideV w:val="nil"/>
        </w:tcBorders>
        <w:shd w:val="clear" w:color="auto" w:fill="F5D6C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single" w:sz="8" w:space="0" w:color="40628A" w:themeColor="accent1" w:themeTint="BF"/>
      </w:tblBorders>
    </w:tblPr>
    <w:tblStylePr w:type="firstRow">
      <w:pPr>
        <w:spacing w:before="0" w:after="0" w:line="240" w:lineRule="auto"/>
      </w:pPr>
      <w:rPr>
        <w:b/>
        <w:bCs/>
        <w:color w:val="FFFFFF" w:themeColor="background1"/>
      </w:rPr>
      <w:tblPr/>
      <w:tcPr>
        <w:tcBorders>
          <w:top w:val="single" w:sz="8"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shd w:val="clear" w:color="auto" w:fill="203145" w:themeFill="accent1"/>
      </w:tcPr>
    </w:tblStylePr>
    <w:tblStylePr w:type="lastRow">
      <w:pPr>
        <w:spacing w:before="0" w:after="0" w:line="240" w:lineRule="auto"/>
      </w:pPr>
      <w:rPr>
        <w:b/>
        <w:bCs/>
      </w:rPr>
      <w:tblPr/>
      <w:tcPr>
        <w:tcBorders>
          <w:top w:val="double" w:sz="6" w:space="0" w:color="40628A" w:themeColor="accent1" w:themeTint="BF"/>
          <w:left w:val="single" w:sz="8" w:space="0" w:color="40628A" w:themeColor="accent1" w:themeTint="BF"/>
          <w:bottom w:val="single" w:sz="8" w:space="0" w:color="40628A" w:themeColor="accent1" w:themeTint="BF"/>
          <w:right w:val="single" w:sz="8" w:space="0" w:color="40628A" w:themeColor="accent1" w:themeTint="BF"/>
          <w:insideH w:val="nil"/>
          <w:insideV w:val="nil"/>
        </w:tcBorders>
      </w:tcPr>
    </w:tblStylePr>
    <w:tblStylePr w:type="firstCol">
      <w:rPr>
        <w:b/>
        <w:bCs/>
      </w:rPr>
    </w:tblStylePr>
    <w:tblStylePr w:type="lastCol">
      <w:rPr>
        <w:b/>
        <w:bCs/>
      </w:rPr>
    </w:tblStylePr>
    <w:tblStylePr w:type="band1Vert">
      <w:tblPr/>
      <w:tcPr>
        <w:shd w:val="clear" w:color="auto" w:fill="B9CADF" w:themeFill="accent1" w:themeFillTint="3F"/>
      </w:tcPr>
    </w:tblStylePr>
    <w:tblStylePr w:type="band1Horz">
      <w:tblPr/>
      <w:tcPr>
        <w:tcBorders>
          <w:insideH w:val="nil"/>
          <w:insideV w:val="nil"/>
        </w:tcBorders>
        <w:shd w:val="clear" w:color="auto" w:fill="B9CAD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single" w:sz="8" w:space="0" w:color="ABB0B8" w:themeColor="accent2" w:themeTint="BF"/>
      </w:tblBorders>
    </w:tblPr>
    <w:tblStylePr w:type="firstRow">
      <w:pPr>
        <w:spacing w:before="0" w:after="0" w:line="240" w:lineRule="auto"/>
      </w:pPr>
      <w:rPr>
        <w:b/>
        <w:bCs/>
        <w:color w:val="FFFFFF" w:themeColor="background1"/>
      </w:rPr>
      <w:tblPr/>
      <w:tcPr>
        <w:tcBorders>
          <w:top w:val="single" w:sz="8"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shd w:val="clear" w:color="auto" w:fill="8F96A1" w:themeFill="accent2"/>
      </w:tcPr>
    </w:tblStylePr>
    <w:tblStylePr w:type="lastRow">
      <w:pPr>
        <w:spacing w:before="0" w:after="0" w:line="240" w:lineRule="auto"/>
      </w:pPr>
      <w:rPr>
        <w:b/>
        <w:bCs/>
      </w:rPr>
      <w:tblPr/>
      <w:tcPr>
        <w:tcBorders>
          <w:top w:val="double" w:sz="6" w:space="0" w:color="ABB0B8" w:themeColor="accent2" w:themeTint="BF"/>
          <w:left w:val="single" w:sz="8" w:space="0" w:color="ABB0B8" w:themeColor="accent2" w:themeTint="BF"/>
          <w:bottom w:val="single" w:sz="8" w:space="0" w:color="ABB0B8" w:themeColor="accent2" w:themeTint="BF"/>
          <w:right w:val="single" w:sz="8" w:space="0" w:color="ABB0B8"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7" w:themeFill="accent2" w:themeFillTint="3F"/>
      </w:tcPr>
    </w:tblStylePr>
    <w:tblStylePr w:type="band1Horz">
      <w:tblPr/>
      <w:tcPr>
        <w:tcBorders>
          <w:insideH w:val="nil"/>
          <w:insideV w:val="nil"/>
        </w:tcBorders>
        <w:shd w:val="clear" w:color="auto" w:fill="E3E4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single" w:sz="8" w:space="0" w:color="7CB359" w:themeColor="accent3" w:themeTint="BF"/>
      </w:tblBorders>
    </w:tblPr>
    <w:tblStylePr w:type="firstRow">
      <w:pPr>
        <w:spacing w:before="0" w:after="0" w:line="240" w:lineRule="auto"/>
      </w:pPr>
      <w:rPr>
        <w:b/>
        <w:bCs/>
        <w:color w:val="FFFFFF" w:themeColor="background1"/>
      </w:rPr>
      <w:tblPr/>
      <w:tcPr>
        <w:tcBorders>
          <w:top w:val="single" w:sz="8"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shd w:val="clear" w:color="auto" w:fill="57823B" w:themeFill="accent3"/>
      </w:tcPr>
    </w:tblStylePr>
    <w:tblStylePr w:type="lastRow">
      <w:pPr>
        <w:spacing w:before="0" w:after="0" w:line="240" w:lineRule="auto"/>
      </w:pPr>
      <w:rPr>
        <w:b/>
        <w:bCs/>
      </w:rPr>
      <w:tblPr/>
      <w:tcPr>
        <w:tcBorders>
          <w:top w:val="double" w:sz="6" w:space="0" w:color="7CB359" w:themeColor="accent3" w:themeTint="BF"/>
          <w:left w:val="single" w:sz="8" w:space="0" w:color="7CB359" w:themeColor="accent3" w:themeTint="BF"/>
          <w:bottom w:val="single" w:sz="8" w:space="0" w:color="7CB359" w:themeColor="accent3" w:themeTint="BF"/>
          <w:right w:val="single" w:sz="8" w:space="0" w:color="7CB3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D4E6C8" w:themeFill="accent3" w:themeFillTint="3F"/>
      </w:tcPr>
    </w:tblStylePr>
    <w:tblStylePr w:type="band1Horz">
      <w:tblPr/>
      <w:tcPr>
        <w:tcBorders>
          <w:insideH w:val="nil"/>
          <w:insideV w:val="nil"/>
        </w:tcBorders>
        <w:shd w:val="clear" w:color="auto" w:fill="D4E6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single" w:sz="8" w:space="0" w:color="FFDF7B" w:themeColor="accent4" w:themeTint="BF"/>
      </w:tblBorders>
    </w:tblPr>
    <w:tblStylePr w:type="firstRow">
      <w:pPr>
        <w:spacing w:before="0" w:after="0" w:line="240" w:lineRule="auto"/>
      </w:pPr>
      <w:rPr>
        <w:b/>
        <w:bCs/>
        <w:color w:val="FFFFFF" w:themeColor="background1"/>
      </w:rPr>
      <w:tblPr/>
      <w:tcPr>
        <w:tcBorders>
          <w:top w:val="single" w:sz="8"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shd w:val="clear" w:color="auto" w:fill="FFD64F" w:themeFill="accent4"/>
      </w:tcPr>
    </w:tblStylePr>
    <w:tblStylePr w:type="lastRow">
      <w:pPr>
        <w:spacing w:before="0" w:after="0" w:line="240" w:lineRule="auto"/>
      </w:pPr>
      <w:rPr>
        <w:b/>
        <w:bCs/>
      </w:rPr>
      <w:tblPr/>
      <w:tcPr>
        <w:tcBorders>
          <w:top w:val="double" w:sz="6" w:space="0" w:color="FFDF7B" w:themeColor="accent4" w:themeTint="BF"/>
          <w:left w:val="single" w:sz="8" w:space="0" w:color="FFDF7B" w:themeColor="accent4" w:themeTint="BF"/>
          <w:bottom w:val="single" w:sz="8" w:space="0" w:color="FFDF7B" w:themeColor="accent4" w:themeTint="BF"/>
          <w:right w:val="single" w:sz="8" w:space="0" w:color="FFDF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F4D3" w:themeFill="accent4" w:themeFillTint="3F"/>
      </w:tcPr>
    </w:tblStylePr>
    <w:tblStylePr w:type="band1Horz">
      <w:tblPr/>
      <w:tcPr>
        <w:tcBorders>
          <w:insideH w:val="nil"/>
          <w:insideV w:val="nil"/>
        </w:tcBorders>
        <w:shd w:val="clear" w:color="auto" w:fill="FFF4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single" w:sz="8" w:space="0" w:color="E28558" w:themeColor="accent5" w:themeTint="BF"/>
      </w:tblBorders>
    </w:tblPr>
    <w:tblStylePr w:type="firstRow">
      <w:pPr>
        <w:spacing w:before="0" w:after="0" w:line="240" w:lineRule="auto"/>
      </w:pPr>
      <w:rPr>
        <w:b/>
        <w:bCs/>
        <w:color w:val="FFFFFF" w:themeColor="background1"/>
      </w:rPr>
      <w:tblPr/>
      <w:tcPr>
        <w:tcBorders>
          <w:top w:val="single" w:sz="8"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shd w:val="clear" w:color="auto" w:fill="D45E25" w:themeFill="accent5"/>
      </w:tcPr>
    </w:tblStylePr>
    <w:tblStylePr w:type="lastRow">
      <w:pPr>
        <w:spacing w:before="0" w:after="0" w:line="240" w:lineRule="auto"/>
      </w:pPr>
      <w:rPr>
        <w:b/>
        <w:bCs/>
      </w:rPr>
      <w:tblPr/>
      <w:tcPr>
        <w:tcBorders>
          <w:top w:val="double" w:sz="6" w:space="0" w:color="E28558" w:themeColor="accent5" w:themeTint="BF"/>
          <w:left w:val="single" w:sz="8" w:space="0" w:color="E28558" w:themeColor="accent5" w:themeTint="BF"/>
          <w:bottom w:val="single" w:sz="8" w:space="0" w:color="E28558" w:themeColor="accent5" w:themeTint="BF"/>
          <w:right w:val="single" w:sz="8" w:space="0" w:color="E285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D6C7" w:themeFill="accent5" w:themeFillTint="3F"/>
      </w:tcPr>
    </w:tblStylePr>
    <w:tblStylePr w:type="band1Horz">
      <w:tblPr/>
      <w:tcPr>
        <w:tcBorders>
          <w:insideH w:val="nil"/>
          <w:insideV w:val="nil"/>
        </w:tcBorders>
        <w:shd w:val="clear" w:color="auto" w:fill="F5D6C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314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3145" w:themeFill="accent1"/>
      </w:tcPr>
    </w:tblStylePr>
    <w:tblStylePr w:type="lastCol">
      <w:rPr>
        <w:b/>
        <w:bCs/>
        <w:color w:val="FFFFFF" w:themeColor="background1"/>
      </w:rPr>
      <w:tblPr/>
      <w:tcPr>
        <w:tcBorders>
          <w:left w:val="nil"/>
          <w:right w:val="nil"/>
          <w:insideH w:val="nil"/>
          <w:insideV w:val="nil"/>
        </w:tcBorders>
        <w:shd w:val="clear" w:color="auto" w:fill="20314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96A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96A1" w:themeFill="accent2"/>
      </w:tcPr>
    </w:tblStylePr>
    <w:tblStylePr w:type="lastCol">
      <w:rPr>
        <w:b/>
        <w:bCs/>
        <w:color w:val="FFFFFF" w:themeColor="background1"/>
      </w:rPr>
      <w:tblPr/>
      <w:tcPr>
        <w:tcBorders>
          <w:left w:val="nil"/>
          <w:right w:val="nil"/>
          <w:insideH w:val="nil"/>
          <w:insideV w:val="nil"/>
        </w:tcBorders>
        <w:shd w:val="clear" w:color="auto" w:fill="8F96A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823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823B" w:themeFill="accent3"/>
      </w:tcPr>
    </w:tblStylePr>
    <w:tblStylePr w:type="lastCol">
      <w:rPr>
        <w:b/>
        <w:bCs/>
        <w:color w:val="FFFFFF" w:themeColor="background1"/>
      </w:rPr>
      <w:tblPr/>
      <w:tcPr>
        <w:tcBorders>
          <w:left w:val="nil"/>
          <w:right w:val="nil"/>
          <w:insideH w:val="nil"/>
          <w:insideV w:val="nil"/>
        </w:tcBorders>
        <w:shd w:val="clear" w:color="auto" w:fill="57823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6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64F" w:themeFill="accent4"/>
      </w:tcPr>
    </w:tblStylePr>
    <w:tblStylePr w:type="lastCol">
      <w:rPr>
        <w:b/>
        <w:bCs/>
        <w:color w:val="FFFFFF" w:themeColor="background1"/>
      </w:rPr>
      <w:tblPr/>
      <w:tcPr>
        <w:tcBorders>
          <w:left w:val="nil"/>
          <w:right w:val="nil"/>
          <w:insideH w:val="nil"/>
          <w:insideV w:val="nil"/>
        </w:tcBorders>
        <w:shd w:val="clear" w:color="auto" w:fill="FFD6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5E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5E25" w:themeFill="accent5"/>
      </w:tcPr>
    </w:tblStylePr>
    <w:tblStylePr w:type="lastCol">
      <w:rPr>
        <w:b/>
        <w:bCs/>
        <w:color w:val="FFFFFF" w:themeColor="background1"/>
      </w:rPr>
      <w:tblPr/>
      <w:tcPr>
        <w:tcBorders>
          <w:left w:val="nil"/>
          <w:right w:val="nil"/>
          <w:insideH w:val="nil"/>
          <w:insideV w:val="nil"/>
        </w:tcBorders>
        <w:shd w:val="clear" w:color="auto" w:fill="D45E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F8075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noProof w:val="0"/>
      <w:sz w:val="24"/>
      <w:szCs w:val="24"/>
      <w:shd w:val="pct20" w:color="auto" w:fill="auto"/>
      <w:lang w:val="en-AU"/>
    </w:rPr>
  </w:style>
  <w:style w:type="paragraph" w:styleId="NoSpacing">
    <w:name w:val="No Spacing"/>
    <w:uiPriority w:val="16"/>
    <w:qFormat/>
    <w:rsid w:val="00F80750"/>
    <w:pPr>
      <w:spacing w:after="0"/>
    </w:pPr>
  </w:style>
  <w:style w:type="paragraph" w:styleId="NormalWeb">
    <w:name w:val="Normal (Web)"/>
    <w:basedOn w:val="Normal"/>
    <w:uiPriority w:val="99"/>
    <w:unhideWhenUsed/>
    <w:locked/>
    <w:rsid w:val="00F80750"/>
    <w:rPr>
      <w:rFonts w:ascii="Times New Roman" w:hAnsi="Times New Roman"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style>
  <w:style w:type="character" w:customStyle="1" w:styleId="NoteHeadingChar">
    <w:name w:val="Note Heading Char"/>
    <w:basedOn w:val="DefaultParagraphFont"/>
    <w:link w:val="NoteHeading"/>
    <w:uiPriority w:val="99"/>
    <w:semiHidden/>
    <w:rsid w:val="00F80750"/>
    <w:rPr>
      <w:noProof w:val="0"/>
      <w:lang w:val="en-AU"/>
    </w:rPr>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noProof w:val="0"/>
      <w:sz w:val="21"/>
      <w:szCs w:val="21"/>
      <w:lang w:val="en-AU"/>
    </w:rPr>
  </w:style>
  <w:style w:type="paragraph" w:styleId="Quote">
    <w:name w:val="Quote"/>
    <w:basedOn w:val="Normal"/>
    <w:next w:val="Normal"/>
    <w:link w:val="QuoteChar"/>
    <w:uiPriority w:val="29"/>
    <w:semiHidden/>
    <w:qFormat/>
    <w:locked/>
    <w:rsid w:val="00AE0E43"/>
    <w:pPr>
      <w:ind w:left="567" w:right="567"/>
    </w:pPr>
    <w:rPr>
      <w:i/>
      <w:iCs/>
      <w:color w:val="000000" w:themeColor="text1"/>
    </w:rPr>
  </w:style>
  <w:style w:type="character" w:customStyle="1" w:styleId="QuoteChar">
    <w:name w:val="Quote Char"/>
    <w:basedOn w:val="DefaultParagraphFont"/>
    <w:link w:val="Quote"/>
    <w:uiPriority w:val="29"/>
    <w:semiHidden/>
    <w:rsid w:val="00FE3EE8"/>
    <w:rPr>
      <w:i/>
      <w:iCs/>
      <w:color w:val="000000" w:themeColor="text1"/>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rPr>
      <w:noProof w:val="0"/>
      <w:lang w:val="en-AU"/>
    </w:rPr>
  </w:style>
  <w:style w:type="paragraph" w:styleId="Signature">
    <w:name w:val="Signature"/>
    <w:basedOn w:val="Normal"/>
    <w:link w:val="SignatureChar"/>
    <w:uiPriority w:val="99"/>
    <w:semiHidden/>
    <w:unhideWhenUsed/>
    <w:locked/>
    <w:rsid w:val="00F80750"/>
    <w:pPr>
      <w:ind w:left="4252"/>
    </w:pPr>
  </w:style>
  <w:style w:type="character" w:customStyle="1" w:styleId="SignatureChar">
    <w:name w:val="Signature Char"/>
    <w:basedOn w:val="DefaultParagraphFont"/>
    <w:link w:val="Signature"/>
    <w:uiPriority w:val="99"/>
    <w:semiHidden/>
    <w:rsid w:val="00F80750"/>
    <w:rPr>
      <w:noProof w:val="0"/>
      <w:lang w:val="en-AU"/>
    </w:rPr>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203145"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203145"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8F96A1"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ind w:left="190" w:hanging="190"/>
    </w:pPr>
  </w:style>
  <w:style w:type="paragraph" w:styleId="TableofFigures">
    <w:name w:val="table of figures"/>
    <w:basedOn w:val="Normal"/>
    <w:next w:val="Normal"/>
    <w:uiPriority w:val="99"/>
    <w:semiHidden/>
    <w:unhideWhenUsed/>
    <w:locked/>
    <w:rsid w:val="00F80750"/>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next w:val="Normal"/>
    <w:autoRedefine/>
    <w:uiPriority w:val="39"/>
    <w:rsid w:val="009A6772"/>
    <w:pPr>
      <w:tabs>
        <w:tab w:val="left" w:pos="1140"/>
        <w:tab w:val="right" w:pos="9639"/>
      </w:tabs>
      <w:spacing w:after="60" w:line="288" w:lineRule="auto"/>
      <w:ind w:left="442"/>
    </w:pPr>
    <w:rPr>
      <w:caps/>
      <w:color w:val="203145" w:themeColor="text2"/>
    </w:rPr>
  </w:style>
  <w:style w:type="paragraph" w:styleId="TOC3">
    <w:name w:val="toc 3"/>
    <w:next w:val="Normal"/>
    <w:autoRedefine/>
    <w:uiPriority w:val="39"/>
    <w:rsid w:val="009A6772"/>
    <w:pPr>
      <w:tabs>
        <w:tab w:val="left" w:pos="2030"/>
        <w:tab w:val="right" w:pos="9639"/>
      </w:tabs>
      <w:spacing w:after="60" w:line="288" w:lineRule="auto"/>
      <w:ind w:left="1140"/>
    </w:pPr>
    <w:rPr>
      <w:caps/>
      <w:color w:val="203145" w:themeColor="text2"/>
    </w:rPr>
  </w:style>
  <w:style w:type="paragraph" w:styleId="TOC4">
    <w:name w:val="toc 4"/>
    <w:basedOn w:val="Normal"/>
    <w:next w:val="Normal"/>
    <w:autoRedefine/>
    <w:uiPriority w:val="39"/>
    <w:unhideWhenUsed/>
    <w:locked/>
    <w:rsid w:val="00F80750"/>
    <w:pPr>
      <w:spacing w:after="100"/>
      <w:ind w:left="570"/>
    </w:pPr>
  </w:style>
  <w:style w:type="paragraph" w:styleId="TOC5">
    <w:name w:val="toc 5"/>
    <w:basedOn w:val="Normal"/>
    <w:next w:val="Normal"/>
    <w:autoRedefine/>
    <w:uiPriority w:val="39"/>
    <w:unhideWhenUsed/>
    <w:locked/>
    <w:rsid w:val="00F80750"/>
    <w:pPr>
      <w:spacing w:after="100"/>
      <w:ind w:left="760"/>
    </w:pPr>
  </w:style>
  <w:style w:type="paragraph" w:styleId="TOC6">
    <w:name w:val="toc 6"/>
    <w:basedOn w:val="Normal"/>
    <w:next w:val="Normal"/>
    <w:autoRedefine/>
    <w:uiPriority w:val="39"/>
    <w:unhideWhenUsed/>
    <w:locked/>
    <w:rsid w:val="00F80750"/>
    <w:pPr>
      <w:spacing w:after="100"/>
      <w:ind w:left="950"/>
    </w:pPr>
  </w:style>
  <w:style w:type="paragraph" w:styleId="TOC7">
    <w:name w:val="toc 7"/>
    <w:basedOn w:val="Normal"/>
    <w:next w:val="Normal"/>
    <w:autoRedefine/>
    <w:uiPriority w:val="39"/>
    <w:unhideWhenUsed/>
    <w:locked/>
    <w:rsid w:val="00F80750"/>
    <w:pPr>
      <w:spacing w:after="100"/>
      <w:ind w:left="1140"/>
    </w:pPr>
  </w:style>
  <w:style w:type="paragraph" w:styleId="TOC8">
    <w:name w:val="toc 8"/>
    <w:basedOn w:val="Normal"/>
    <w:next w:val="Normal"/>
    <w:autoRedefine/>
    <w:uiPriority w:val="39"/>
    <w:unhideWhenUsed/>
    <w:locked/>
    <w:rsid w:val="00F80750"/>
    <w:pPr>
      <w:spacing w:after="100"/>
      <w:ind w:left="1330"/>
    </w:pPr>
  </w:style>
  <w:style w:type="paragraph" w:styleId="TOC9">
    <w:name w:val="toc 9"/>
    <w:basedOn w:val="Normal"/>
    <w:next w:val="Normal"/>
    <w:autoRedefine/>
    <w:uiPriority w:val="39"/>
    <w:unhideWhenUsed/>
    <w:locked/>
    <w:rsid w:val="00F80750"/>
    <w:pPr>
      <w:spacing w:after="100"/>
      <w:ind w:left="1520"/>
    </w:pPr>
  </w:style>
  <w:style w:type="paragraph" w:customStyle="1" w:styleId="Notes">
    <w:name w:val="Notes"/>
    <w:basedOn w:val="Normal"/>
    <w:semiHidden/>
    <w:qFormat/>
    <w:rsid w:val="00503A51"/>
    <w:pPr>
      <w:spacing w:after="240"/>
    </w:pPr>
  </w:style>
  <w:style w:type="numbering" w:customStyle="1" w:styleId="GeneralList">
    <w:name w:val="General List"/>
    <w:uiPriority w:val="99"/>
    <w:rsid w:val="00503A51"/>
    <w:pPr>
      <w:numPr>
        <w:numId w:val="6"/>
      </w:numPr>
    </w:pPr>
  </w:style>
  <w:style w:type="numbering" w:customStyle="1" w:styleId="CustomHeadingList">
    <w:name w:val="Custom Heading List"/>
    <w:uiPriority w:val="99"/>
    <w:rsid w:val="003A3021"/>
    <w:pPr>
      <w:numPr>
        <w:numId w:val="7"/>
      </w:numPr>
    </w:pPr>
  </w:style>
  <w:style w:type="paragraph" w:customStyle="1" w:styleId="ShadedEmphasisStyle">
    <w:name w:val="Shaded Emphasis Style"/>
    <w:basedOn w:val="Normal"/>
    <w:uiPriority w:val="11"/>
    <w:semiHidden/>
    <w:qFormat/>
    <w:locked/>
    <w:rsid w:val="003B6E16"/>
    <w:pPr>
      <w:shd w:val="clear" w:color="auto" w:fill="203145" w:themeFill="accent1"/>
    </w:pPr>
  </w:style>
  <w:style w:type="paragraph" w:customStyle="1" w:styleId="Introduction">
    <w:name w:val="Introduction"/>
    <w:next w:val="BodyNormal"/>
    <w:uiPriority w:val="11"/>
    <w:qFormat/>
    <w:rsid w:val="00C541F9"/>
    <w:pPr>
      <w:spacing w:after="567"/>
    </w:pPr>
    <w:rPr>
      <w:sz w:val="30"/>
    </w:rPr>
  </w:style>
  <w:style w:type="paragraph" w:customStyle="1" w:styleId="CoverReportNumber">
    <w:name w:val="Cover Report Number"/>
    <w:basedOn w:val="Normal"/>
    <w:uiPriority w:val="26"/>
    <w:rsid w:val="00755163"/>
  </w:style>
  <w:style w:type="paragraph" w:customStyle="1" w:styleId="CoverVersionDate">
    <w:name w:val="Cover Version / Date"/>
    <w:basedOn w:val="CoverReportNumber"/>
    <w:uiPriority w:val="26"/>
    <w:rsid w:val="000638F7"/>
    <w:pPr>
      <w:spacing w:before="2560" w:after="1701"/>
      <w:jc w:val="left"/>
    </w:pPr>
    <w:rPr>
      <w:b/>
      <w:caps/>
      <w:color w:val="FFFFFF" w:themeColor="background1"/>
      <w:spacing w:val="54"/>
      <w:sz w:val="18"/>
    </w:rPr>
  </w:style>
  <w:style w:type="table" w:customStyle="1" w:styleId="TableGridLight1">
    <w:name w:val="Table Grid Light1"/>
    <w:basedOn w:val="TableNormal"/>
    <w:uiPriority w:val="40"/>
    <w:rsid w:val="0049743E"/>
    <w:pPr>
      <w:spacing w:after="0"/>
      <w:jc w:val="center"/>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style>
  <w:style w:type="numbering" w:customStyle="1" w:styleId="AppendixList">
    <w:name w:val="Appendix List"/>
    <w:uiPriority w:val="99"/>
    <w:locked/>
    <w:rsid w:val="00FD06D5"/>
    <w:pPr>
      <w:numPr>
        <w:numId w:val="8"/>
      </w:numPr>
    </w:pPr>
  </w:style>
  <w:style w:type="paragraph" w:customStyle="1" w:styleId="Heading1NoNumbers">
    <w:name w:val="Heading 1 No Numbers"/>
    <w:basedOn w:val="Normal"/>
    <w:next w:val="BodyNormal"/>
    <w:uiPriority w:val="1"/>
    <w:qFormat/>
    <w:rsid w:val="00A569AD"/>
    <w:pPr>
      <w:spacing w:before="400" w:after="240"/>
      <w:jc w:val="left"/>
    </w:pPr>
    <w:rPr>
      <w:rFonts w:ascii="Palatino Linotype" w:hAnsi="Palatino Linotype"/>
      <w:b/>
      <w:color w:val="203145"/>
      <w:sz w:val="50"/>
    </w:rPr>
  </w:style>
  <w:style w:type="paragraph" w:customStyle="1" w:styleId="Body">
    <w:name w:val="Body"/>
    <w:semiHidden/>
    <w:qFormat/>
    <w:locked/>
    <w:rsid w:val="00EE7327"/>
    <w:pPr>
      <w:spacing w:before="240" w:line="288" w:lineRule="auto"/>
    </w:pPr>
    <w:rPr>
      <w:szCs w:val="16"/>
      <w:lang w:val="en-US"/>
    </w:rPr>
  </w:style>
  <w:style w:type="paragraph" w:customStyle="1" w:styleId="MessageBoxHeading">
    <w:name w:val="Message Box Heading"/>
    <w:next w:val="MessageBoxBody"/>
    <w:uiPriority w:val="20"/>
    <w:qFormat/>
    <w:rsid w:val="0033787D"/>
    <w:pPr>
      <w:framePr w:w="4678" w:wrap="notBeside" w:vAnchor="text" w:hAnchor="text" w:y="1"/>
      <w:pBdr>
        <w:top w:val="single" w:sz="48" w:space="1" w:color="203145"/>
        <w:left w:val="single" w:sz="12" w:space="4" w:color="203145"/>
        <w:bottom w:val="single" w:sz="48" w:space="1" w:color="203145"/>
        <w:right w:val="single" w:sz="48" w:space="4" w:color="203145"/>
      </w:pBdr>
      <w:shd w:val="clear" w:color="auto" w:fill="203145"/>
      <w:spacing w:after="0"/>
      <w:ind w:left="113"/>
      <w:jc w:val="left"/>
    </w:pPr>
    <w:rPr>
      <w:b/>
      <w:caps/>
      <w:color w:val="FFFFFF" w:themeColor="background1"/>
      <w:spacing w:val="54"/>
      <w:sz w:val="18"/>
    </w:rPr>
  </w:style>
  <w:style w:type="table" w:customStyle="1" w:styleId="ColouredTable">
    <w:name w:val="Coloured Table"/>
    <w:basedOn w:val="TableNormal"/>
    <w:uiPriority w:val="99"/>
    <w:rsid w:val="004E6E12"/>
    <w:pPr>
      <w:spacing w:after="0"/>
      <w:jc w:val="left"/>
    </w:pPr>
    <w:rPr>
      <w:color w:val="FFFFFF" w:themeColor="background1"/>
      <w:sz w:val="18"/>
    </w:rPr>
    <w:tblPr>
      <w:tblBorders>
        <w:top w:val="single" w:sz="36" w:space="0" w:color="FFFFFF" w:themeColor="background1"/>
        <w:insideH w:val="single" w:sz="36" w:space="0" w:color="FFFFFF" w:themeColor="background1"/>
        <w:insideV w:val="single" w:sz="36" w:space="0" w:color="FFFFFF" w:themeColor="background1"/>
      </w:tblBorders>
      <w:tblCellMar>
        <w:top w:w="108" w:type="dxa"/>
        <w:bottom w:w="108" w:type="dxa"/>
      </w:tblCellMar>
    </w:tblPr>
    <w:tcPr>
      <w:shd w:val="clear" w:color="auto" w:fill="203145"/>
    </w:tcPr>
    <w:tblStylePr w:type="firstRow">
      <w:pPr>
        <w:wordWrap/>
        <w:spacing w:beforeLines="0" w:before="0" w:beforeAutospacing="0" w:afterLines="0" w:after="0" w:afterAutospacing="0" w:line="240" w:lineRule="auto"/>
        <w:contextualSpacing w:val="0"/>
        <w:jc w:val="left"/>
        <w:outlineLvl w:val="9"/>
      </w:pPr>
      <w:rPr>
        <w:caps/>
        <w:smallCaps w:val="0"/>
      </w:rPr>
      <w:tblPr/>
      <w:trPr>
        <w:tblHeader/>
      </w:trPr>
      <w:tcPr>
        <w:shd w:val="clear" w:color="auto" w:fill="8F96A1"/>
        <w:vAlign w:val="center"/>
      </w:tcPr>
    </w:tblStylePr>
  </w:style>
  <w:style w:type="paragraph" w:customStyle="1" w:styleId="TableBulletShadedTable">
    <w:name w:val="Table Bullet Shaded Table"/>
    <w:uiPriority w:val="2"/>
    <w:qFormat/>
    <w:rsid w:val="00480344"/>
    <w:pPr>
      <w:numPr>
        <w:numId w:val="9"/>
      </w:numPr>
      <w:spacing w:before="60" w:after="60" w:line="288" w:lineRule="auto"/>
      <w:jc w:val="left"/>
    </w:pPr>
    <w:rPr>
      <w:color w:val="FFFFFF" w:themeColor="background1"/>
      <w:sz w:val="18"/>
    </w:rPr>
  </w:style>
  <w:style w:type="table" w:customStyle="1" w:styleId="JobNoTable">
    <w:name w:val="Job No. Table"/>
    <w:basedOn w:val="TableNormal"/>
    <w:uiPriority w:val="99"/>
    <w:rsid w:val="00480344"/>
    <w:pPr>
      <w:spacing w:after="0"/>
      <w:jc w:val="left"/>
    </w:pPr>
    <w:rPr>
      <w:sz w:val="16"/>
    </w:rPr>
    <w:tblPr>
      <w:tblBorders>
        <w:top w:val="single" w:sz="4" w:space="0" w:color="B9B9B9" w:themeColor="background2" w:themeShade="BF"/>
        <w:left w:val="single" w:sz="4" w:space="0" w:color="B9B9B9" w:themeColor="background2" w:themeShade="BF"/>
        <w:bottom w:val="single" w:sz="4" w:space="0" w:color="B9B9B9" w:themeColor="background2" w:themeShade="BF"/>
        <w:right w:val="single" w:sz="4" w:space="0" w:color="B9B9B9" w:themeColor="background2" w:themeShade="BF"/>
        <w:insideH w:val="single" w:sz="4" w:space="0" w:color="B9B9B9" w:themeColor="background2" w:themeShade="BF"/>
        <w:insideV w:val="single" w:sz="4" w:space="0" w:color="B9B9B9" w:themeColor="background2" w:themeShade="BF"/>
      </w:tblBorders>
    </w:tblPr>
    <w:tblStylePr w:type="firstRow">
      <w:pPr>
        <w:wordWrap/>
        <w:spacing w:beforeLines="0" w:before="0" w:beforeAutospacing="0" w:afterLines="0" w:after="0" w:afterAutospacing="0" w:line="240" w:lineRule="auto"/>
        <w:jc w:val="left"/>
      </w:pPr>
      <w:rPr>
        <w:rFonts w:asciiTheme="minorHAnsi" w:hAnsiTheme="minorHAnsi"/>
        <w:b/>
        <w:i w:val="0"/>
        <w:sz w:val="16"/>
      </w:rPr>
    </w:tblStylePr>
  </w:style>
  <w:style w:type="paragraph" w:customStyle="1" w:styleId="CallOutHeading">
    <w:name w:val="Call Out Heading"/>
    <w:next w:val="Calloutbody"/>
    <w:uiPriority w:val="22"/>
    <w:qFormat/>
    <w:rsid w:val="0033787D"/>
    <w:pPr>
      <w:pBdr>
        <w:top w:val="single" w:sz="48" w:space="1" w:color="203145" w:themeColor="text2"/>
        <w:left w:val="single" w:sz="12" w:space="4" w:color="203145" w:themeColor="text2"/>
        <w:bottom w:val="single" w:sz="48" w:space="1" w:color="203145" w:themeColor="text2"/>
        <w:right w:val="single" w:sz="48" w:space="4" w:color="203145" w:themeColor="text2"/>
      </w:pBdr>
      <w:shd w:val="clear" w:color="auto" w:fill="203145" w:themeFill="accent1"/>
      <w:spacing w:after="0"/>
      <w:ind w:left="113" w:right="227"/>
      <w:jc w:val="left"/>
    </w:pPr>
    <w:rPr>
      <w:b/>
      <w:caps/>
      <w:color w:val="FFFFFF" w:themeColor="background1"/>
      <w:spacing w:val="54"/>
      <w:sz w:val="18"/>
    </w:rPr>
  </w:style>
  <w:style w:type="paragraph" w:customStyle="1" w:styleId="CalloutBullet1">
    <w:name w:val="Callout Bullet 1"/>
    <w:basedOn w:val="ListBullet4"/>
    <w:uiPriority w:val="22"/>
    <w:qFormat/>
    <w:rsid w:val="00126B56"/>
    <w:pPr>
      <w:framePr w:w="0" w:wrap="auto" w:vAnchor="margin" w:yAlign="inline"/>
      <w:ind w:left="226" w:right="227" w:hanging="113"/>
    </w:pPr>
  </w:style>
  <w:style w:type="paragraph" w:customStyle="1" w:styleId="CalloutBullet2">
    <w:name w:val="Callout Bullet 2"/>
    <w:basedOn w:val="ListBullet5"/>
    <w:uiPriority w:val="22"/>
    <w:qFormat/>
    <w:rsid w:val="00126B56"/>
    <w:pPr>
      <w:framePr w:w="0" w:wrap="auto" w:vAnchor="margin" w:yAlign="inline"/>
      <w:ind w:right="227"/>
    </w:pPr>
  </w:style>
  <w:style w:type="paragraph" w:customStyle="1" w:styleId="Heading2noNumbers">
    <w:name w:val="Heading 2 no Numbers"/>
    <w:basedOn w:val="Heading2"/>
    <w:next w:val="BodyNormal"/>
    <w:uiPriority w:val="1"/>
    <w:qFormat/>
    <w:rsid w:val="00705927"/>
    <w:pPr>
      <w:numPr>
        <w:ilvl w:val="0"/>
        <w:numId w:val="0"/>
      </w:numPr>
    </w:pPr>
  </w:style>
  <w:style w:type="paragraph" w:customStyle="1" w:styleId="CoverAdress">
    <w:name w:val="Cover Adress"/>
    <w:uiPriority w:val="26"/>
    <w:rsid w:val="003367AE"/>
    <w:pPr>
      <w:framePr w:w="4536" w:wrap="around" w:vAnchor="page" w:hAnchor="margin" w:y="15140"/>
      <w:jc w:val="left"/>
    </w:pPr>
    <w:rPr>
      <w:color w:val="FFFFFF" w:themeColor="background1"/>
      <w:sz w:val="14"/>
    </w:rPr>
  </w:style>
  <w:style w:type="character" w:customStyle="1" w:styleId="Yellow">
    <w:name w:val="Yellow"/>
    <w:basedOn w:val="DefaultParagraphFont"/>
    <w:uiPriority w:val="14"/>
    <w:qFormat/>
    <w:rsid w:val="00925EF0"/>
    <w:rPr>
      <w:color w:val="FFD64F" w:themeColor="accent4"/>
      <w:sz w:val="18"/>
    </w:rPr>
  </w:style>
  <w:style w:type="character" w:customStyle="1" w:styleId="Green">
    <w:name w:val="Green"/>
    <w:basedOn w:val="DefaultParagraphFont"/>
    <w:uiPriority w:val="14"/>
    <w:qFormat/>
    <w:rsid w:val="00925EF0"/>
    <w:rPr>
      <w:color w:val="57823B" w:themeColor="accent3"/>
    </w:rPr>
  </w:style>
  <w:style w:type="character" w:customStyle="1" w:styleId="BurntOrange">
    <w:name w:val="Burnt Orange"/>
    <w:basedOn w:val="DefaultParagraphFont"/>
    <w:uiPriority w:val="14"/>
    <w:qFormat/>
    <w:rsid w:val="00925EF0"/>
    <w:rPr>
      <w:color w:val="D45E25" w:themeColor="accent5"/>
    </w:rPr>
  </w:style>
  <w:style w:type="character" w:customStyle="1" w:styleId="Blue">
    <w:name w:val="Blue"/>
    <w:basedOn w:val="DefaultParagraphFont"/>
    <w:uiPriority w:val="14"/>
    <w:qFormat/>
    <w:rsid w:val="00925EF0"/>
    <w:rPr>
      <w:color w:val="203145" w:themeColor="accent1"/>
    </w:rPr>
  </w:style>
  <w:style w:type="character" w:customStyle="1" w:styleId="Grey">
    <w:name w:val="Grey"/>
    <w:basedOn w:val="DefaultParagraphFont"/>
    <w:uiPriority w:val="14"/>
    <w:qFormat/>
    <w:rsid w:val="00925EF0"/>
    <w:rPr>
      <w:color w:val="8F96A1" w:themeColor="accent2"/>
    </w:rPr>
  </w:style>
  <w:style w:type="character" w:customStyle="1" w:styleId="Highlight">
    <w:name w:val="Highlight"/>
    <w:basedOn w:val="DefaultParagraphFont"/>
    <w:uiPriority w:val="15"/>
    <w:qFormat/>
    <w:rsid w:val="00925EF0"/>
    <w:rPr>
      <w:bdr w:val="none" w:sz="0" w:space="0" w:color="auto"/>
      <w:shd w:val="clear" w:color="auto" w:fill="FFFF00"/>
    </w:rPr>
  </w:style>
  <w:style w:type="character" w:customStyle="1" w:styleId="RemoveHighlight">
    <w:name w:val="Remove Highlight"/>
    <w:basedOn w:val="DefaultParagraphFont"/>
    <w:uiPriority w:val="15"/>
    <w:qFormat/>
    <w:rsid w:val="00925EF0"/>
    <w:rPr>
      <w:bdr w:val="none" w:sz="0" w:space="0" w:color="auto"/>
      <w:shd w:val="clear" w:color="auto" w:fill="auto"/>
    </w:rPr>
  </w:style>
  <w:style w:type="paragraph" w:customStyle="1" w:styleId="Calloutbody">
    <w:name w:val="Callout body"/>
    <w:basedOn w:val="CallOutHeading"/>
    <w:uiPriority w:val="22"/>
    <w:rsid w:val="00B43656"/>
    <w:pPr>
      <w:pBdr>
        <w:top w:val="none" w:sz="0" w:space="0" w:color="auto"/>
        <w:bottom w:val="single" w:sz="12" w:space="1" w:color="203145" w:themeColor="text2"/>
      </w:pBdr>
    </w:pPr>
    <w:rPr>
      <w:b w:val="0"/>
      <w:caps w:val="0"/>
      <w:spacing w:val="0"/>
      <w:sz w:val="20"/>
    </w:rPr>
  </w:style>
  <w:style w:type="paragraph" w:customStyle="1" w:styleId="MessageBoxBody">
    <w:name w:val="Message Box Body"/>
    <w:basedOn w:val="MessageBoxHeading"/>
    <w:uiPriority w:val="21"/>
    <w:qFormat/>
    <w:rsid w:val="00B43656"/>
    <w:pPr>
      <w:framePr w:wrap="notBeside"/>
      <w:pBdr>
        <w:top w:val="none" w:sz="0" w:space="0" w:color="auto"/>
        <w:bottom w:val="single" w:sz="12" w:space="1" w:color="203145"/>
      </w:pBdr>
    </w:pPr>
    <w:rPr>
      <w:b w:val="0"/>
      <w:caps w:val="0"/>
      <w:spacing w:val="0"/>
      <w:sz w:val="20"/>
    </w:rPr>
  </w:style>
  <w:style w:type="paragraph" w:customStyle="1" w:styleId="TableBullet">
    <w:name w:val="Table Bullet"/>
    <w:basedOn w:val="TableBulletShadedTable"/>
    <w:uiPriority w:val="2"/>
    <w:qFormat/>
    <w:rsid w:val="00480344"/>
    <w:pPr>
      <w:numPr>
        <w:ilvl w:val="1"/>
      </w:numPr>
    </w:pPr>
    <w:rPr>
      <w:color w:val="000000" w:themeColor="text1"/>
    </w:rPr>
  </w:style>
  <w:style w:type="paragraph" w:customStyle="1" w:styleId="RomanNumeral">
    <w:name w:val="Roman Numeral"/>
    <w:uiPriority w:val="1"/>
    <w:qFormat/>
    <w:rsid w:val="0090503F"/>
    <w:pPr>
      <w:numPr>
        <w:numId w:val="13"/>
      </w:numPr>
      <w:spacing w:before="60" w:after="60" w:line="288" w:lineRule="auto"/>
      <w:ind w:hanging="357"/>
    </w:pPr>
  </w:style>
  <w:style w:type="paragraph" w:customStyle="1" w:styleId="LetterBullet">
    <w:name w:val="Letter Bullet"/>
    <w:uiPriority w:val="1"/>
    <w:qFormat/>
    <w:rsid w:val="0090503F"/>
    <w:pPr>
      <w:numPr>
        <w:numId w:val="14"/>
      </w:numPr>
      <w:spacing w:before="60" w:after="60" w:line="288" w:lineRule="auto"/>
    </w:pPr>
  </w:style>
  <w:style w:type="paragraph" w:customStyle="1" w:styleId="QuoteItalics">
    <w:name w:val="Quote Italics"/>
    <w:basedOn w:val="BodyNormal"/>
    <w:qFormat/>
    <w:rsid w:val="00573BC8"/>
    <w:pPr>
      <w:ind w:left="567" w:right="567"/>
    </w:pPr>
    <w:rPr>
      <w:i/>
    </w:rPr>
  </w:style>
  <w:style w:type="paragraph" w:customStyle="1" w:styleId="BodyNormal">
    <w:name w:val="Body Normal"/>
    <w:basedOn w:val="Body"/>
    <w:qFormat/>
    <w:rsid w:val="00F04E47"/>
    <w:rPr>
      <w:lang w:val="en-AU"/>
    </w:rPr>
  </w:style>
  <w:style w:type="paragraph" w:customStyle="1" w:styleId="Heading3NoNumbers">
    <w:name w:val="Heading 3 No Numbers"/>
    <w:basedOn w:val="Heading2noNumbers"/>
    <w:next w:val="BodyNormal"/>
    <w:uiPriority w:val="1"/>
    <w:qFormat/>
    <w:rsid w:val="00004000"/>
    <w:rPr>
      <w:sz w:val="20"/>
    </w:rPr>
  </w:style>
  <w:style w:type="paragraph" w:customStyle="1" w:styleId="TableText">
    <w:name w:val="Table Text"/>
    <w:basedOn w:val="Normal"/>
    <w:link w:val="TableTextChar"/>
    <w:qFormat/>
    <w:rsid w:val="00341D17"/>
    <w:pPr>
      <w:spacing w:before="60" w:after="60" w:line="288" w:lineRule="auto"/>
      <w:jc w:val="left"/>
    </w:pPr>
    <w:rPr>
      <w:rFonts w:asciiTheme="minorHAnsi" w:hAnsiTheme="minorHAnsi"/>
    </w:rPr>
  </w:style>
  <w:style w:type="character" w:customStyle="1" w:styleId="TableTextChar">
    <w:name w:val="Table Text Char"/>
    <w:basedOn w:val="DefaultParagraphFont"/>
    <w:link w:val="TableText"/>
    <w:locked/>
    <w:rsid w:val="00341D17"/>
    <w:rPr>
      <w:rFonts w:asciiTheme="minorHAnsi" w:hAnsiTheme="minorHAnsi"/>
    </w:rPr>
  </w:style>
  <w:style w:type="character" w:customStyle="1" w:styleId="ListParagraphChar">
    <w:name w:val="List Paragraph Char"/>
    <w:aliases w:val="NFP GP Bulleted List Char,List Paragraph1 Char,Recommendation Char,List Paragraph11 Char"/>
    <w:basedOn w:val="DefaultParagraphFont"/>
    <w:link w:val="ListParagraph"/>
    <w:uiPriority w:val="34"/>
    <w:rsid w:val="00602B4B"/>
  </w:style>
  <w:style w:type="paragraph" w:customStyle="1" w:styleId="Default">
    <w:name w:val="Default"/>
    <w:rsid w:val="00C71D1E"/>
    <w:pPr>
      <w:widowControl w:val="0"/>
      <w:autoSpaceDE w:val="0"/>
      <w:autoSpaceDN w:val="0"/>
      <w:adjustRightInd w:val="0"/>
      <w:spacing w:after="0"/>
      <w:jc w:val="left"/>
    </w:pPr>
    <w:rPr>
      <w:rFonts w:eastAsia="Times New Roman" w:cs="Arial"/>
      <w:color w:val="000000"/>
      <w:sz w:val="24"/>
      <w:szCs w:val="24"/>
      <w:lang w:val="en-US"/>
    </w:rPr>
  </w:style>
  <w:style w:type="paragraph" w:styleId="Revision">
    <w:name w:val="Revision"/>
    <w:hidden/>
    <w:uiPriority w:val="99"/>
    <w:semiHidden/>
    <w:rsid w:val="004310FE"/>
    <w:pPr>
      <w:spacing w:after="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6651">
      <w:bodyDiv w:val="1"/>
      <w:marLeft w:val="0"/>
      <w:marRight w:val="0"/>
      <w:marTop w:val="0"/>
      <w:marBottom w:val="0"/>
      <w:divBdr>
        <w:top w:val="none" w:sz="0" w:space="0" w:color="auto"/>
        <w:left w:val="none" w:sz="0" w:space="0" w:color="auto"/>
        <w:bottom w:val="none" w:sz="0" w:space="0" w:color="auto"/>
        <w:right w:val="none" w:sz="0" w:space="0" w:color="auto"/>
      </w:divBdr>
      <w:divsChild>
        <w:div w:id="1852060002">
          <w:marLeft w:val="0"/>
          <w:marRight w:val="0"/>
          <w:marTop w:val="0"/>
          <w:marBottom w:val="0"/>
          <w:divBdr>
            <w:top w:val="none" w:sz="0" w:space="0" w:color="auto"/>
            <w:left w:val="none" w:sz="0" w:space="0" w:color="auto"/>
            <w:bottom w:val="none" w:sz="0" w:space="0" w:color="auto"/>
            <w:right w:val="none" w:sz="0" w:space="0" w:color="auto"/>
          </w:divBdr>
          <w:divsChild>
            <w:div w:id="1344895081">
              <w:marLeft w:val="0"/>
              <w:marRight w:val="0"/>
              <w:marTop w:val="0"/>
              <w:marBottom w:val="0"/>
              <w:divBdr>
                <w:top w:val="none" w:sz="0" w:space="0" w:color="auto"/>
                <w:left w:val="none" w:sz="0" w:space="0" w:color="auto"/>
                <w:bottom w:val="none" w:sz="0" w:space="0" w:color="auto"/>
                <w:right w:val="none" w:sz="0" w:space="0" w:color="auto"/>
              </w:divBdr>
              <w:divsChild>
                <w:div w:id="66717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26623">
      <w:bodyDiv w:val="1"/>
      <w:marLeft w:val="0"/>
      <w:marRight w:val="0"/>
      <w:marTop w:val="0"/>
      <w:marBottom w:val="0"/>
      <w:divBdr>
        <w:top w:val="none" w:sz="0" w:space="0" w:color="auto"/>
        <w:left w:val="none" w:sz="0" w:space="0" w:color="auto"/>
        <w:bottom w:val="none" w:sz="0" w:space="0" w:color="auto"/>
        <w:right w:val="none" w:sz="0" w:space="0" w:color="auto"/>
      </w:divBdr>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94609638">
      <w:bodyDiv w:val="1"/>
      <w:marLeft w:val="0"/>
      <w:marRight w:val="0"/>
      <w:marTop w:val="0"/>
      <w:marBottom w:val="0"/>
      <w:divBdr>
        <w:top w:val="none" w:sz="0" w:space="0" w:color="auto"/>
        <w:left w:val="none" w:sz="0" w:space="0" w:color="auto"/>
        <w:bottom w:val="none" w:sz="0" w:space="0" w:color="auto"/>
        <w:right w:val="none" w:sz="0" w:space="0" w:color="auto"/>
      </w:divBdr>
      <w:divsChild>
        <w:div w:id="1282496722">
          <w:marLeft w:val="0"/>
          <w:marRight w:val="0"/>
          <w:marTop w:val="0"/>
          <w:marBottom w:val="0"/>
          <w:divBdr>
            <w:top w:val="none" w:sz="0" w:space="0" w:color="auto"/>
            <w:left w:val="none" w:sz="0" w:space="0" w:color="auto"/>
            <w:bottom w:val="none" w:sz="0" w:space="0" w:color="auto"/>
            <w:right w:val="none" w:sz="0" w:space="0" w:color="auto"/>
          </w:divBdr>
          <w:divsChild>
            <w:div w:id="961887418">
              <w:marLeft w:val="0"/>
              <w:marRight w:val="0"/>
              <w:marTop w:val="0"/>
              <w:marBottom w:val="0"/>
              <w:divBdr>
                <w:top w:val="none" w:sz="0" w:space="0" w:color="auto"/>
                <w:left w:val="none" w:sz="0" w:space="0" w:color="auto"/>
                <w:bottom w:val="none" w:sz="0" w:space="0" w:color="auto"/>
                <w:right w:val="none" w:sz="0" w:space="0" w:color="auto"/>
              </w:divBdr>
              <w:divsChild>
                <w:div w:id="689524690">
                  <w:marLeft w:val="0"/>
                  <w:marRight w:val="0"/>
                  <w:marTop w:val="0"/>
                  <w:marBottom w:val="0"/>
                  <w:divBdr>
                    <w:top w:val="none" w:sz="0" w:space="0" w:color="auto"/>
                    <w:left w:val="none" w:sz="0" w:space="0" w:color="auto"/>
                    <w:bottom w:val="none" w:sz="0" w:space="0" w:color="auto"/>
                    <w:right w:val="none" w:sz="0" w:space="0" w:color="auto"/>
                  </w:divBdr>
                  <w:divsChild>
                    <w:div w:id="35986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700524">
      <w:bodyDiv w:val="1"/>
      <w:marLeft w:val="0"/>
      <w:marRight w:val="0"/>
      <w:marTop w:val="0"/>
      <w:marBottom w:val="0"/>
      <w:divBdr>
        <w:top w:val="none" w:sz="0" w:space="0" w:color="auto"/>
        <w:left w:val="none" w:sz="0" w:space="0" w:color="auto"/>
        <w:bottom w:val="none" w:sz="0" w:space="0" w:color="auto"/>
        <w:right w:val="none" w:sz="0" w:space="0" w:color="auto"/>
      </w:divBdr>
      <w:divsChild>
        <w:div w:id="192696480">
          <w:marLeft w:val="0"/>
          <w:marRight w:val="0"/>
          <w:marTop w:val="0"/>
          <w:marBottom w:val="0"/>
          <w:divBdr>
            <w:top w:val="none" w:sz="0" w:space="0" w:color="auto"/>
            <w:left w:val="none" w:sz="0" w:space="0" w:color="auto"/>
            <w:bottom w:val="none" w:sz="0" w:space="0" w:color="auto"/>
            <w:right w:val="none" w:sz="0" w:space="0" w:color="auto"/>
          </w:divBdr>
          <w:divsChild>
            <w:div w:id="1582639417">
              <w:marLeft w:val="0"/>
              <w:marRight w:val="0"/>
              <w:marTop w:val="0"/>
              <w:marBottom w:val="0"/>
              <w:divBdr>
                <w:top w:val="none" w:sz="0" w:space="0" w:color="auto"/>
                <w:left w:val="none" w:sz="0" w:space="0" w:color="auto"/>
                <w:bottom w:val="none" w:sz="0" w:space="0" w:color="auto"/>
                <w:right w:val="none" w:sz="0" w:space="0" w:color="auto"/>
              </w:divBdr>
              <w:divsChild>
                <w:div w:id="900868124">
                  <w:marLeft w:val="0"/>
                  <w:marRight w:val="0"/>
                  <w:marTop w:val="0"/>
                  <w:marBottom w:val="0"/>
                  <w:divBdr>
                    <w:top w:val="none" w:sz="0" w:space="0" w:color="auto"/>
                    <w:left w:val="none" w:sz="0" w:space="0" w:color="auto"/>
                    <w:bottom w:val="none" w:sz="0" w:space="0" w:color="auto"/>
                    <w:right w:val="none" w:sz="0" w:space="0" w:color="auto"/>
                  </w:divBdr>
                  <w:divsChild>
                    <w:div w:id="91994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082158">
      <w:bodyDiv w:val="1"/>
      <w:marLeft w:val="0"/>
      <w:marRight w:val="0"/>
      <w:marTop w:val="0"/>
      <w:marBottom w:val="0"/>
      <w:divBdr>
        <w:top w:val="none" w:sz="0" w:space="0" w:color="auto"/>
        <w:left w:val="none" w:sz="0" w:space="0" w:color="auto"/>
        <w:bottom w:val="none" w:sz="0" w:space="0" w:color="auto"/>
        <w:right w:val="none" w:sz="0" w:space="0" w:color="auto"/>
      </w:divBdr>
      <w:divsChild>
        <w:div w:id="623773487">
          <w:marLeft w:val="0"/>
          <w:marRight w:val="0"/>
          <w:marTop w:val="0"/>
          <w:marBottom w:val="0"/>
          <w:divBdr>
            <w:top w:val="none" w:sz="0" w:space="0" w:color="auto"/>
            <w:left w:val="none" w:sz="0" w:space="0" w:color="auto"/>
            <w:bottom w:val="none" w:sz="0" w:space="0" w:color="auto"/>
            <w:right w:val="none" w:sz="0" w:space="0" w:color="auto"/>
          </w:divBdr>
          <w:divsChild>
            <w:div w:id="416756664">
              <w:marLeft w:val="0"/>
              <w:marRight w:val="0"/>
              <w:marTop w:val="0"/>
              <w:marBottom w:val="0"/>
              <w:divBdr>
                <w:top w:val="none" w:sz="0" w:space="0" w:color="auto"/>
                <w:left w:val="none" w:sz="0" w:space="0" w:color="auto"/>
                <w:bottom w:val="none" w:sz="0" w:space="0" w:color="auto"/>
                <w:right w:val="none" w:sz="0" w:space="0" w:color="auto"/>
              </w:divBdr>
              <w:divsChild>
                <w:div w:id="1859157972">
                  <w:marLeft w:val="0"/>
                  <w:marRight w:val="0"/>
                  <w:marTop w:val="0"/>
                  <w:marBottom w:val="0"/>
                  <w:divBdr>
                    <w:top w:val="none" w:sz="0" w:space="0" w:color="auto"/>
                    <w:left w:val="none" w:sz="0" w:space="0" w:color="auto"/>
                    <w:bottom w:val="none" w:sz="0" w:space="0" w:color="auto"/>
                    <w:right w:val="none" w:sz="0" w:space="0" w:color="auto"/>
                  </w:divBdr>
                  <w:divsChild>
                    <w:div w:id="6971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73173460">
      <w:bodyDiv w:val="1"/>
      <w:marLeft w:val="0"/>
      <w:marRight w:val="0"/>
      <w:marTop w:val="0"/>
      <w:marBottom w:val="0"/>
      <w:divBdr>
        <w:top w:val="none" w:sz="0" w:space="0" w:color="auto"/>
        <w:left w:val="none" w:sz="0" w:space="0" w:color="auto"/>
        <w:bottom w:val="none" w:sz="0" w:space="0" w:color="auto"/>
        <w:right w:val="none" w:sz="0" w:space="0" w:color="auto"/>
      </w:divBdr>
    </w:div>
    <w:div w:id="1260597523">
      <w:bodyDiv w:val="1"/>
      <w:marLeft w:val="0"/>
      <w:marRight w:val="0"/>
      <w:marTop w:val="0"/>
      <w:marBottom w:val="0"/>
      <w:divBdr>
        <w:top w:val="none" w:sz="0" w:space="0" w:color="auto"/>
        <w:left w:val="none" w:sz="0" w:space="0" w:color="auto"/>
        <w:bottom w:val="none" w:sz="0" w:space="0" w:color="auto"/>
        <w:right w:val="none" w:sz="0" w:space="0" w:color="auto"/>
      </w:divBdr>
      <w:divsChild>
        <w:div w:id="153843969">
          <w:marLeft w:val="0"/>
          <w:marRight w:val="0"/>
          <w:marTop w:val="0"/>
          <w:marBottom w:val="0"/>
          <w:divBdr>
            <w:top w:val="none" w:sz="0" w:space="0" w:color="auto"/>
            <w:left w:val="none" w:sz="0" w:space="0" w:color="auto"/>
            <w:bottom w:val="none" w:sz="0" w:space="0" w:color="auto"/>
            <w:right w:val="none" w:sz="0" w:space="0" w:color="auto"/>
          </w:divBdr>
          <w:divsChild>
            <w:div w:id="706834847">
              <w:marLeft w:val="0"/>
              <w:marRight w:val="0"/>
              <w:marTop w:val="0"/>
              <w:marBottom w:val="0"/>
              <w:divBdr>
                <w:top w:val="none" w:sz="0" w:space="0" w:color="auto"/>
                <w:left w:val="none" w:sz="0" w:space="0" w:color="auto"/>
                <w:bottom w:val="none" w:sz="0" w:space="0" w:color="auto"/>
                <w:right w:val="none" w:sz="0" w:space="0" w:color="auto"/>
              </w:divBdr>
              <w:divsChild>
                <w:div w:id="2544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8741">
      <w:bodyDiv w:val="1"/>
      <w:marLeft w:val="0"/>
      <w:marRight w:val="0"/>
      <w:marTop w:val="0"/>
      <w:marBottom w:val="0"/>
      <w:divBdr>
        <w:top w:val="none" w:sz="0" w:space="0" w:color="auto"/>
        <w:left w:val="none" w:sz="0" w:space="0" w:color="auto"/>
        <w:bottom w:val="none" w:sz="0" w:space="0" w:color="auto"/>
        <w:right w:val="none" w:sz="0" w:space="0" w:color="auto"/>
      </w:divBdr>
      <w:divsChild>
        <w:div w:id="95564679">
          <w:marLeft w:val="0"/>
          <w:marRight w:val="0"/>
          <w:marTop w:val="0"/>
          <w:marBottom w:val="0"/>
          <w:divBdr>
            <w:top w:val="none" w:sz="0" w:space="0" w:color="auto"/>
            <w:left w:val="none" w:sz="0" w:space="0" w:color="auto"/>
            <w:bottom w:val="none" w:sz="0" w:space="0" w:color="auto"/>
            <w:right w:val="none" w:sz="0" w:space="0" w:color="auto"/>
          </w:divBdr>
          <w:divsChild>
            <w:div w:id="875430372">
              <w:marLeft w:val="0"/>
              <w:marRight w:val="0"/>
              <w:marTop w:val="0"/>
              <w:marBottom w:val="0"/>
              <w:divBdr>
                <w:top w:val="none" w:sz="0" w:space="0" w:color="auto"/>
                <w:left w:val="none" w:sz="0" w:space="0" w:color="auto"/>
                <w:bottom w:val="none" w:sz="0" w:space="0" w:color="auto"/>
                <w:right w:val="none" w:sz="0" w:space="0" w:color="auto"/>
              </w:divBdr>
              <w:divsChild>
                <w:div w:id="2000108820">
                  <w:marLeft w:val="0"/>
                  <w:marRight w:val="0"/>
                  <w:marTop w:val="0"/>
                  <w:marBottom w:val="0"/>
                  <w:divBdr>
                    <w:top w:val="none" w:sz="0" w:space="0" w:color="auto"/>
                    <w:left w:val="none" w:sz="0" w:space="0" w:color="auto"/>
                    <w:bottom w:val="none" w:sz="0" w:space="0" w:color="auto"/>
                    <w:right w:val="none" w:sz="0" w:space="0" w:color="auto"/>
                  </w:divBdr>
                  <w:divsChild>
                    <w:div w:id="113609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546081">
      <w:bodyDiv w:val="1"/>
      <w:marLeft w:val="0"/>
      <w:marRight w:val="0"/>
      <w:marTop w:val="0"/>
      <w:marBottom w:val="0"/>
      <w:divBdr>
        <w:top w:val="none" w:sz="0" w:space="0" w:color="auto"/>
        <w:left w:val="none" w:sz="0" w:space="0" w:color="auto"/>
        <w:bottom w:val="none" w:sz="0" w:space="0" w:color="auto"/>
        <w:right w:val="none" w:sz="0" w:space="0" w:color="auto"/>
      </w:divBdr>
      <w:divsChild>
        <w:div w:id="245578942">
          <w:marLeft w:val="0"/>
          <w:marRight w:val="0"/>
          <w:marTop w:val="0"/>
          <w:marBottom w:val="0"/>
          <w:divBdr>
            <w:top w:val="none" w:sz="0" w:space="0" w:color="auto"/>
            <w:left w:val="none" w:sz="0" w:space="0" w:color="auto"/>
            <w:bottom w:val="none" w:sz="0" w:space="0" w:color="auto"/>
            <w:right w:val="none" w:sz="0" w:space="0" w:color="auto"/>
          </w:divBdr>
          <w:divsChild>
            <w:div w:id="90782434">
              <w:marLeft w:val="0"/>
              <w:marRight w:val="0"/>
              <w:marTop w:val="0"/>
              <w:marBottom w:val="0"/>
              <w:divBdr>
                <w:top w:val="none" w:sz="0" w:space="0" w:color="auto"/>
                <w:left w:val="none" w:sz="0" w:space="0" w:color="auto"/>
                <w:bottom w:val="none" w:sz="0" w:space="0" w:color="auto"/>
                <w:right w:val="none" w:sz="0" w:space="0" w:color="auto"/>
              </w:divBdr>
              <w:divsChild>
                <w:div w:id="1214611345">
                  <w:marLeft w:val="0"/>
                  <w:marRight w:val="0"/>
                  <w:marTop w:val="0"/>
                  <w:marBottom w:val="0"/>
                  <w:divBdr>
                    <w:top w:val="none" w:sz="0" w:space="0" w:color="auto"/>
                    <w:left w:val="none" w:sz="0" w:space="0" w:color="auto"/>
                    <w:bottom w:val="none" w:sz="0" w:space="0" w:color="auto"/>
                    <w:right w:val="none" w:sz="0" w:space="0" w:color="auto"/>
                  </w:divBdr>
                  <w:divsChild>
                    <w:div w:id="78789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857960857">
      <w:bodyDiv w:val="1"/>
      <w:marLeft w:val="0"/>
      <w:marRight w:val="0"/>
      <w:marTop w:val="0"/>
      <w:marBottom w:val="0"/>
      <w:divBdr>
        <w:top w:val="none" w:sz="0" w:space="0" w:color="auto"/>
        <w:left w:val="none" w:sz="0" w:space="0" w:color="auto"/>
        <w:bottom w:val="none" w:sz="0" w:space="0" w:color="auto"/>
        <w:right w:val="none" w:sz="0" w:space="0" w:color="auto"/>
      </w:divBdr>
      <w:divsChild>
        <w:div w:id="261568332">
          <w:marLeft w:val="0"/>
          <w:marRight w:val="0"/>
          <w:marTop w:val="0"/>
          <w:marBottom w:val="0"/>
          <w:divBdr>
            <w:top w:val="none" w:sz="0" w:space="0" w:color="auto"/>
            <w:left w:val="none" w:sz="0" w:space="0" w:color="auto"/>
            <w:bottom w:val="none" w:sz="0" w:space="0" w:color="auto"/>
            <w:right w:val="none" w:sz="0" w:space="0" w:color="auto"/>
          </w:divBdr>
          <w:divsChild>
            <w:div w:id="1335961193">
              <w:marLeft w:val="0"/>
              <w:marRight w:val="0"/>
              <w:marTop w:val="0"/>
              <w:marBottom w:val="0"/>
              <w:divBdr>
                <w:top w:val="none" w:sz="0" w:space="0" w:color="auto"/>
                <w:left w:val="none" w:sz="0" w:space="0" w:color="auto"/>
                <w:bottom w:val="none" w:sz="0" w:space="0" w:color="auto"/>
                <w:right w:val="none" w:sz="0" w:space="0" w:color="auto"/>
              </w:divBdr>
              <w:divsChild>
                <w:div w:id="141485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66203">
      <w:bodyDiv w:val="1"/>
      <w:marLeft w:val="0"/>
      <w:marRight w:val="0"/>
      <w:marTop w:val="0"/>
      <w:marBottom w:val="0"/>
      <w:divBdr>
        <w:top w:val="none" w:sz="0" w:space="0" w:color="auto"/>
        <w:left w:val="none" w:sz="0" w:space="0" w:color="auto"/>
        <w:bottom w:val="none" w:sz="0" w:space="0" w:color="auto"/>
        <w:right w:val="none" w:sz="0" w:space="0" w:color="auto"/>
      </w:divBdr>
    </w:div>
    <w:div w:id="1921481642">
      <w:bodyDiv w:val="1"/>
      <w:marLeft w:val="0"/>
      <w:marRight w:val="0"/>
      <w:marTop w:val="0"/>
      <w:marBottom w:val="0"/>
      <w:divBdr>
        <w:top w:val="none" w:sz="0" w:space="0" w:color="auto"/>
        <w:left w:val="none" w:sz="0" w:space="0" w:color="auto"/>
        <w:bottom w:val="none" w:sz="0" w:space="0" w:color="auto"/>
        <w:right w:val="none" w:sz="0" w:space="0" w:color="auto"/>
      </w:divBdr>
    </w:div>
    <w:div w:id="1934900369">
      <w:bodyDiv w:val="1"/>
      <w:marLeft w:val="0"/>
      <w:marRight w:val="0"/>
      <w:marTop w:val="0"/>
      <w:marBottom w:val="0"/>
      <w:divBdr>
        <w:top w:val="none" w:sz="0" w:space="0" w:color="auto"/>
        <w:left w:val="none" w:sz="0" w:space="0" w:color="auto"/>
        <w:bottom w:val="none" w:sz="0" w:space="0" w:color="auto"/>
        <w:right w:val="none" w:sz="0" w:space="0" w:color="auto"/>
      </w:divBdr>
      <w:divsChild>
        <w:div w:id="1393582140">
          <w:marLeft w:val="0"/>
          <w:marRight w:val="0"/>
          <w:marTop w:val="0"/>
          <w:marBottom w:val="0"/>
          <w:divBdr>
            <w:top w:val="none" w:sz="0" w:space="0" w:color="auto"/>
            <w:left w:val="none" w:sz="0" w:space="0" w:color="auto"/>
            <w:bottom w:val="none" w:sz="0" w:space="0" w:color="auto"/>
            <w:right w:val="none" w:sz="0" w:space="0" w:color="auto"/>
          </w:divBdr>
          <w:divsChild>
            <w:div w:id="743923">
              <w:marLeft w:val="0"/>
              <w:marRight w:val="0"/>
              <w:marTop w:val="0"/>
              <w:marBottom w:val="0"/>
              <w:divBdr>
                <w:top w:val="none" w:sz="0" w:space="0" w:color="auto"/>
                <w:left w:val="none" w:sz="0" w:space="0" w:color="auto"/>
                <w:bottom w:val="none" w:sz="0" w:space="0" w:color="auto"/>
                <w:right w:val="none" w:sz="0" w:space="0" w:color="auto"/>
              </w:divBdr>
              <w:divsChild>
                <w:div w:id="31263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725593">
      <w:bodyDiv w:val="1"/>
      <w:marLeft w:val="0"/>
      <w:marRight w:val="0"/>
      <w:marTop w:val="0"/>
      <w:marBottom w:val="0"/>
      <w:divBdr>
        <w:top w:val="none" w:sz="0" w:space="0" w:color="auto"/>
        <w:left w:val="none" w:sz="0" w:space="0" w:color="auto"/>
        <w:bottom w:val="none" w:sz="0" w:space="0" w:color="auto"/>
        <w:right w:val="none" w:sz="0" w:space="0" w:color="auto"/>
      </w:divBdr>
      <w:divsChild>
        <w:div w:id="687753404">
          <w:marLeft w:val="0"/>
          <w:marRight w:val="0"/>
          <w:marTop w:val="0"/>
          <w:marBottom w:val="0"/>
          <w:divBdr>
            <w:top w:val="none" w:sz="0" w:space="0" w:color="auto"/>
            <w:left w:val="none" w:sz="0" w:space="0" w:color="auto"/>
            <w:bottom w:val="none" w:sz="0" w:space="0" w:color="auto"/>
            <w:right w:val="none" w:sz="0" w:space="0" w:color="auto"/>
          </w:divBdr>
          <w:divsChild>
            <w:div w:id="1216546113">
              <w:marLeft w:val="0"/>
              <w:marRight w:val="0"/>
              <w:marTop w:val="0"/>
              <w:marBottom w:val="0"/>
              <w:divBdr>
                <w:top w:val="none" w:sz="0" w:space="0" w:color="auto"/>
                <w:left w:val="none" w:sz="0" w:space="0" w:color="auto"/>
                <w:bottom w:val="none" w:sz="0" w:space="0" w:color="auto"/>
                <w:right w:val="none" w:sz="0" w:space="0" w:color="auto"/>
              </w:divBdr>
              <w:divsChild>
                <w:div w:id="594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2.jpeg"/><Relationship Id="rId29"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7" Type="http://schemas.openxmlformats.org/officeDocument/2006/relationships/glossaryDocument" Target="glossary/document.xml"/><Relationship Id="rId30" Type="http://schemas.openxmlformats.org/officeDocument/2006/relationships/customXml" Target="../customXml/item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A7D412B34C804AADB1629A3E90AF5B"/>
        <w:category>
          <w:name w:val="General"/>
          <w:gallery w:val="placeholder"/>
        </w:category>
        <w:types>
          <w:type w:val="bbPlcHdr"/>
        </w:types>
        <w:behaviors>
          <w:behavior w:val="content"/>
        </w:behaviors>
        <w:guid w:val="{684C4E3E-2573-834D-9F9E-B107F1A63113}"/>
      </w:docPartPr>
      <w:docPartBody>
        <w:p w:rsidR="00812A99" w:rsidRPr="009F5209" w:rsidRDefault="00310963" w:rsidP="00812A99">
          <w:pPr>
            <w:pStyle w:val="Title"/>
            <w:framePr w:w="0" w:wrap="auto" w:vAnchor="margin" w:yAlign="inline"/>
            <w:rPr>
              <w:rStyle w:val="PlaceholderText"/>
            </w:rPr>
          </w:pPr>
          <w:r w:rsidRPr="009F5209">
            <w:rPr>
              <w:rStyle w:val="PlaceholderText"/>
            </w:rPr>
            <w:t xml:space="preserve">(Document Title) </w:t>
          </w:r>
        </w:p>
        <w:p w:rsidR="0031334B" w:rsidRDefault="00310963">
          <w:pPr>
            <w:pStyle w:val="2AA7D412B34C804AADB1629A3E90AF5B"/>
          </w:pPr>
          <w:r w:rsidRPr="009F5209">
            <w:rPr>
              <w:rStyle w:val="PlaceholderText"/>
            </w:rPr>
            <w:t>Report title goes here and can be up to six lines. Report title goes here and can be up to 6 lines.</w:t>
          </w:r>
        </w:p>
      </w:docPartBody>
    </w:docPart>
    <w:docPart>
      <w:docPartPr>
        <w:name w:val="BD8FFB16F8EF8C439F5DC1D0EE7FC7CD"/>
        <w:category>
          <w:name w:val="General"/>
          <w:gallery w:val="placeholder"/>
        </w:category>
        <w:types>
          <w:type w:val="bbPlcHdr"/>
        </w:types>
        <w:behaviors>
          <w:behavior w:val="content"/>
        </w:behaviors>
        <w:guid w:val="{E3D4149F-C276-B84C-B8B8-681932D61735}"/>
      </w:docPartPr>
      <w:docPartBody>
        <w:p w:rsidR="0031334B" w:rsidRDefault="00310963">
          <w:pPr>
            <w:pStyle w:val="BD8FFB16F8EF8C439F5DC1D0EE7FC7CD"/>
          </w:pPr>
          <w:r w:rsidRPr="009F5209">
            <w:rPr>
              <w:rStyle w:val="PlaceholderText"/>
            </w:rPr>
            <w:t>(H2) Sub heading. Draft Report Version 2.</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963"/>
    <w:rsid w:val="00087403"/>
    <w:rsid w:val="000A5F56"/>
    <w:rsid w:val="000C4F0C"/>
    <w:rsid w:val="00166934"/>
    <w:rsid w:val="00310963"/>
    <w:rsid w:val="0031334B"/>
    <w:rsid w:val="003D4595"/>
    <w:rsid w:val="00431226"/>
    <w:rsid w:val="004F52BD"/>
    <w:rsid w:val="00594F37"/>
    <w:rsid w:val="0080390D"/>
    <w:rsid w:val="00812A99"/>
    <w:rsid w:val="00850195"/>
    <w:rsid w:val="00860C2E"/>
    <w:rsid w:val="00AE67DD"/>
    <w:rsid w:val="00B14F8F"/>
    <w:rsid w:val="00B475E1"/>
    <w:rsid w:val="00BF7218"/>
    <w:rsid w:val="00C678DC"/>
    <w:rsid w:val="00D25DA2"/>
    <w:rsid w:val="00E318DC"/>
    <w:rsid w:val="00EC79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noProof w:val="0"/>
      <w:color w:val="000000" w:themeColor="text1"/>
      <w:sz w:val="16"/>
      <w:lang w:val="en-AU"/>
    </w:rPr>
  </w:style>
  <w:style w:type="paragraph" w:customStyle="1" w:styleId="9A69B2FE9E60D445A4A1DF3FADADA0C4">
    <w:name w:val="9A69B2FE9E60D445A4A1DF3FADADA0C4"/>
  </w:style>
  <w:style w:type="paragraph" w:styleId="Title">
    <w:name w:val="Title"/>
    <w:basedOn w:val="Normal"/>
    <w:next w:val="Normal"/>
    <w:link w:val="TitleChar"/>
    <w:uiPriority w:val="25"/>
    <w:pPr>
      <w:framePr w:w="5387" w:wrap="notBeside" w:vAnchor="text" w:hAnchor="text" w:y="1"/>
      <w:spacing w:after="600"/>
      <w:contextualSpacing/>
    </w:pPr>
    <w:rPr>
      <w:rFonts w:ascii="Palatino Linotype" w:eastAsiaTheme="majorEastAsia" w:hAnsi="Palatino Linotype" w:cstheme="majorBidi"/>
      <w:b/>
      <w:color w:val="FFFFFF" w:themeColor="background1"/>
      <w:sz w:val="60"/>
      <w:szCs w:val="52"/>
      <w:lang w:eastAsia="en-US"/>
    </w:rPr>
  </w:style>
  <w:style w:type="character" w:customStyle="1" w:styleId="TitleChar">
    <w:name w:val="Title Char"/>
    <w:basedOn w:val="DefaultParagraphFont"/>
    <w:link w:val="Title"/>
    <w:uiPriority w:val="25"/>
    <w:rPr>
      <w:rFonts w:ascii="Palatino Linotype" w:eastAsiaTheme="majorEastAsia" w:hAnsi="Palatino Linotype" w:cstheme="majorBidi"/>
      <w:b/>
      <w:color w:val="FFFFFF" w:themeColor="background1"/>
      <w:sz w:val="60"/>
      <w:szCs w:val="52"/>
      <w:lang w:eastAsia="en-US"/>
    </w:rPr>
  </w:style>
  <w:style w:type="paragraph" w:customStyle="1" w:styleId="2AA7D412B34C804AADB1629A3E90AF5B">
    <w:name w:val="2AA7D412B34C804AADB1629A3E90AF5B"/>
  </w:style>
  <w:style w:type="paragraph" w:customStyle="1" w:styleId="BD8FFB16F8EF8C439F5DC1D0EE7FC7CD">
    <w:name w:val="BD8FFB16F8EF8C439F5DC1D0EE7FC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03145"/>
      </a:dk2>
      <a:lt2>
        <a:srgbClr val="F8F8F8"/>
      </a:lt2>
      <a:accent1>
        <a:srgbClr val="203145"/>
      </a:accent1>
      <a:accent2>
        <a:srgbClr val="8F96A1"/>
      </a:accent2>
      <a:accent3>
        <a:srgbClr val="57823B"/>
      </a:accent3>
      <a:accent4>
        <a:srgbClr val="FFD64F"/>
      </a:accent4>
      <a:accent5>
        <a:srgbClr val="D45E25"/>
      </a:accent5>
      <a:accent6>
        <a:srgbClr val="4D4D4D"/>
      </a:accent6>
      <a:hlink>
        <a:srgbClr val="5F5F5F"/>
      </a:hlink>
      <a:folHlink>
        <a:srgbClr val="919191"/>
      </a:folHlink>
    </a:clrScheme>
    <a:fontScheme name="Yoke">
      <a:majorFont>
        <a:latin typeface="Palatino Linotype"/>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B90C9DB4-6005-428A-BA7B-EA15166BB011}"/>
</file>

<file path=customXml/itemProps2.xml><?xml version="1.0" encoding="utf-8"?>
<ds:datastoreItem xmlns:ds="http://schemas.openxmlformats.org/officeDocument/2006/customXml" ds:itemID="{DA3951E6-5F9D-4006-AE37-E66FAF9AD8FA}"/>
</file>

<file path=customXml/itemProps3.xml><?xml version="1.0" encoding="utf-8"?>
<ds:datastoreItem xmlns:ds="http://schemas.openxmlformats.org/officeDocument/2006/customXml" ds:itemID="{E3AAD336-3133-4245-8374-2C67F93FE82C}"/>
</file>

<file path=docProps/app.xml><?xml version="1.0" encoding="utf-8"?>
<Properties xmlns="http://schemas.openxmlformats.org/officeDocument/2006/extended-properties" xmlns:vt="http://schemas.openxmlformats.org/officeDocument/2006/docPropsVTypes">
  <Template>3FB729CA.dotm</Template>
  <TotalTime>0</TotalTime>
  <Pages>10</Pages>
  <Words>2777</Words>
  <Characters>15832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Regional Land Partnerships Evaluation Plan</dc:title>
  <dc:creator>RMCG</dc:creator>
  <cp:lastModifiedBy>Durack, Bec</cp:lastModifiedBy>
  <cp:revision>2</cp:revision>
  <dcterms:created xsi:type="dcterms:W3CDTF">2018-07-17T00:55:00Z</dcterms:created>
  <dcterms:modified xsi:type="dcterms:W3CDTF">2018-07-17T00:55:00Z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