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7AA" w:rsidRDefault="00F11599" w:rsidP="00C944F8">
      <w:pPr>
        <w:pStyle w:val="ReportTitle"/>
        <w:ind w:left="1361"/>
      </w:pPr>
    </w:p>
    <w:p w:rsidR="00C944F8" w:rsidRDefault="001B7976" w:rsidP="00247D78">
      <w:pPr>
        <w:pStyle w:val="ReportTitle"/>
        <w:ind w:left="993"/>
      </w:pPr>
      <w:r>
        <w:t xml:space="preserve">National Television and Computer Recycling Scheme </w:t>
      </w:r>
    </w:p>
    <w:p w:rsidR="006937AA" w:rsidRDefault="00F11599" w:rsidP="00247D78">
      <w:pPr>
        <w:pStyle w:val="ReportTitle"/>
        <w:ind w:left="993"/>
      </w:pPr>
    </w:p>
    <w:p w:rsidR="00C944F8" w:rsidRDefault="001B7976" w:rsidP="00247D78">
      <w:pPr>
        <w:pStyle w:val="ReportTitle"/>
        <w:ind w:left="993"/>
      </w:pPr>
      <w:r>
        <w:t>Outcomes 2012–13</w:t>
      </w:r>
    </w:p>
    <w:p w:rsidR="006937AA" w:rsidRDefault="00F11599" w:rsidP="00247D78">
      <w:pPr>
        <w:pStyle w:val="Reportsubtitle"/>
        <w:ind w:left="993"/>
      </w:pPr>
    </w:p>
    <w:p w:rsidR="002B0535" w:rsidRDefault="001B7976">
      <w:pPr>
        <w:pStyle w:val="Reportsubtitle"/>
      </w:pPr>
      <w:r>
        <w:t>February 2014</w:t>
      </w:r>
    </w:p>
    <w:p w:rsidR="007A252C" w:rsidRDefault="00F11599" w:rsidP="00CC2403">
      <w:pPr>
        <w:pStyle w:val="Heading1"/>
      </w:pPr>
    </w:p>
    <w:p w:rsidR="007A252C" w:rsidRDefault="00F11599" w:rsidP="007A252C"/>
    <w:p w:rsidR="007A252C" w:rsidRPr="007A252C" w:rsidRDefault="00F11599" w:rsidP="007A252C"/>
    <w:p w:rsidR="007A252C" w:rsidRDefault="00F11599" w:rsidP="007A252C">
      <w:pPr>
        <w:sectPr w:rsidR="007A252C" w:rsidSect="00C944F8">
          <w:headerReference w:type="even" r:id="rId11"/>
          <w:footerReference w:type="default" r:id="rId12"/>
          <w:headerReference w:type="first" r:id="rId13"/>
          <w:footerReference w:type="first" r:id="rId14"/>
          <w:pgSz w:w="11906" w:h="16838" w:code="9"/>
          <w:pgMar w:top="3969" w:right="1276" w:bottom="567" w:left="1418" w:header="425" w:footer="425" w:gutter="0"/>
          <w:pgNumType w:start="1"/>
          <w:cols w:space="708"/>
          <w:titlePg/>
          <w:docGrid w:linePitch="360"/>
        </w:sectPr>
      </w:pPr>
    </w:p>
    <w:sdt>
      <w:sdtPr>
        <w:rPr>
          <w:rFonts w:ascii="Arial" w:hAnsi="Arial" w:cs="Times New Roman"/>
          <w:b w:val="0"/>
          <w:bCs w:val="0"/>
          <w:caps w:val="0"/>
          <w:sz w:val="22"/>
          <w:szCs w:val="22"/>
          <w:lang w:val="en-AU"/>
        </w:rPr>
        <w:id w:val="9750151"/>
        <w:docPartObj>
          <w:docPartGallery w:val="Table of Contents"/>
          <w:docPartUnique/>
        </w:docPartObj>
      </w:sdtPr>
      <w:sdtContent>
        <w:p w:rsidR="00D5672F" w:rsidRDefault="001B7976" w:rsidP="00CC2403">
          <w:pPr>
            <w:pStyle w:val="TOCHeading"/>
          </w:pPr>
          <w:r w:rsidRPr="005525F2">
            <w:t>Contents</w:t>
          </w:r>
        </w:p>
        <w:p w:rsidR="00786520" w:rsidRDefault="00090FCD">
          <w:pPr>
            <w:pStyle w:val="TOC1"/>
            <w:tabs>
              <w:tab w:val="right" w:leader="dot" w:pos="9202"/>
            </w:tabs>
            <w:rPr>
              <w:rFonts w:ascii="Calibri" w:hAnsi="Calibri"/>
              <w:noProof/>
            </w:rPr>
          </w:pPr>
          <w:r w:rsidRPr="00090FCD">
            <w:fldChar w:fldCharType="begin"/>
          </w:r>
          <w:r w:rsidR="001B7976">
            <w:instrText xml:space="preserve"> TOC \o "1-3" \h \z \u </w:instrText>
          </w:r>
          <w:r w:rsidRPr="00090FCD">
            <w:fldChar w:fldCharType="separate"/>
          </w:r>
          <w:hyperlink w:anchor="_Toc256000026" w:history="1">
            <w:r w:rsidR="001B7976" w:rsidRPr="00F55A1C">
              <w:rPr>
                <w:rStyle w:val="Hyperlink"/>
              </w:rPr>
              <w:t>Executive Summary</w:t>
            </w:r>
            <w:r w:rsidR="001B7976">
              <w:rPr>
                <w:rStyle w:val="Hyperlink"/>
              </w:rPr>
              <w:tab/>
            </w:r>
            <w:r>
              <w:fldChar w:fldCharType="begin"/>
            </w:r>
            <w:r w:rsidR="001B7976">
              <w:rPr>
                <w:rStyle w:val="Hyperlink"/>
              </w:rPr>
              <w:instrText xml:space="preserve"> PAGEREF _Toc256000026 \h </w:instrText>
            </w:r>
            <w:r>
              <w:fldChar w:fldCharType="separate"/>
            </w:r>
            <w:r w:rsidR="001B7976">
              <w:rPr>
                <w:rStyle w:val="Hyperlink"/>
              </w:rPr>
              <w:t>3</w:t>
            </w:r>
            <w:r>
              <w:fldChar w:fldCharType="end"/>
            </w:r>
          </w:hyperlink>
        </w:p>
        <w:p w:rsidR="00786520" w:rsidRDefault="00090FCD">
          <w:pPr>
            <w:pStyle w:val="TOC1"/>
            <w:tabs>
              <w:tab w:val="right" w:leader="dot" w:pos="9202"/>
            </w:tabs>
            <w:rPr>
              <w:rFonts w:ascii="Calibri" w:hAnsi="Calibri"/>
              <w:noProof/>
            </w:rPr>
          </w:pPr>
          <w:hyperlink w:anchor="_Toc256000042" w:history="1">
            <w:r w:rsidR="001B7976" w:rsidRPr="00F55A1C">
              <w:rPr>
                <w:rStyle w:val="Hyperlink"/>
              </w:rPr>
              <w:t>Background</w:t>
            </w:r>
            <w:r w:rsidR="001B7976">
              <w:rPr>
                <w:rStyle w:val="Hyperlink"/>
              </w:rPr>
              <w:tab/>
            </w:r>
            <w:r>
              <w:fldChar w:fldCharType="begin"/>
            </w:r>
            <w:r w:rsidR="001B7976">
              <w:rPr>
                <w:rStyle w:val="Hyperlink"/>
              </w:rPr>
              <w:instrText xml:space="preserve"> PAGEREF _Toc256000042 \h </w:instrText>
            </w:r>
            <w:r>
              <w:fldChar w:fldCharType="separate"/>
            </w:r>
            <w:r w:rsidR="001B7976">
              <w:rPr>
                <w:rStyle w:val="Hyperlink"/>
              </w:rPr>
              <w:t>4</w:t>
            </w:r>
            <w:r>
              <w:fldChar w:fldCharType="end"/>
            </w:r>
          </w:hyperlink>
        </w:p>
        <w:p w:rsidR="00786520" w:rsidRDefault="00090FCD">
          <w:pPr>
            <w:pStyle w:val="TOC2"/>
            <w:tabs>
              <w:tab w:val="right" w:leader="dot" w:pos="9202"/>
            </w:tabs>
            <w:rPr>
              <w:rFonts w:ascii="Calibri" w:hAnsi="Calibri"/>
              <w:noProof/>
            </w:rPr>
          </w:pPr>
          <w:hyperlink w:anchor="_Toc256000043" w:history="1">
            <w:r w:rsidR="001B7976" w:rsidRPr="001F549E">
              <w:rPr>
                <w:rStyle w:val="Hyperlink"/>
              </w:rPr>
              <w:t>Developing the National Television and Computer Recycling Scheme</w:t>
            </w:r>
            <w:r w:rsidR="001B7976">
              <w:rPr>
                <w:rStyle w:val="Hyperlink"/>
              </w:rPr>
              <w:tab/>
            </w:r>
            <w:r>
              <w:fldChar w:fldCharType="begin"/>
            </w:r>
            <w:r w:rsidR="001B7976">
              <w:rPr>
                <w:rStyle w:val="Hyperlink"/>
              </w:rPr>
              <w:instrText xml:space="preserve"> PAGEREF _Toc256000043 \h </w:instrText>
            </w:r>
            <w:r>
              <w:fldChar w:fldCharType="separate"/>
            </w:r>
            <w:r w:rsidR="001B7976">
              <w:rPr>
                <w:rStyle w:val="Hyperlink"/>
              </w:rPr>
              <w:t>4</w:t>
            </w:r>
            <w:r>
              <w:fldChar w:fldCharType="end"/>
            </w:r>
          </w:hyperlink>
        </w:p>
        <w:p w:rsidR="00786520" w:rsidRDefault="00090FCD">
          <w:pPr>
            <w:pStyle w:val="TOC2"/>
            <w:tabs>
              <w:tab w:val="right" w:leader="dot" w:pos="9202"/>
            </w:tabs>
            <w:rPr>
              <w:rFonts w:ascii="Calibri" w:hAnsi="Calibri"/>
              <w:noProof/>
            </w:rPr>
          </w:pPr>
          <w:hyperlink w:anchor="_Toc256000044" w:history="1">
            <w:r w:rsidR="001B7976" w:rsidRPr="001F549E">
              <w:rPr>
                <w:rStyle w:val="Hyperlink"/>
              </w:rPr>
              <w:t xml:space="preserve">Consultation and </w:t>
            </w:r>
            <w:r w:rsidR="001B7976">
              <w:rPr>
                <w:rStyle w:val="Hyperlink"/>
              </w:rPr>
              <w:t>s</w:t>
            </w:r>
            <w:r w:rsidR="001B7976" w:rsidRPr="001F549E">
              <w:rPr>
                <w:rStyle w:val="Hyperlink"/>
              </w:rPr>
              <w:t xml:space="preserve">takeholder </w:t>
            </w:r>
            <w:r w:rsidR="001B7976">
              <w:rPr>
                <w:rStyle w:val="Hyperlink"/>
              </w:rPr>
              <w:t>e</w:t>
            </w:r>
            <w:r w:rsidR="001B7976" w:rsidRPr="001F549E">
              <w:rPr>
                <w:rStyle w:val="Hyperlink"/>
              </w:rPr>
              <w:t>ngagement</w:t>
            </w:r>
            <w:r w:rsidR="001B7976">
              <w:rPr>
                <w:rStyle w:val="Hyperlink"/>
              </w:rPr>
              <w:tab/>
            </w:r>
            <w:r>
              <w:fldChar w:fldCharType="begin"/>
            </w:r>
            <w:r w:rsidR="001B7976">
              <w:rPr>
                <w:rStyle w:val="Hyperlink"/>
              </w:rPr>
              <w:instrText xml:space="preserve"> PAGEREF _Toc256000044 \h </w:instrText>
            </w:r>
            <w:r>
              <w:fldChar w:fldCharType="separate"/>
            </w:r>
            <w:r w:rsidR="001B7976">
              <w:rPr>
                <w:rStyle w:val="Hyperlink"/>
              </w:rPr>
              <w:t>4</w:t>
            </w:r>
            <w:r>
              <w:fldChar w:fldCharType="end"/>
            </w:r>
          </w:hyperlink>
        </w:p>
        <w:p w:rsidR="00786520" w:rsidRDefault="00090FCD">
          <w:pPr>
            <w:pStyle w:val="TOC2"/>
            <w:tabs>
              <w:tab w:val="right" w:leader="dot" w:pos="9202"/>
            </w:tabs>
            <w:rPr>
              <w:rFonts w:ascii="Calibri" w:hAnsi="Calibri"/>
              <w:noProof/>
            </w:rPr>
          </w:pPr>
          <w:hyperlink w:anchor="_Toc256000045" w:history="1">
            <w:r w:rsidR="001B7976" w:rsidRPr="001F549E">
              <w:rPr>
                <w:rStyle w:val="Hyperlink"/>
              </w:rPr>
              <w:t xml:space="preserve">Implementing the </w:t>
            </w:r>
            <w:r w:rsidR="001B7976">
              <w:rPr>
                <w:rStyle w:val="Hyperlink"/>
              </w:rPr>
              <w:t>s</w:t>
            </w:r>
            <w:r w:rsidR="001B7976" w:rsidRPr="001F549E">
              <w:rPr>
                <w:rStyle w:val="Hyperlink"/>
              </w:rPr>
              <w:t>cheme</w:t>
            </w:r>
            <w:r w:rsidR="001B7976">
              <w:rPr>
                <w:rStyle w:val="Hyperlink"/>
              </w:rPr>
              <w:tab/>
            </w:r>
            <w:r>
              <w:fldChar w:fldCharType="begin"/>
            </w:r>
            <w:r w:rsidR="001B7976">
              <w:rPr>
                <w:rStyle w:val="Hyperlink"/>
              </w:rPr>
              <w:instrText xml:space="preserve"> PAGEREF _Toc256000045 \h </w:instrText>
            </w:r>
            <w:r>
              <w:fldChar w:fldCharType="separate"/>
            </w:r>
            <w:r w:rsidR="001B7976">
              <w:rPr>
                <w:rStyle w:val="Hyperlink"/>
              </w:rPr>
              <w:t>6</w:t>
            </w:r>
            <w:r>
              <w:fldChar w:fldCharType="end"/>
            </w:r>
          </w:hyperlink>
        </w:p>
        <w:p w:rsidR="00786520" w:rsidRDefault="00090FCD">
          <w:pPr>
            <w:pStyle w:val="TOC2"/>
            <w:tabs>
              <w:tab w:val="right" w:leader="dot" w:pos="9202"/>
            </w:tabs>
            <w:rPr>
              <w:rFonts w:ascii="Calibri" w:hAnsi="Calibri"/>
              <w:noProof/>
            </w:rPr>
          </w:pPr>
          <w:hyperlink w:anchor="_Toc256000046" w:history="1">
            <w:r w:rsidR="001B7976" w:rsidRPr="001F549E">
              <w:rPr>
                <w:rStyle w:val="Hyperlink"/>
              </w:rPr>
              <w:t xml:space="preserve">Implementation </w:t>
            </w:r>
            <w:r w:rsidR="001B7976">
              <w:rPr>
                <w:rStyle w:val="Hyperlink"/>
              </w:rPr>
              <w:t>f</w:t>
            </w:r>
            <w:r w:rsidR="001B7976" w:rsidRPr="001F549E">
              <w:rPr>
                <w:rStyle w:val="Hyperlink"/>
              </w:rPr>
              <w:t xml:space="preserve">eedback and </w:t>
            </w:r>
            <w:r w:rsidR="001B7976">
              <w:rPr>
                <w:rStyle w:val="Hyperlink"/>
              </w:rPr>
              <w:t>r</w:t>
            </w:r>
            <w:r w:rsidR="001B7976" w:rsidRPr="001F549E">
              <w:rPr>
                <w:rStyle w:val="Hyperlink"/>
              </w:rPr>
              <w:t>egulat</w:t>
            </w:r>
            <w:r w:rsidR="001B7976">
              <w:rPr>
                <w:rStyle w:val="Hyperlink"/>
              </w:rPr>
              <w:t>ion</w:t>
            </w:r>
            <w:r w:rsidR="001B7976" w:rsidRPr="001F549E">
              <w:rPr>
                <w:rStyle w:val="Hyperlink"/>
              </w:rPr>
              <w:t xml:space="preserve"> </w:t>
            </w:r>
            <w:r w:rsidR="001B7976">
              <w:rPr>
                <w:rStyle w:val="Hyperlink"/>
              </w:rPr>
              <w:t>a</w:t>
            </w:r>
            <w:r w:rsidR="001B7976" w:rsidRPr="001F549E">
              <w:rPr>
                <w:rStyle w:val="Hyperlink"/>
              </w:rPr>
              <w:t>mendment</w:t>
            </w:r>
            <w:r w:rsidR="001B7976">
              <w:rPr>
                <w:rStyle w:val="Hyperlink"/>
              </w:rPr>
              <w:t>s</w:t>
            </w:r>
            <w:r w:rsidR="001B7976">
              <w:rPr>
                <w:rStyle w:val="Hyperlink"/>
              </w:rPr>
              <w:tab/>
            </w:r>
            <w:r>
              <w:fldChar w:fldCharType="begin"/>
            </w:r>
            <w:r w:rsidR="001B7976">
              <w:rPr>
                <w:rStyle w:val="Hyperlink"/>
              </w:rPr>
              <w:instrText xml:space="preserve"> PAGEREF _Toc256000046 \h </w:instrText>
            </w:r>
            <w:r>
              <w:fldChar w:fldCharType="separate"/>
            </w:r>
            <w:r w:rsidR="001B7976">
              <w:rPr>
                <w:rStyle w:val="Hyperlink"/>
              </w:rPr>
              <w:t>7</w:t>
            </w:r>
            <w:r>
              <w:fldChar w:fldCharType="end"/>
            </w:r>
          </w:hyperlink>
        </w:p>
        <w:p w:rsidR="00786520" w:rsidRDefault="00090FCD">
          <w:pPr>
            <w:pStyle w:val="TOC1"/>
            <w:tabs>
              <w:tab w:val="right" w:leader="dot" w:pos="9202"/>
            </w:tabs>
            <w:rPr>
              <w:rFonts w:ascii="Calibri" w:hAnsi="Calibri"/>
              <w:noProof/>
            </w:rPr>
          </w:pPr>
          <w:hyperlink w:anchor="_Toc256000047" w:history="1">
            <w:r w:rsidR="001B7976" w:rsidRPr="00F55A1C">
              <w:rPr>
                <w:rStyle w:val="Hyperlink"/>
              </w:rPr>
              <w:t>Scheme outcomes 2012–13</w:t>
            </w:r>
            <w:r w:rsidR="001B7976">
              <w:rPr>
                <w:rStyle w:val="Hyperlink"/>
              </w:rPr>
              <w:tab/>
            </w:r>
            <w:r>
              <w:fldChar w:fldCharType="begin"/>
            </w:r>
            <w:r w:rsidR="001B7976">
              <w:rPr>
                <w:rStyle w:val="Hyperlink"/>
              </w:rPr>
              <w:instrText xml:space="preserve"> PAGEREF _Toc256000047 \h </w:instrText>
            </w:r>
            <w:r>
              <w:fldChar w:fldCharType="separate"/>
            </w:r>
            <w:r w:rsidR="001B7976">
              <w:rPr>
                <w:rStyle w:val="Hyperlink"/>
              </w:rPr>
              <w:t>8</w:t>
            </w:r>
            <w:r>
              <w:fldChar w:fldCharType="end"/>
            </w:r>
          </w:hyperlink>
        </w:p>
        <w:p w:rsidR="00786520" w:rsidRDefault="00090FCD">
          <w:pPr>
            <w:pStyle w:val="TOC2"/>
            <w:tabs>
              <w:tab w:val="right" w:leader="dot" w:pos="9202"/>
            </w:tabs>
            <w:rPr>
              <w:rFonts w:ascii="Calibri" w:hAnsi="Calibri"/>
              <w:noProof/>
            </w:rPr>
          </w:pPr>
          <w:hyperlink w:anchor="_Toc256000048" w:history="1">
            <w:r w:rsidR="001B7976">
              <w:rPr>
                <w:rStyle w:val="Hyperlink"/>
              </w:rPr>
              <w:t>Recycling of televisions and computers</w:t>
            </w:r>
            <w:r w:rsidR="001B7976">
              <w:rPr>
                <w:rStyle w:val="Hyperlink"/>
              </w:rPr>
              <w:tab/>
            </w:r>
            <w:r>
              <w:fldChar w:fldCharType="begin"/>
            </w:r>
            <w:r w:rsidR="001B7976">
              <w:rPr>
                <w:rStyle w:val="Hyperlink"/>
              </w:rPr>
              <w:instrText xml:space="preserve"> PAGEREF _Toc256000048 \h </w:instrText>
            </w:r>
            <w:r>
              <w:fldChar w:fldCharType="separate"/>
            </w:r>
            <w:r w:rsidR="001B7976">
              <w:rPr>
                <w:rStyle w:val="Hyperlink"/>
              </w:rPr>
              <w:t>8</w:t>
            </w:r>
            <w:r>
              <w:fldChar w:fldCharType="end"/>
            </w:r>
          </w:hyperlink>
        </w:p>
        <w:p w:rsidR="00786520" w:rsidRDefault="00090FCD">
          <w:pPr>
            <w:pStyle w:val="TOC2"/>
            <w:tabs>
              <w:tab w:val="right" w:leader="dot" w:pos="9202"/>
            </w:tabs>
            <w:rPr>
              <w:rFonts w:ascii="Calibri" w:hAnsi="Calibri"/>
              <w:noProof/>
            </w:rPr>
          </w:pPr>
          <w:hyperlink w:anchor="_Toc256000049" w:history="1">
            <w:r w:rsidR="001B7976">
              <w:rPr>
                <w:rStyle w:val="Hyperlink"/>
              </w:rPr>
              <w:t>Performance of c</w:t>
            </w:r>
            <w:r w:rsidR="001B7976" w:rsidRPr="00B91DC5">
              <w:rPr>
                <w:rStyle w:val="Hyperlink"/>
              </w:rPr>
              <w:t xml:space="preserve">o-regulatory arrangements </w:t>
            </w:r>
            <w:r w:rsidR="001B7976">
              <w:rPr>
                <w:rStyle w:val="Hyperlink"/>
              </w:rPr>
              <w:t>against recycling targets</w:t>
            </w:r>
            <w:r w:rsidR="001B7976">
              <w:rPr>
                <w:rStyle w:val="Hyperlink"/>
              </w:rPr>
              <w:tab/>
            </w:r>
            <w:r>
              <w:fldChar w:fldCharType="begin"/>
            </w:r>
            <w:r w:rsidR="001B7976">
              <w:rPr>
                <w:rStyle w:val="Hyperlink"/>
              </w:rPr>
              <w:instrText xml:space="preserve"> PAGEREF _Toc256000049 \h </w:instrText>
            </w:r>
            <w:r>
              <w:fldChar w:fldCharType="separate"/>
            </w:r>
            <w:r w:rsidR="001B7976">
              <w:rPr>
                <w:rStyle w:val="Hyperlink"/>
              </w:rPr>
              <w:t>9</w:t>
            </w:r>
            <w:r>
              <w:fldChar w:fldCharType="end"/>
            </w:r>
          </w:hyperlink>
        </w:p>
        <w:p w:rsidR="00786520" w:rsidRDefault="00090FCD">
          <w:pPr>
            <w:pStyle w:val="TOC2"/>
            <w:tabs>
              <w:tab w:val="right" w:leader="dot" w:pos="9202"/>
            </w:tabs>
            <w:rPr>
              <w:rFonts w:ascii="Calibri" w:hAnsi="Calibri"/>
              <w:noProof/>
            </w:rPr>
          </w:pPr>
          <w:hyperlink w:anchor="_Toc256000050" w:history="1">
            <w:r w:rsidR="001B7976">
              <w:rPr>
                <w:rStyle w:val="Hyperlink"/>
              </w:rPr>
              <w:t>Provision of e-waste collection services</w:t>
            </w:r>
            <w:r w:rsidR="001B7976">
              <w:rPr>
                <w:rStyle w:val="Hyperlink"/>
              </w:rPr>
              <w:tab/>
            </w:r>
            <w:r>
              <w:fldChar w:fldCharType="begin"/>
            </w:r>
            <w:r w:rsidR="001B7976">
              <w:rPr>
                <w:rStyle w:val="Hyperlink"/>
              </w:rPr>
              <w:instrText xml:space="preserve"> PAGEREF _Toc256000050 \h </w:instrText>
            </w:r>
            <w:r>
              <w:fldChar w:fldCharType="separate"/>
            </w:r>
            <w:r w:rsidR="001B7976">
              <w:rPr>
                <w:rStyle w:val="Hyperlink"/>
              </w:rPr>
              <w:t>10</w:t>
            </w:r>
            <w:r>
              <w:fldChar w:fldCharType="end"/>
            </w:r>
          </w:hyperlink>
        </w:p>
        <w:p w:rsidR="00786520" w:rsidRDefault="00090FCD">
          <w:pPr>
            <w:pStyle w:val="TOC2"/>
            <w:tabs>
              <w:tab w:val="right" w:leader="dot" w:pos="9202"/>
            </w:tabs>
            <w:rPr>
              <w:rFonts w:ascii="Calibri" w:hAnsi="Calibri"/>
              <w:noProof/>
            </w:rPr>
          </w:pPr>
          <w:hyperlink w:anchor="_Toc256000051" w:history="1">
            <w:r w:rsidR="001B7976">
              <w:rPr>
                <w:rStyle w:val="Hyperlink"/>
              </w:rPr>
              <w:t>Participation of television and computer importers and manufacturers</w:t>
            </w:r>
            <w:r w:rsidR="001B7976">
              <w:rPr>
                <w:rStyle w:val="Hyperlink"/>
              </w:rPr>
              <w:tab/>
            </w:r>
            <w:r>
              <w:fldChar w:fldCharType="begin"/>
            </w:r>
            <w:r w:rsidR="001B7976">
              <w:rPr>
                <w:rStyle w:val="Hyperlink"/>
              </w:rPr>
              <w:instrText xml:space="preserve"> PAGEREF _Toc256000051 \h </w:instrText>
            </w:r>
            <w:r>
              <w:fldChar w:fldCharType="separate"/>
            </w:r>
            <w:r w:rsidR="001B7976">
              <w:rPr>
                <w:rStyle w:val="Hyperlink"/>
              </w:rPr>
              <w:t>11</w:t>
            </w:r>
            <w:r>
              <w:fldChar w:fldCharType="end"/>
            </w:r>
          </w:hyperlink>
        </w:p>
        <w:p w:rsidR="00786520" w:rsidRDefault="00090FCD">
          <w:pPr>
            <w:pStyle w:val="TOC2"/>
            <w:tabs>
              <w:tab w:val="right" w:leader="dot" w:pos="9202"/>
            </w:tabs>
            <w:rPr>
              <w:rFonts w:ascii="Calibri" w:hAnsi="Calibri"/>
              <w:noProof/>
            </w:rPr>
          </w:pPr>
          <w:hyperlink w:anchor="_Toc256000053" w:history="1">
            <w:r w:rsidR="001B7976">
              <w:rPr>
                <w:rStyle w:val="Hyperlink"/>
              </w:rPr>
              <w:t>Material recovery</w:t>
            </w:r>
            <w:r w:rsidR="001B7976">
              <w:rPr>
                <w:rStyle w:val="Hyperlink"/>
              </w:rPr>
              <w:tab/>
            </w:r>
            <w:r>
              <w:fldChar w:fldCharType="begin"/>
            </w:r>
            <w:r w:rsidR="001B7976">
              <w:rPr>
                <w:rStyle w:val="Hyperlink"/>
              </w:rPr>
              <w:instrText xml:space="preserve"> PAGEREF _Toc256000053 \h </w:instrText>
            </w:r>
            <w:r>
              <w:fldChar w:fldCharType="separate"/>
            </w:r>
            <w:r w:rsidR="001B7976">
              <w:rPr>
                <w:rStyle w:val="Hyperlink"/>
              </w:rPr>
              <w:t>11</w:t>
            </w:r>
            <w:r>
              <w:fldChar w:fldCharType="end"/>
            </w:r>
          </w:hyperlink>
        </w:p>
        <w:p w:rsidR="00786520" w:rsidRDefault="00090FCD">
          <w:pPr>
            <w:pStyle w:val="TOC1"/>
            <w:tabs>
              <w:tab w:val="right" w:leader="dot" w:pos="9202"/>
            </w:tabs>
            <w:rPr>
              <w:rFonts w:ascii="Calibri" w:hAnsi="Calibri"/>
              <w:noProof/>
            </w:rPr>
          </w:pPr>
          <w:hyperlink w:anchor="_Toc256000054" w:history="1">
            <w:r w:rsidR="001B7976" w:rsidRPr="00F55A1C">
              <w:rPr>
                <w:rStyle w:val="Hyperlink"/>
              </w:rPr>
              <w:t>The scheme’s second target year: 2013–14</w:t>
            </w:r>
            <w:r w:rsidR="001B7976">
              <w:rPr>
                <w:rStyle w:val="Hyperlink"/>
              </w:rPr>
              <w:tab/>
            </w:r>
            <w:r>
              <w:fldChar w:fldCharType="begin"/>
            </w:r>
            <w:r w:rsidR="001B7976">
              <w:rPr>
                <w:rStyle w:val="Hyperlink"/>
              </w:rPr>
              <w:instrText xml:space="preserve"> PAGEREF _Toc256000054 \h </w:instrText>
            </w:r>
            <w:r>
              <w:fldChar w:fldCharType="separate"/>
            </w:r>
            <w:r w:rsidR="001B7976">
              <w:rPr>
                <w:rStyle w:val="Hyperlink"/>
              </w:rPr>
              <w:t>12</w:t>
            </w:r>
            <w:r>
              <w:fldChar w:fldCharType="end"/>
            </w:r>
          </w:hyperlink>
        </w:p>
        <w:p w:rsidR="00786520" w:rsidRDefault="00090FCD" w:rsidP="00D5672F">
          <w:r>
            <w:fldChar w:fldCharType="end"/>
          </w:r>
        </w:p>
      </w:sdtContent>
    </w:sdt>
    <w:p w:rsidR="007A252C" w:rsidRPr="007A252C" w:rsidRDefault="00F11599" w:rsidP="007A252C"/>
    <w:p w:rsidR="00190F10" w:rsidRDefault="00F11599" w:rsidP="00190F10"/>
    <w:p w:rsidR="00190F10" w:rsidRDefault="00F11599" w:rsidP="00190F10">
      <w:pPr>
        <w:sectPr w:rsidR="00190F10" w:rsidSect="003A7D43">
          <w:headerReference w:type="first" r:id="rId15"/>
          <w:footerReference w:type="first" r:id="rId16"/>
          <w:pgSz w:w="11906" w:h="16838" w:code="9"/>
          <w:pgMar w:top="1418" w:right="1276" w:bottom="567" w:left="1418" w:header="425" w:footer="425" w:gutter="0"/>
          <w:cols w:space="708"/>
          <w:titlePg/>
          <w:docGrid w:linePitch="360"/>
        </w:sectPr>
      </w:pPr>
    </w:p>
    <w:p w:rsidR="007A252C" w:rsidRPr="00F55A1C" w:rsidRDefault="001B7976" w:rsidP="00CC2403">
      <w:pPr>
        <w:pStyle w:val="Heading1"/>
        <w:rPr>
          <w:sz w:val="36"/>
          <w:szCs w:val="36"/>
        </w:rPr>
      </w:pPr>
      <w:bookmarkStart w:id="0" w:name="_Toc256000026"/>
      <w:bookmarkStart w:id="1" w:name="_Toc256000013"/>
      <w:bookmarkStart w:id="2" w:name="_Toc256000002"/>
      <w:bookmarkStart w:id="3" w:name="_Toc256000001"/>
      <w:bookmarkStart w:id="4" w:name="_Toc380491870"/>
      <w:r w:rsidRPr="00F55A1C">
        <w:rPr>
          <w:sz w:val="36"/>
          <w:szCs w:val="36"/>
        </w:rPr>
        <w:lastRenderedPageBreak/>
        <w:t>Executive Summary</w:t>
      </w:r>
      <w:bookmarkEnd w:id="0"/>
      <w:bookmarkEnd w:id="1"/>
      <w:bookmarkEnd w:id="2"/>
      <w:bookmarkEnd w:id="3"/>
      <w:bookmarkEnd w:id="4"/>
      <w:r w:rsidRPr="00F55A1C">
        <w:rPr>
          <w:sz w:val="36"/>
          <w:szCs w:val="36"/>
        </w:rPr>
        <w:t xml:space="preserve"> </w:t>
      </w:r>
    </w:p>
    <w:p w:rsidR="002D12D0" w:rsidRDefault="00090FCD" w:rsidP="004068F2">
      <w:pPr>
        <w:rPr>
          <w:rFonts w:ascii="Calibri" w:hAnsi="Calibri" w:cs="Calibri"/>
        </w:rPr>
      </w:pPr>
      <w:r w:rsidRPr="00090FCD">
        <w:rPr>
          <w:rFonts w:ascii="Calibri" w:hAnsi="Calibri"/>
          <w:bCs/>
        </w:rPr>
      </w:r>
      <w:r w:rsidRPr="00090FCD">
        <w:rPr>
          <w:rFonts w:ascii="Calibri" w:hAnsi="Calibri"/>
          <w:bCs/>
        </w:rPr>
        <w:pict>
          <v:shapetype id="_x0000_t202" coordsize="21600,21600" o:spt="202" path="m,l,21600r21600,l21600,xe">
            <v:stroke joinstyle="miter"/>
            <v:path gradientshapeok="t" o:connecttype="rect"/>
          </v:shapetype>
          <v:shape id="_x0000_s1030" type="#_x0000_t202" style="width:441.25pt;height:67.65pt;mso-left-percent:-10001;mso-top-percent:-10001;mso-position-horizontal:absolute;mso-position-horizontal-relative:char;mso-position-vertical:absolute;mso-position-vertical-relative:line;mso-left-percent:-10001;mso-top-percent:-10001">
            <v:textbox>
              <w:txbxContent>
                <w:p w:rsidR="001B4C94" w:rsidRPr="002D12D0" w:rsidRDefault="001B7976" w:rsidP="002D12D0">
                  <w:pPr>
                    <w:pStyle w:val="ListBullet"/>
                    <w:spacing w:after="0" w:line="240" w:lineRule="auto"/>
                    <w:ind w:hanging="227"/>
                    <w:rPr>
                      <w:rFonts w:ascii="Calibri" w:hAnsi="Calibri"/>
                      <w:b/>
                      <w:bCs/>
                    </w:rPr>
                  </w:pPr>
                  <w:r w:rsidRPr="002D12D0">
                    <w:rPr>
                      <w:rFonts w:ascii="Calibri" w:hAnsi="Calibri"/>
                      <w:b/>
                      <w:bCs/>
                    </w:rPr>
                    <w:t>40,813 tonnes of e-waste were recycled</w:t>
                  </w:r>
                </w:p>
                <w:p w:rsidR="001B4C94" w:rsidRPr="002D12D0" w:rsidRDefault="001B7976" w:rsidP="002D12D0">
                  <w:pPr>
                    <w:pStyle w:val="ListBullet"/>
                    <w:spacing w:after="0" w:line="240" w:lineRule="auto"/>
                    <w:ind w:hanging="227"/>
                    <w:rPr>
                      <w:rFonts w:ascii="Calibri" w:hAnsi="Calibri"/>
                      <w:b/>
                      <w:bCs/>
                    </w:rPr>
                  </w:pPr>
                  <w:r w:rsidRPr="002D12D0">
                    <w:rPr>
                      <w:rFonts w:ascii="Calibri" w:hAnsi="Calibri"/>
                      <w:b/>
                      <w:bCs/>
                    </w:rPr>
                    <w:t>635 collection services were provided around Australia</w:t>
                  </w:r>
                </w:p>
                <w:p w:rsidR="001B4C94" w:rsidRPr="002D12D0" w:rsidRDefault="001B7976" w:rsidP="002D12D0">
                  <w:pPr>
                    <w:pStyle w:val="ListBullet"/>
                    <w:spacing w:after="0" w:line="240" w:lineRule="auto"/>
                    <w:ind w:hanging="227"/>
                    <w:rPr>
                      <w:rFonts w:ascii="Calibri" w:hAnsi="Calibri"/>
                      <w:b/>
                      <w:bCs/>
                    </w:rPr>
                  </w:pPr>
                  <w:r w:rsidRPr="002D12D0">
                    <w:rPr>
                      <w:rFonts w:ascii="Calibri" w:hAnsi="Calibri"/>
                      <w:b/>
                      <w:bCs/>
                    </w:rPr>
                    <w:t>1</w:t>
                  </w:r>
                  <w:r>
                    <w:rPr>
                      <w:rFonts w:ascii="Calibri" w:hAnsi="Calibri"/>
                      <w:b/>
                      <w:bCs/>
                    </w:rPr>
                    <w:t>31</w:t>
                  </w:r>
                  <w:r w:rsidRPr="002D12D0">
                    <w:rPr>
                      <w:rFonts w:ascii="Calibri" w:hAnsi="Calibri"/>
                      <w:b/>
                      <w:bCs/>
                    </w:rPr>
                    <w:t xml:space="preserve"> TV and computer importers and manufacturers were l</w:t>
                  </w:r>
                  <w:r>
                    <w:rPr>
                      <w:rFonts w:ascii="Calibri" w:hAnsi="Calibri"/>
                      <w:b/>
                      <w:bCs/>
                    </w:rPr>
                    <w:t>iable: all met their obligation to participate in the scheme</w:t>
                  </w:r>
                </w:p>
                <w:p w:rsidR="001B4C94" w:rsidRPr="00E24056" w:rsidRDefault="00F11599" w:rsidP="002D12D0"/>
              </w:txbxContent>
            </v:textbox>
            <w10:wrap type="none"/>
            <w10:anchorlock/>
          </v:shape>
        </w:pict>
      </w:r>
    </w:p>
    <w:p w:rsidR="004068F2" w:rsidRDefault="001B7976" w:rsidP="004068F2">
      <w:pPr>
        <w:rPr>
          <w:rFonts w:ascii="Calibri" w:hAnsi="Calibri" w:cs="Calibri"/>
        </w:rPr>
      </w:pPr>
      <w:r>
        <w:rPr>
          <w:rFonts w:ascii="Calibri" w:hAnsi="Calibri" w:cs="Calibri"/>
        </w:rPr>
        <w:t xml:space="preserve">The National Television and Computer Recycling Scheme </w:t>
      </w:r>
      <w:r w:rsidRPr="00D7295D">
        <w:rPr>
          <w:rFonts w:ascii="Calibri" w:hAnsi="Calibri" w:cs="Calibri"/>
        </w:rPr>
        <w:t>require</w:t>
      </w:r>
      <w:r>
        <w:rPr>
          <w:rFonts w:ascii="Calibri" w:hAnsi="Calibri" w:cs="Calibri"/>
        </w:rPr>
        <w:t>s</w:t>
      </w:r>
      <w:r w:rsidRPr="00D7295D">
        <w:rPr>
          <w:rFonts w:ascii="Calibri" w:hAnsi="Calibri" w:cs="Calibri"/>
        </w:rPr>
        <w:t xml:space="preserve"> the television and computer industries to fund collection and recycling </w:t>
      </w:r>
      <w:r>
        <w:rPr>
          <w:rFonts w:ascii="Calibri" w:hAnsi="Calibri" w:cs="Calibri"/>
        </w:rPr>
        <w:t xml:space="preserve">of </w:t>
      </w:r>
      <w:r w:rsidRPr="00D7295D">
        <w:rPr>
          <w:rFonts w:ascii="Calibri" w:hAnsi="Calibri" w:cs="Calibri"/>
        </w:rPr>
        <w:t xml:space="preserve">a proportion of the televisions and computers </w:t>
      </w:r>
      <w:r>
        <w:rPr>
          <w:rFonts w:ascii="Calibri" w:hAnsi="Calibri" w:cs="Calibri"/>
        </w:rPr>
        <w:t>disposed of in Australia each</w:t>
      </w:r>
      <w:r w:rsidRPr="00D7295D">
        <w:rPr>
          <w:rFonts w:ascii="Calibri" w:hAnsi="Calibri" w:cs="Calibri"/>
        </w:rPr>
        <w:t xml:space="preserve"> year.</w:t>
      </w:r>
      <w:r>
        <w:rPr>
          <w:rFonts w:ascii="Calibri" w:hAnsi="Calibri" w:cs="Calibri"/>
        </w:rPr>
        <w:t xml:space="preserve"> The scheme’s long-term goals include the diversion of potentially hazardous television and computer waste from landfill, an increase in the recovery of useable materials and greater access to recycling for communities across Australia. </w:t>
      </w:r>
    </w:p>
    <w:p w:rsidR="00E77E78" w:rsidRDefault="001B7976" w:rsidP="004068F2">
      <w:pPr>
        <w:rPr>
          <w:rFonts w:ascii="Calibri" w:hAnsi="Calibri" w:cs="Calibri"/>
        </w:rPr>
      </w:pPr>
      <w:r>
        <w:rPr>
          <w:rFonts w:ascii="Calibri" w:hAnsi="Calibri" w:cs="Calibri"/>
        </w:rPr>
        <w:t>The scheme’s design includes a</w:t>
      </w:r>
      <w:r w:rsidRPr="00D7295D">
        <w:rPr>
          <w:rFonts w:ascii="Calibri" w:hAnsi="Calibri" w:cs="Calibri"/>
        </w:rPr>
        <w:t xml:space="preserve"> stepped implem</w:t>
      </w:r>
      <w:r>
        <w:rPr>
          <w:rFonts w:ascii="Calibri" w:hAnsi="Calibri" w:cs="Calibri"/>
        </w:rPr>
        <w:t>entation over a number of years, with industry taking responsibility for a progressively</w:t>
      </w:r>
      <w:r w:rsidRPr="00D7295D">
        <w:rPr>
          <w:rFonts w:ascii="Calibri" w:hAnsi="Calibri" w:cs="Calibri"/>
        </w:rPr>
        <w:t xml:space="preserve"> </w:t>
      </w:r>
      <w:r>
        <w:rPr>
          <w:rFonts w:ascii="Calibri" w:hAnsi="Calibri" w:cs="Calibri"/>
        </w:rPr>
        <w:t>higher proportion of</w:t>
      </w:r>
      <w:r w:rsidRPr="00D7295D">
        <w:rPr>
          <w:rFonts w:ascii="Calibri" w:hAnsi="Calibri" w:cs="Calibri"/>
        </w:rPr>
        <w:t xml:space="preserve"> </w:t>
      </w:r>
      <w:r>
        <w:rPr>
          <w:rFonts w:ascii="Calibri" w:hAnsi="Calibri" w:cs="Calibri"/>
        </w:rPr>
        <w:t>total waste televisions and computers each year, from 30 per cent in 2012–13 to 80 per cent by 2021–2022. Television and computer waste beyond these targets remains the responsibility of state, territory and local governments.</w:t>
      </w:r>
    </w:p>
    <w:p w:rsidR="00F75918" w:rsidRDefault="001B7976" w:rsidP="00F75918">
      <w:pPr>
        <w:rPr>
          <w:rFonts w:ascii="Calibri" w:hAnsi="Calibri" w:cs="Calibri"/>
        </w:rPr>
      </w:pPr>
      <w:r>
        <w:rPr>
          <w:rFonts w:ascii="Calibri" w:hAnsi="Calibri"/>
          <w:bCs/>
        </w:rPr>
        <w:t>Companies</w:t>
      </w:r>
      <w:r w:rsidRPr="00FC3027">
        <w:rPr>
          <w:rFonts w:ascii="Calibri" w:hAnsi="Calibri"/>
          <w:bCs/>
        </w:rPr>
        <w:t xml:space="preserve"> import</w:t>
      </w:r>
      <w:r>
        <w:rPr>
          <w:rFonts w:ascii="Calibri" w:hAnsi="Calibri"/>
          <w:bCs/>
        </w:rPr>
        <w:t>ing</w:t>
      </w:r>
      <w:r w:rsidRPr="00FC3027">
        <w:rPr>
          <w:rFonts w:ascii="Calibri" w:hAnsi="Calibri"/>
          <w:bCs/>
        </w:rPr>
        <w:t xml:space="preserve"> or manufactur</w:t>
      </w:r>
      <w:r>
        <w:rPr>
          <w:rFonts w:ascii="Calibri" w:hAnsi="Calibri"/>
          <w:bCs/>
        </w:rPr>
        <w:t>ing</w:t>
      </w:r>
      <w:r w:rsidRPr="00FC3027">
        <w:rPr>
          <w:rFonts w:ascii="Calibri" w:hAnsi="Calibri"/>
          <w:bCs/>
        </w:rPr>
        <w:t xml:space="preserve"> over a specified threshold of television or computer products </w:t>
      </w:r>
      <w:r>
        <w:rPr>
          <w:rFonts w:ascii="Calibri" w:hAnsi="Calibri"/>
          <w:bCs/>
        </w:rPr>
        <w:t>are liable</w:t>
      </w:r>
      <w:r w:rsidRPr="00FC3027">
        <w:rPr>
          <w:rFonts w:ascii="Calibri" w:hAnsi="Calibri"/>
          <w:bCs/>
        </w:rPr>
        <w:t xml:space="preserve"> under the </w:t>
      </w:r>
      <w:r>
        <w:rPr>
          <w:rFonts w:ascii="Calibri" w:hAnsi="Calibri"/>
          <w:bCs/>
        </w:rPr>
        <w:t>s</w:t>
      </w:r>
      <w:r w:rsidRPr="00FC3027">
        <w:rPr>
          <w:rFonts w:ascii="Calibri" w:hAnsi="Calibri"/>
          <w:bCs/>
        </w:rPr>
        <w:t>cheme</w:t>
      </w:r>
      <w:r>
        <w:rPr>
          <w:rFonts w:ascii="Calibri" w:hAnsi="Calibri"/>
          <w:bCs/>
        </w:rPr>
        <w:t xml:space="preserve"> and must join and fund an approved co-regulatory arrangement to provide collection and recycling services on their behalf</w:t>
      </w:r>
      <w:r w:rsidRPr="00FC3027">
        <w:rPr>
          <w:rFonts w:ascii="Calibri" w:hAnsi="Calibri"/>
          <w:bCs/>
        </w:rPr>
        <w:t xml:space="preserve">. </w:t>
      </w:r>
      <w:r>
        <w:rPr>
          <w:rFonts w:ascii="Calibri" w:hAnsi="Calibri" w:cs="Calibri"/>
        </w:rPr>
        <w:t xml:space="preserve">All liable parties met their obligation to join a co-regulatory arrangement in 2012–13. </w:t>
      </w:r>
    </w:p>
    <w:p w:rsidR="009639A2" w:rsidRDefault="001B7976" w:rsidP="00F75918">
      <w:pPr>
        <w:rPr>
          <w:rFonts w:ascii="Calibri" w:hAnsi="Calibri" w:cs="Calibri"/>
        </w:rPr>
      </w:pPr>
      <w:r>
        <w:rPr>
          <w:rFonts w:ascii="Calibri" w:hAnsi="Calibri" w:cs="Calibri"/>
        </w:rPr>
        <w:t>Three approved co-regulatory arrangements were operational in 2012–13: DHL Supply Chain (Australia) Pty Limited, Australia and New Zealand Recycling Platform Limited (ANZRP) and E-Cycle Solutions Pty Ltd.</w:t>
      </w:r>
    </w:p>
    <w:p w:rsidR="00864A1A" w:rsidRDefault="001B7976" w:rsidP="00864A1A">
      <w:pPr>
        <w:rPr>
          <w:rFonts w:ascii="Calibri" w:hAnsi="Calibri" w:cs="Arial"/>
          <w:lang w:eastAsia="en-AU"/>
        </w:rPr>
      </w:pPr>
      <w:r>
        <w:rPr>
          <w:rFonts w:ascii="Calibri" w:hAnsi="Calibri" w:cs="Arial"/>
          <w:lang w:eastAsia="en-AU"/>
        </w:rPr>
        <w:t>A total of 635 collection services, including</w:t>
      </w:r>
      <w:r>
        <w:rPr>
          <w:rFonts w:ascii="Calibri" w:hAnsi="Calibri" w:cs="Calibri"/>
        </w:rPr>
        <w:t xml:space="preserve"> drop off points at major electronics retailers and local government and other waste facilities, as well as temporary collection events</w:t>
      </w:r>
      <w:r>
        <w:rPr>
          <w:rFonts w:ascii="Calibri" w:hAnsi="Calibri" w:cs="Arial"/>
          <w:lang w:eastAsia="en-AU"/>
        </w:rPr>
        <w:t xml:space="preserve">, were provided by the three co-regulatory arrangements between the commencement of the Scheme and the end of June 2013. </w:t>
      </w:r>
    </w:p>
    <w:p w:rsidR="003071D0" w:rsidRDefault="001B7976" w:rsidP="003071D0">
      <w:pPr>
        <w:rPr>
          <w:rFonts w:ascii="Calibri" w:hAnsi="Calibri" w:cs="Calibri"/>
        </w:rPr>
      </w:pPr>
      <w:r>
        <w:rPr>
          <w:rFonts w:ascii="Calibri" w:hAnsi="Calibri" w:cs="Calibri"/>
        </w:rPr>
        <w:t xml:space="preserve">An estimated total of 137,756 tonnes of televisions and computers reached end of life in Australia in 2012–13. Industry’s target under the scheme was to recycle 30 per cent of this amount, or </w:t>
      </w:r>
      <w:r w:rsidRPr="00F11EE1">
        <w:rPr>
          <w:rFonts w:ascii="Calibri" w:hAnsi="Calibri" w:cs="Arial"/>
          <w:lang w:eastAsia="en-AU"/>
        </w:rPr>
        <w:t xml:space="preserve">41,327 </w:t>
      </w:r>
      <w:r w:rsidRPr="00965B8F">
        <w:rPr>
          <w:rFonts w:ascii="Calibri" w:hAnsi="Calibri" w:cs="Arial"/>
          <w:lang w:eastAsia="en-AU"/>
        </w:rPr>
        <w:t>tonnes</w:t>
      </w:r>
      <w:r>
        <w:rPr>
          <w:rFonts w:ascii="Calibri" w:hAnsi="Calibri" w:cs="Calibri"/>
        </w:rPr>
        <w:t>. A</w:t>
      </w:r>
      <w:r w:rsidRPr="00264199">
        <w:rPr>
          <w:rFonts w:ascii="Calibri" w:hAnsi="Calibri" w:cs="Calibri"/>
        </w:rPr>
        <w:t xml:space="preserve"> total of </w:t>
      </w:r>
      <w:r w:rsidRPr="002B0535">
        <w:rPr>
          <w:rFonts w:ascii="Calibri" w:hAnsi="Calibri" w:cs="Calibri"/>
        </w:rPr>
        <w:t>40,813</w:t>
      </w:r>
      <w:r w:rsidRPr="00264199">
        <w:rPr>
          <w:rFonts w:ascii="Calibri" w:hAnsi="Calibri" w:cs="Calibri"/>
        </w:rPr>
        <w:t xml:space="preserve"> </w:t>
      </w:r>
      <w:r>
        <w:rPr>
          <w:rFonts w:ascii="Calibri" w:hAnsi="Calibri" w:cs="Calibri"/>
        </w:rPr>
        <w:t xml:space="preserve">tonnes of recycling was achieved, equivalent to 98.8 per cent of the scheme target and almost double the estimated level of recycling prior to the scheme’s introduction. DHL Supply Chain and E-Cycle Solutions exceeded their recycling targets, while ANZRP fell short of its recycling target. E-waste not covered by the scheme target remained the responsibility of state, territory and local governments. National data is not available on the amount of e-waste recycling that occurred outside the scheme in 2012–13. </w:t>
      </w:r>
    </w:p>
    <w:p w:rsidR="0092457A" w:rsidRDefault="00F11599" w:rsidP="00CC2403">
      <w:pPr>
        <w:pStyle w:val="Heading1"/>
        <w:rPr>
          <w:sz w:val="32"/>
          <w:szCs w:val="32"/>
        </w:rPr>
      </w:pPr>
    </w:p>
    <w:p w:rsidR="0092457A" w:rsidRDefault="001B7976">
      <w:pPr>
        <w:spacing w:after="0" w:line="240" w:lineRule="auto"/>
        <w:rPr>
          <w:rFonts w:ascii="Calibri" w:hAnsi="Calibri" w:cs="Arial"/>
          <w:b/>
          <w:caps/>
          <w:sz w:val="32"/>
          <w:szCs w:val="32"/>
        </w:rPr>
      </w:pPr>
      <w:r>
        <w:rPr>
          <w:sz w:val="32"/>
          <w:szCs w:val="32"/>
        </w:rPr>
        <w:br w:type="page"/>
      </w:r>
    </w:p>
    <w:p w:rsidR="002C3021" w:rsidRPr="00F55A1C" w:rsidRDefault="001B7976" w:rsidP="00CC2403">
      <w:pPr>
        <w:pStyle w:val="Heading1"/>
        <w:rPr>
          <w:sz w:val="36"/>
          <w:szCs w:val="36"/>
        </w:rPr>
      </w:pPr>
      <w:bookmarkStart w:id="5" w:name="_Toc256000042"/>
      <w:bookmarkStart w:id="6" w:name="_Toc256000029"/>
      <w:bookmarkStart w:id="7" w:name="_Toc256000016"/>
      <w:bookmarkStart w:id="8" w:name="_Toc256000003"/>
      <w:bookmarkStart w:id="9" w:name="_Toc380491871"/>
      <w:r w:rsidRPr="00F55A1C">
        <w:rPr>
          <w:sz w:val="36"/>
          <w:szCs w:val="36"/>
        </w:rPr>
        <w:lastRenderedPageBreak/>
        <w:t>Background</w:t>
      </w:r>
      <w:bookmarkEnd w:id="5"/>
      <w:bookmarkEnd w:id="6"/>
      <w:bookmarkEnd w:id="7"/>
      <w:bookmarkEnd w:id="8"/>
      <w:bookmarkEnd w:id="9"/>
      <w:r w:rsidRPr="00F55A1C">
        <w:rPr>
          <w:sz w:val="36"/>
          <w:szCs w:val="36"/>
        </w:rPr>
        <w:t xml:space="preserve"> </w:t>
      </w:r>
    </w:p>
    <w:p w:rsidR="00CA508D" w:rsidRPr="001F549E" w:rsidRDefault="001B7976" w:rsidP="00CC2403">
      <w:pPr>
        <w:pStyle w:val="Heading2"/>
      </w:pPr>
      <w:bookmarkStart w:id="10" w:name="_Toc256000043"/>
      <w:bookmarkStart w:id="11" w:name="_Toc256000030"/>
      <w:bookmarkStart w:id="12" w:name="_Toc256000017"/>
      <w:bookmarkStart w:id="13" w:name="_Toc256000004"/>
      <w:bookmarkStart w:id="14" w:name="_Toc380491872"/>
      <w:r w:rsidRPr="001F549E">
        <w:t>Developing the National Television and Computer Recycling Scheme</w:t>
      </w:r>
      <w:bookmarkEnd w:id="10"/>
      <w:bookmarkEnd w:id="11"/>
      <w:bookmarkEnd w:id="12"/>
      <w:bookmarkEnd w:id="13"/>
      <w:bookmarkEnd w:id="14"/>
    </w:p>
    <w:p w:rsidR="00B216CC" w:rsidRDefault="001B7976" w:rsidP="00B216CC">
      <w:pPr>
        <w:rPr>
          <w:rFonts w:ascii="Calibri" w:hAnsi="Calibri" w:cs="Arial"/>
          <w:lang w:eastAsia="en-AU"/>
        </w:rPr>
      </w:pPr>
      <w:r w:rsidRPr="00B216CC">
        <w:rPr>
          <w:rFonts w:ascii="Calibri" w:hAnsi="Calibri" w:cs="Arial"/>
          <w:lang w:eastAsia="en-AU"/>
        </w:rPr>
        <w:t>In 2007</w:t>
      </w:r>
      <w:r>
        <w:rPr>
          <w:rFonts w:ascii="Calibri" w:hAnsi="Calibri" w:cs="Arial"/>
          <w:lang w:eastAsia="en-AU"/>
        </w:rPr>
        <w:t>–</w:t>
      </w:r>
      <w:r w:rsidRPr="00B216CC">
        <w:rPr>
          <w:rFonts w:ascii="Calibri" w:hAnsi="Calibri" w:cs="Arial"/>
          <w:lang w:eastAsia="en-AU"/>
        </w:rPr>
        <w:t>08 it was estima</w:t>
      </w:r>
      <w:r>
        <w:rPr>
          <w:rFonts w:ascii="Calibri" w:hAnsi="Calibri" w:cs="Arial"/>
          <w:lang w:eastAsia="en-AU"/>
        </w:rPr>
        <w:t>ted that around 106,000 tonnes</w:t>
      </w:r>
      <w:r w:rsidRPr="00B216CC">
        <w:rPr>
          <w:rFonts w:ascii="Calibri" w:hAnsi="Calibri" w:cs="Arial"/>
          <w:lang w:eastAsia="en-AU"/>
        </w:rPr>
        <w:t xml:space="preserve"> of televisions, computers and computer products (including printers, scanners, keyboards and mice) reached end</w:t>
      </w:r>
      <w:r>
        <w:rPr>
          <w:rFonts w:ascii="Calibri" w:hAnsi="Calibri" w:cs="Arial"/>
          <w:lang w:eastAsia="en-AU"/>
        </w:rPr>
        <w:t>-</w:t>
      </w:r>
      <w:r w:rsidRPr="00B216CC">
        <w:rPr>
          <w:rFonts w:ascii="Calibri" w:hAnsi="Calibri" w:cs="Arial"/>
          <w:lang w:eastAsia="en-AU"/>
        </w:rPr>
        <w:t>of</w:t>
      </w:r>
      <w:r>
        <w:rPr>
          <w:rFonts w:ascii="Calibri" w:hAnsi="Calibri" w:cs="Arial"/>
          <w:lang w:eastAsia="en-AU"/>
        </w:rPr>
        <w:t>-</w:t>
      </w:r>
      <w:r w:rsidRPr="00B216CC">
        <w:rPr>
          <w:rFonts w:ascii="Calibri" w:hAnsi="Calibri" w:cs="Arial"/>
          <w:lang w:eastAsia="en-AU"/>
        </w:rPr>
        <w:t>life</w:t>
      </w:r>
      <w:r>
        <w:rPr>
          <w:rFonts w:ascii="Calibri" w:hAnsi="Calibri" w:cs="Arial"/>
          <w:lang w:eastAsia="en-AU"/>
        </w:rPr>
        <w:t xml:space="preserve"> in Australia. This annual figure represents approximately five kilograms of television and computer waste</w:t>
      </w:r>
      <w:r w:rsidRPr="00B216CC">
        <w:rPr>
          <w:rFonts w:ascii="Calibri" w:hAnsi="Calibri" w:cs="Arial"/>
          <w:lang w:eastAsia="en-AU"/>
        </w:rPr>
        <w:t xml:space="preserve"> </w:t>
      </w:r>
      <w:r>
        <w:rPr>
          <w:rFonts w:ascii="Calibri" w:hAnsi="Calibri" w:cs="Arial"/>
          <w:lang w:eastAsia="en-AU"/>
        </w:rPr>
        <w:t xml:space="preserve">generated </w:t>
      </w:r>
      <w:r w:rsidRPr="00B216CC">
        <w:rPr>
          <w:rFonts w:ascii="Calibri" w:hAnsi="Calibri" w:cs="Arial"/>
          <w:lang w:eastAsia="en-AU"/>
        </w:rPr>
        <w:t xml:space="preserve">per </w:t>
      </w:r>
      <w:r>
        <w:rPr>
          <w:rFonts w:ascii="Calibri" w:hAnsi="Calibri" w:cs="Arial"/>
          <w:lang w:eastAsia="en-AU"/>
        </w:rPr>
        <w:t>capita</w:t>
      </w:r>
      <w:r w:rsidRPr="00B216CC">
        <w:rPr>
          <w:rFonts w:ascii="Calibri" w:hAnsi="Calibri" w:cs="Arial"/>
          <w:lang w:eastAsia="en-AU"/>
        </w:rPr>
        <w:t xml:space="preserve">. At that time, it was estimated that only 10 per cent of these products were recycled, with the remainder either stockpiled or sent to landfill. </w:t>
      </w:r>
      <w:r>
        <w:rPr>
          <w:rFonts w:ascii="Calibri" w:hAnsi="Calibri" w:cs="Arial"/>
          <w:lang w:eastAsia="en-AU"/>
        </w:rPr>
        <w:t>The amount of waste arising annually was</w:t>
      </w:r>
      <w:r w:rsidRPr="00B216CC">
        <w:rPr>
          <w:rFonts w:ascii="Calibri" w:hAnsi="Calibri" w:cs="Arial"/>
          <w:lang w:eastAsia="en-AU"/>
        </w:rPr>
        <w:t xml:space="preserve"> also increasing due to rapid technological change, shorter life-spans of products and increasing ownership of electrical products. The </w:t>
      </w:r>
      <w:r>
        <w:rPr>
          <w:rFonts w:ascii="Calibri" w:hAnsi="Calibri" w:cs="Arial"/>
          <w:lang w:eastAsia="en-AU"/>
        </w:rPr>
        <w:t>weight</w:t>
      </w:r>
      <w:r w:rsidRPr="00B216CC">
        <w:rPr>
          <w:rFonts w:ascii="Calibri" w:hAnsi="Calibri" w:cs="Arial"/>
          <w:lang w:eastAsia="en-AU"/>
        </w:rPr>
        <w:t xml:space="preserve"> of televisions and computers reaching their end-of-life was projected to grow to 181,000 ton</w:t>
      </w:r>
      <w:r>
        <w:rPr>
          <w:rFonts w:ascii="Calibri" w:hAnsi="Calibri" w:cs="Arial"/>
          <w:lang w:eastAsia="en-AU"/>
        </w:rPr>
        <w:t>nes</w:t>
      </w:r>
      <w:r w:rsidRPr="00B216CC">
        <w:rPr>
          <w:rFonts w:ascii="Calibri" w:hAnsi="Calibri" w:cs="Arial"/>
          <w:lang w:eastAsia="en-AU"/>
        </w:rPr>
        <w:t xml:space="preserve"> by 2027</w:t>
      </w:r>
      <w:r>
        <w:rPr>
          <w:rFonts w:ascii="Calibri" w:hAnsi="Calibri" w:cs="Arial"/>
          <w:lang w:eastAsia="en-AU"/>
        </w:rPr>
        <w:t>–</w:t>
      </w:r>
      <w:r w:rsidRPr="00B216CC">
        <w:rPr>
          <w:rFonts w:ascii="Calibri" w:hAnsi="Calibri" w:cs="Arial"/>
          <w:lang w:eastAsia="en-AU"/>
        </w:rPr>
        <w:t>28.</w:t>
      </w:r>
    </w:p>
    <w:p w:rsidR="0070405E" w:rsidRDefault="001B7976" w:rsidP="00D858A2">
      <w:pPr>
        <w:rPr>
          <w:rFonts w:ascii="Calibri" w:hAnsi="Calibri" w:cs="Arial"/>
          <w:lang w:eastAsia="en-AU"/>
        </w:rPr>
      </w:pPr>
      <w:r>
        <w:rPr>
          <w:rFonts w:ascii="Calibri" w:hAnsi="Calibri" w:cs="Arial"/>
          <w:lang w:eastAsia="en-AU"/>
        </w:rPr>
        <w:t xml:space="preserve">Waste management </w:t>
      </w:r>
      <w:r w:rsidRPr="00D858A2">
        <w:rPr>
          <w:rFonts w:ascii="Calibri" w:hAnsi="Calibri" w:cs="Arial"/>
          <w:lang w:eastAsia="en-AU"/>
        </w:rPr>
        <w:t xml:space="preserve">is </w:t>
      </w:r>
      <w:r>
        <w:rPr>
          <w:rFonts w:ascii="Calibri" w:hAnsi="Calibri" w:cs="Arial"/>
          <w:lang w:eastAsia="en-AU"/>
        </w:rPr>
        <w:t xml:space="preserve">primarily the </w:t>
      </w:r>
      <w:r w:rsidRPr="00D858A2">
        <w:rPr>
          <w:rFonts w:ascii="Calibri" w:hAnsi="Calibri" w:cs="Arial"/>
          <w:lang w:eastAsia="en-AU"/>
        </w:rPr>
        <w:t xml:space="preserve">responsibility </w:t>
      </w:r>
      <w:r>
        <w:rPr>
          <w:rFonts w:ascii="Calibri" w:hAnsi="Calibri" w:cs="Arial"/>
          <w:lang w:eastAsia="en-AU"/>
        </w:rPr>
        <w:t>of state and territory governments and, through them, local governments. T</w:t>
      </w:r>
      <w:r w:rsidRPr="00D858A2">
        <w:rPr>
          <w:rFonts w:ascii="Calibri" w:hAnsi="Calibri" w:cs="Arial"/>
          <w:lang w:eastAsia="en-AU"/>
        </w:rPr>
        <w:t xml:space="preserve">he </w:t>
      </w:r>
      <w:r>
        <w:rPr>
          <w:rFonts w:ascii="Calibri" w:hAnsi="Calibri" w:cs="Arial"/>
          <w:lang w:eastAsia="en-AU"/>
        </w:rPr>
        <w:t xml:space="preserve">involvement of the </w:t>
      </w:r>
      <w:r w:rsidRPr="00D858A2">
        <w:rPr>
          <w:rFonts w:ascii="Calibri" w:hAnsi="Calibri" w:cs="Arial"/>
          <w:lang w:eastAsia="en-AU"/>
        </w:rPr>
        <w:t xml:space="preserve">Australian Government </w:t>
      </w:r>
      <w:r>
        <w:rPr>
          <w:rFonts w:ascii="Calibri" w:hAnsi="Calibri" w:cs="Arial"/>
          <w:lang w:eastAsia="en-AU"/>
        </w:rPr>
        <w:t xml:space="preserve">has arisen through </w:t>
      </w:r>
      <w:r w:rsidRPr="00D858A2">
        <w:rPr>
          <w:rFonts w:ascii="Calibri" w:hAnsi="Calibri" w:cs="Arial"/>
          <w:lang w:eastAsia="en-AU"/>
        </w:rPr>
        <w:t>the Council of Australian Governments</w:t>
      </w:r>
      <w:r>
        <w:rPr>
          <w:rFonts w:ascii="Calibri" w:hAnsi="Calibri" w:cs="Arial"/>
          <w:lang w:eastAsia="en-AU"/>
        </w:rPr>
        <w:t xml:space="preserve"> (COAG), in response to the scope of the growing e-waste challenge and the desire of industry, the community and state and territory governments for a more consistent national approach to recycling.</w:t>
      </w:r>
    </w:p>
    <w:p w:rsidR="00A84EB6" w:rsidRPr="009E50F3" w:rsidRDefault="001B7976" w:rsidP="0070405E">
      <w:pPr>
        <w:rPr>
          <w:rFonts w:ascii="Calibri" w:hAnsi="Calibri" w:cs="Arial"/>
          <w:lang w:eastAsia="en-AU"/>
        </w:rPr>
      </w:pPr>
      <w:r w:rsidRPr="00A84EB6">
        <w:rPr>
          <w:rFonts w:ascii="Calibri" w:hAnsi="Calibri" w:cs="Arial"/>
          <w:lang w:eastAsia="en-AU"/>
        </w:rPr>
        <w:t>Australian environment ministers agreed in 2009 that televisions and computers should be the first products to be regulated under the proposed</w:t>
      </w:r>
      <w:r>
        <w:rPr>
          <w:rFonts w:ascii="Calibri" w:hAnsi="Calibri" w:cs="Arial"/>
          <w:lang w:eastAsia="en-AU"/>
        </w:rPr>
        <w:t xml:space="preserve"> national legislative framework for product stewardship. Product stewardship is an approach that acknowledges that those involved in </w:t>
      </w:r>
      <w:r w:rsidRPr="00E36A51">
        <w:rPr>
          <w:rFonts w:ascii="Calibri" w:hAnsi="Calibri" w:cs="Arial"/>
          <w:lang w:eastAsia="en-AU"/>
        </w:rPr>
        <w:t>producin</w:t>
      </w:r>
      <w:r>
        <w:rPr>
          <w:rFonts w:ascii="Calibri" w:hAnsi="Calibri" w:cs="Arial"/>
          <w:lang w:eastAsia="en-AU"/>
        </w:rPr>
        <w:t>g,</w:t>
      </w:r>
      <w:r w:rsidRPr="00E36A51">
        <w:rPr>
          <w:rFonts w:ascii="Calibri" w:hAnsi="Calibri" w:cs="Arial"/>
          <w:lang w:eastAsia="en-AU"/>
        </w:rPr>
        <w:t xml:space="preserve"> </w:t>
      </w:r>
      <w:r>
        <w:rPr>
          <w:rFonts w:ascii="Calibri" w:hAnsi="Calibri" w:cs="Arial"/>
          <w:lang w:eastAsia="en-AU"/>
        </w:rPr>
        <w:t xml:space="preserve">importing, </w:t>
      </w:r>
      <w:r w:rsidRPr="00E36A51">
        <w:rPr>
          <w:rFonts w:ascii="Calibri" w:hAnsi="Calibri" w:cs="Arial"/>
          <w:lang w:eastAsia="en-AU"/>
        </w:rPr>
        <w:t>selling</w:t>
      </w:r>
      <w:r>
        <w:rPr>
          <w:rFonts w:ascii="Calibri" w:hAnsi="Calibri" w:cs="Arial"/>
          <w:lang w:eastAsia="en-AU"/>
        </w:rPr>
        <w:t xml:space="preserve">, using and disposing </w:t>
      </w:r>
      <w:r w:rsidRPr="00E36A51">
        <w:rPr>
          <w:rFonts w:ascii="Calibri" w:hAnsi="Calibri" w:cs="Arial"/>
          <w:lang w:eastAsia="en-AU"/>
        </w:rPr>
        <w:t>of products have a shared responsibility</w:t>
      </w:r>
      <w:r>
        <w:rPr>
          <w:rFonts w:ascii="Calibri" w:hAnsi="Calibri" w:cs="Arial"/>
          <w:lang w:eastAsia="en-AU"/>
        </w:rPr>
        <w:t xml:space="preserve"> to reduce the impact that those products and their use and disposal have on the environment and human health and safety.  </w:t>
      </w:r>
    </w:p>
    <w:p w:rsidR="00746C02" w:rsidRDefault="001B7976" w:rsidP="0070405E">
      <w:pPr>
        <w:rPr>
          <w:rFonts w:ascii="Calibri" w:hAnsi="Calibri" w:cs="Arial"/>
          <w:lang w:eastAsia="en-AU"/>
        </w:rPr>
      </w:pPr>
      <w:r w:rsidRPr="007518BF">
        <w:rPr>
          <w:rFonts w:ascii="Calibri" w:hAnsi="Calibri" w:cs="Arial"/>
          <w:lang w:eastAsia="en-AU"/>
        </w:rPr>
        <w:t xml:space="preserve">The decision to implement a product stewardship scheme for </w:t>
      </w:r>
      <w:r w:rsidRPr="006B137D">
        <w:rPr>
          <w:rFonts w:ascii="Calibri" w:hAnsi="Calibri" w:cs="Arial"/>
          <w:lang w:eastAsia="en-AU"/>
        </w:rPr>
        <w:t>televisions and computers was informed by a thorough analysis of the impact of a</w:t>
      </w:r>
      <w:r>
        <w:rPr>
          <w:rFonts w:ascii="Calibri" w:hAnsi="Calibri" w:cs="Arial"/>
          <w:lang w:eastAsia="en-AU"/>
        </w:rPr>
        <w:t xml:space="preserve"> national</w:t>
      </w:r>
      <w:r w:rsidRPr="006B137D">
        <w:rPr>
          <w:rFonts w:ascii="Calibri" w:hAnsi="Calibri" w:cs="Arial"/>
          <w:lang w:eastAsia="en-AU"/>
        </w:rPr>
        <w:t xml:space="preserve"> regulated recycling scheme.</w:t>
      </w:r>
      <w:r>
        <w:rPr>
          <w:rFonts w:ascii="Calibri" w:hAnsi="Calibri" w:cs="Arial"/>
          <w:lang w:eastAsia="en-AU"/>
        </w:rPr>
        <w:t xml:space="preserve"> This analysis demonstrated that an industry run and funded recycling</w:t>
      </w:r>
      <w:r w:rsidRPr="00224C5F">
        <w:rPr>
          <w:rFonts w:ascii="Calibri" w:hAnsi="Calibri" w:cs="Arial"/>
          <w:lang w:eastAsia="en-AU"/>
        </w:rPr>
        <w:t xml:space="preserve"> </w:t>
      </w:r>
      <w:r w:rsidRPr="006B137D">
        <w:rPr>
          <w:rFonts w:ascii="Calibri" w:hAnsi="Calibri" w:cs="Arial"/>
          <w:lang w:eastAsia="en-AU"/>
        </w:rPr>
        <w:t xml:space="preserve">scheme for televisions and computers would provide a </w:t>
      </w:r>
      <w:r>
        <w:rPr>
          <w:rFonts w:ascii="Calibri" w:hAnsi="Calibri" w:cs="Arial"/>
          <w:lang w:eastAsia="en-AU"/>
        </w:rPr>
        <w:t xml:space="preserve">significant </w:t>
      </w:r>
      <w:r w:rsidRPr="006B137D">
        <w:rPr>
          <w:rFonts w:ascii="Calibri" w:hAnsi="Calibri" w:cs="Arial"/>
          <w:lang w:eastAsia="en-AU"/>
        </w:rPr>
        <w:t xml:space="preserve">net benefit to society </w:t>
      </w:r>
      <w:r>
        <w:rPr>
          <w:rFonts w:ascii="Calibri" w:hAnsi="Calibri" w:cs="Arial"/>
          <w:lang w:eastAsia="en-AU"/>
        </w:rPr>
        <w:t xml:space="preserve">over the period from 2008–09 to 2030–31. </w:t>
      </w:r>
    </w:p>
    <w:p w:rsidR="00224C5F" w:rsidRDefault="001B7976" w:rsidP="0070405E">
      <w:pPr>
        <w:rPr>
          <w:rFonts w:ascii="Calibri" w:hAnsi="Calibri" w:cs="Arial"/>
          <w:lang w:eastAsia="en-AU"/>
        </w:rPr>
      </w:pPr>
      <w:r>
        <w:rPr>
          <w:rFonts w:ascii="Calibri" w:hAnsi="Calibri" w:cs="Arial"/>
          <w:lang w:eastAsia="en-AU"/>
        </w:rPr>
        <w:t>The design of the National Television and Computer Recycling Scheme was endorsed through COAG. A key design feature is that the television and computer industries will take on increasing proportion of the responsibility for managing television and computer waste over a number of years. In endorsing the design, COAG recognised that continued recycling of waste computers and televisions by state, territory and local governments would be needed in support of industry’s efforts in the early years of the scheme.</w:t>
      </w:r>
    </w:p>
    <w:p w:rsidR="00867A5B" w:rsidRPr="001F549E" w:rsidRDefault="001B7976" w:rsidP="00CC2403">
      <w:pPr>
        <w:pStyle w:val="Heading2"/>
      </w:pPr>
      <w:bookmarkStart w:id="15" w:name="_Toc256000044"/>
      <w:bookmarkStart w:id="16" w:name="_Toc256000031"/>
      <w:bookmarkStart w:id="17" w:name="_Toc256000018"/>
      <w:bookmarkStart w:id="18" w:name="_Toc256000005"/>
      <w:bookmarkStart w:id="19" w:name="_Toc380491873"/>
      <w:r w:rsidRPr="001F549E">
        <w:t xml:space="preserve">Consultation and </w:t>
      </w:r>
      <w:r>
        <w:t>s</w:t>
      </w:r>
      <w:r w:rsidRPr="001F549E">
        <w:t xml:space="preserve">takeholder </w:t>
      </w:r>
      <w:r>
        <w:t>e</w:t>
      </w:r>
      <w:r w:rsidRPr="001F549E">
        <w:t>ngagement</w:t>
      </w:r>
      <w:bookmarkEnd w:id="15"/>
      <w:bookmarkEnd w:id="16"/>
      <w:bookmarkEnd w:id="17"/>
      <w:bookmarkEnd w:id="18"/>
      <w:bookmarkEnd w:id="19"/>
    </w:p>
    <w:p w:rsidR="00DB705F" w:rsidRDefault="001B7976" w:rsidP="00DB705F">
      <w:pPr>
        <w:rPr>
          <w:rFonts w:ascii="Calibri" w:hAnsi="Calibri" w:cs="Arial"/>
          <w:lang w:eastAsia="en-AU"/>
        </w:rPr>
      </w:pPr>
      <w:r w:rsidRPr="001A3F6E">
        <w:rPr>
          <w:rFonts w:ascii="Calibri" w:hAnsi="Calibri" w:cs="Arial"/>
          <w:lang w:eastAsia="en-AU"/>
        </w:rPr>
        <w:t xml:space="preserve">In July 2009, </w:t>
      </w:r>
      <w:r>
        <w:rPr>
          <w:rFonts w:ascii="Calibri" w:hAnsi="Calibri" w:cs="Arial"/>
          <w:lang w:eastAsia="en-AU"/>
        </w:rPr>
        <w:t>a consultation package was released on options for a national recycling scheme for televisions and computers, and</w:t>
      </w:r>
      <w:r w:rsidRPr="001A3F6E">
        <w:rPr>
          <w:rFonts w:ascii="Calibri" w:hAnsi="Calibri" w:cs="Arial"/>
          <w:lang w:eastAsia="en-AU"/>
        </w:rPr>
        <w:t xml:space="preserve"> public consultation sessions </w:t>
      </w:r>
      <w:r>
        <w:rPr>
          <w:rFonts w:ascii="Calibri" w:hAnsi="Calibri" w:cs="Arial"/>
          <w:lang w:eastAsia="en-AU"/>
        </w:rPr>
        <w:t xml:space="preserve">were held </w:t>
      </w:r>
      <w:r w:rsidRPr="001A3F6E">
        <w:rPr>
          <w:rFonts w:ascii="Calibri" w:hAnsi="Calibri" w:cs="Arial"/>
          <w:lang w:eastAsia="en-AU"/>
        </w:rPr>
        <w:t xml:space="preserve">in Adelaide, Perth, Sydney and Melbourne. </w:t>
      </w:r>
      <w:r>
        <w:rPr>
          <w:rFonts w:ascii="Calibri" w:hAnsi="Calibri" w:cs="Arial"/>
          <w:lang w:eastAsia="en-AU"/>
        </w:rPr>
        <w:t xml:space="preserve">A total of </w:t>
      </w:r>
      <w:r w:rsidRPr="001A3F6E">
        <w:rPr>
          <w:rFonts w:ascii="Calibri" w:hAnsi="Calibri" w:cs="Arial"/>
          <w:lang w:eastAsia="en-AU"/>
        </w:rPr>
        <w:t>130 submissions were received from a broad range of stakeholders including television and computer manufacturers, industry associations, state and territory governments, local governments, environmental organisations and individuals. Submissions provided almost unanimous support for the introduction of a national scheme for television and computer</w:t>
      </w:r>
      <w:r>
        <w:rPr>
          <w:rFonts w:ascii="Calibri" w:hAnsi="Calibri" w:cs="Arial"/>
          <w:lang w:eastAsia="en-AU"/>
        </w:rPr>
        <w:t xml:space="preserve"> recycling</w:t>
      </w:r>
      <w:r w:rsidRPr="001A3F6E">
        <w:rPr>
          <w:rFonts w:ascii="Calibri" w:hAnsi="Calibri" w:cs="Arial"/>
          <w:lang w:eastAsia="en-AU"/>
        </w:rPr>
        <w:t>, underpinned by Au</w:t>
      </w:r>
      <w:r>
        <w:rPr>
          <w:rFonts w:ascii="Calibri" w:hAnsi="Calibri" w:cs="Arial"/>
          <w:lang w:eastAsia="en-AU"/>
        </w:rPr>
        <w:t xml:space="preserve">stralian Government regulation. </w:t>
      </w:r>
    </w:p>
    <w:p w:rsidR="00867A5B" w:rsidRDefault="001B7976" w:rsidP="00867A5B">
      <w:pPr>
        <w:rPr>
          <w:rFonts w:ascii="Calibri" w:hAnsi="Calibri" w:cs="Arial"/>
          <w:lang w:eastAsia="en-AU"/>
        </w:rPr>
      </w:pPr>
      <w:r w:rsidRPr="00360E56">
        <w:rPr>
          <w:rFonts w:ascii="Calibri" w:hAnsi="Calibri" w:cs="Arial"/>
          <w:lang w:eastAsia="en-AU"/>
        </w:rPr>
        <w:t xml:space="preserve">To inform the operational aspects of the </w:t>
      </w:r>
      <w:r>
        <w:rPr>
          <w:rFonts w:ascii="Calibri" w:hAnsi="Calibri" w:cs="Arial"/>
          <w:lang w:eastAsia="en-AU"/>
        </w:rPr>
        <w:t>Scheme</w:t>
      </w:r>
      <w:r w:rsidRPr="00360E56">
        <w:rPr>
          <w:rFonts w:ascii="Calibri" w:hAnsi="Calibri" w:cs="Arial"/>
          <w:lang w:eastAsia="en-AU"/>
        </w:rPr>
        <w:t xml:space="preserve">, </w:t>
      </w:r>
      <w:r>
        <w:rPr>
          <w:rFonts w:ascii="Calibri" w:hAnsi="Calibri" w:cs="Arial"/>
          <w:lang w:eastAsia="en-AU"/>
        </w:rPr>
        <w:t xml:space="preserve">the Australian Government established a Stakeholder Reference Group of </w:t>
      </w:r>
      <w:r w:rsidRPr="00360E56">
        <w:rPr>
          <w:rFonts w:ascii="Calibri" w:hAnsi="Calibri" w:cs="Arial"/>
          <w:lang w:eastAsia="en-AU"/>
        </w:rPr>
        <w:t>representatives from the television, computer and recycling industries, environmental and community groups and state</w:t>
      </w:r>
      <w:r>
        <w:rPr>
          <w:rFonts w:ascii="Calibri" w:hAnsi="Calibri" w:cs="Arial"/>
          <w:lang w:eastAsia="en-AU"/>
        </w:rPr>
        <w:t>, territory</w:t>
      </w:r>
      <w:r w:rsidRPr="00360E56">
        <w:rPr>
          <w:rFonts w:ascii="Calibri" w:hAnsi="Calibri" w:cs="Arial"/>
          <w:lang w:eastAsia="en-AU"/>
        </w:rPr>
        <w:t xml:space="preserve"> and local governments. Between </w:t>
      </w:r>
      <w:r w:rsidRPr="00360E56">
        <w:rPr>
          <w:rFonts w:ascii="Calibri" w:hAnsi="Calibri" w:cs="Arial"/>
          <w:lang w:eastAsia="en-AU"/>
        </w:rPr>
        <w:lastRenderedPageBreak/>
        <w:t xml:space="preserve">May 2010 and May 2012, the Stakeholder Reference Group facilitated engagement between key stakeholders and the government on the development and implementation of regulations </w:t>
      </w:r>
      <w:r>
        <w:rPr>
          <w:rFonts w:ascii="Calibri" w:hAnsi="Calibri" w:cs="Arial"/>
          <w:lang w:eastAsia="en-AU"/>
        </w:rPr>
        <w:t>for</w:t>
      </w:r>
      <w:r w:rsidRPr="00360E56">
        <w:rPr>
          <w:rFonts w:ascii="Calibri" w:hAnsi="Calibri" w:cs="Arial"/>
          <w:lang w:eastAsia="en-AU"/>
        </w:rPr>
        <w:t xml:space="preserve"> television and computer</w:t>
      </w:r>
      <w:r>
        <w:rPr>
          <w:rFonts w:ascii="Calibri" w:hAnsi="Calibri" w:cs="Arial"/>
          <w:lang w:eastAsia="en-AU"/>
        </w:rPr>
        <w:t xml:space="preserve"> recycling</w:t>
      </w:r>
      <w:r w:rsidRPr="00360E56">
        <w:rPr>
          <w:rFonts w:ascii="Calibri" w:hAnsi="Calibri" w:cs="Arial"/>
          <w:lang w:eastAsia="en-AU"/>
        </w:rPr>
        <w:t>.</w:t>
      </w:r>
    </w:p>
    <w:p w:rsidR="0036118C" w:rsidRDefault="001B7976" w:rsidP="00867A5B">
      <w:r w:rsidRPr="009F2BB5">
        <w:rPr>
          <w:rFonts w:ascii="Calibri" w:hAnsi="Calibri" w:cs="Arial"/>
          <w:lang w:eastAsia="en-AU"/>
        </w:rPr>
        <w:t>Recognising th</w:t>
      </w:r>
      <w:r>
        <w:rPr>
          <w:rFonts w:ascii="Calibri" w:hAnsi="Calibri" w:cs="Arial"/>
          <w:lang w:eastAsia="en-AU"/>
        </w:rPr>
        <w:t>e vital role th</w:t>
      </w:r>
      <w:r w:rsidRPr="009F2BB5">
        <w:rPr>
          <w:rFonts w:ascii="Calibri" w:hAnsi="Calibri" w:cs="Arial"/>
          <w:lang w:eastAsia="en-AU"/>
        </w:rPr>
        <w:t xml:space="preserve">at </w:t>
      </w:r>
      <w:r w:rsidRPr="00360E56">
        <w:rPr>
          <w:rFonts w:ascii="Calibri" w:hAnsi="Calibri" w:cs="Arial"/>
          <w:lang w:eastAsia="en-AU"/>
        </w:rPr>
        <w:t>state</w:t>
      </w:r>
      <w:r>
        <w:rPr>
          <w:rFonts w:ascii="Calibri" w:hAnsi="Calibri" w:cs="Arial"/>
          <w:lang w:eastAsia="en-AU"/>
        </w:rPr>
        <w:t>, territory</w:t>
      </w:r>
      <w:r w:rsidRPr="00360E56">
        <w:rPr>
          <w:rFonts w:ascii="Calibri" w:hAnsi="Calibri" w:cs="Arial"/>
          <w:lang w:eastAsia="en-AU"/>
        </w:rPr>
        <w:t xml:space="preserve"> and local governments would continue to play a role in managing waste</w:t>
      </w:r>
      <w:r>
        <w:rPr>
          <w:rFonts w:ascii="Calibri" w:hAnsi="Calibri" w:cs="Arial"/>
          <w:lang w:eastAsia="en-AU"/>
        </w:rPr>
        <w:t xml:space="preserve"> televisions and computers, COAG </w:t>
      </w:r>
      <w:r w:rsidRPr="009F2BB5">
        <w:rPr>
          <w:rFonts w:ascii="Calibri" w:hAnsi="Calibri" w:cs="Arial"/>
          <w:lang w:eastAsia="en-AU"/>
        </w:rPr>
        <w:t xml:space="preserve">endorsed a project aimed at improving understanding of </w:t>
      </w:r>
      <w:r>
        <w:rPr>
          <w:rFonts w:ascii="Calibri" w:hAnsi="Calibri" w:cs="Arial"/>
          <w:lang w:eastAsia="en-AU"/>
        </w:rPr>
        <w:t>the ongoing roles and responsibilities of these entities</w:t>
      </w:r>
      <w:r w:rsidRPr="009F2BB5">
        <w:rPr>
          <w:rFonts w:ascii="Calibri" w:hAnsi="Calibri" w:cs="Arial"/>
          <w:lang w:eastAsia="en-AU"/>
        </w:rPr>
        <w:t xml:space="preserve">. </w:t>
      </w:r>
      <w:r>
        <w:rPr>
          <w:rFonts w:ascii="Calibri" w:hAnsi="Calibri" w:cs="Arial"/>
          <w:lang w:eastAsia="en-AU"/>
        </w:rPr>
        <w:t xml:space="preserve">The Australian Government also </w:t>
      </w:r>
      <w:r w:rsidRPr="009F2BB5">
        <w:rPr>
          <w:rFonts w:ascii="Calibri" w:hAnsi="Calibri" w:cs="Arial"/>
          <w:lang w:eastAsia="en-AU"/>
        </w:rPr>
        <w:t>undertook a national program of facilitated discussion sessions with local government, recyclers and charities.</w:t>
      </w:r>
      <w:r>
        <w:rPr>
          <w:rFonts w:ascii="Calibri" w:hAnsi="Calibri" w:cs="Arial"/>
          <w:lang w:eastAsia="en-AU"/>
        </w:rPr>
        <w:t xml:space="preserve"> </w:t>
      </w:r>
      <w:r w:rsidRPr="009F2BB5">
        <w:rPr>
          <w:rFonts w:ascii="Calibri" w:hAnsi="Calibri" w:cs="Arial"/>
          <w:lang w:eastAsia="en-AU"/>
        </w:rPr>
        <w:t>A total of 360 councils, representing 84 per cent of Australia’s population</w:t>
      </w:r>
      <w:r>
        <w:rPr>
          <w:rFonts w:ascii="Calibri" w:hAnsi="Calibri" w:cs="Arial"/>
          <w:lang w:eastAsia="en-AU"/>
        </w:rPr>
        <w:t>, took part in these sessions</w:t>
      </w:r>
      <w:r w:rsidRPr="00E62469">
        <w:t xml:space="preserve">. </w:t>
      </w:r>
    </w:p>
    <w:p w:rsidR="0036118C" w:rsidRPr="00360E56" w:rsidRDefault="001B7976" w:rsidP="0036118C">
      <w:pPr>
        <w:rPr>
          <w:rFonts w:ascii="Calibri" w:hAnsi="Calibri" w:cs="Arial"/>
          <w:lang w:eastAsia="en-AU"/>
        </w:rPr>
      </w:pPr>
      <w:r w:rsidRPr="00360E56">
        <w:rPr>
          <w:rFonts w:ascii="Calibri" w:hAnsi="Calibri" w:cs="Arial"/>
          <w:lang w:eastAsia="en-AU"/>
        </w:rPr>
        <w:t>In order to assist with managing</w:t>
      </w:r>
      <w:r>
        <w:rPr>
          <w:rFonts w:ascii="Calibri" w:hAnsi="Calibri" w:cs="Arial"/>
          <w:lang w:eastAsia="en-AU"/>
        </w:rPr>
        <w:t xml:space="preserve"> community expectations relating to demand for television and computer recycling, local governments were provided </w:t>
      </w:r>
      <w:r w:rsidRPr="00360E56">
        <w:rPr>
          <w:rFonts w:ascii="Calibri" w:hAnsi="Calibri" w:cs="Arial"/>
          <w:lang w:eastAsia="en-AU"/>
        </w:rPr>
        <w:t xml:space="preserve">tailored communications and educational material on the </w:t>
      </w:r>
      <w:r>
        <w:rPr>
          <w:rFonts w:ascii="Calibri" w:hAnsi="Calibri" w:cs="Arial"/>
          <w:lang w:eastAsia="en-AU"/>
        </w:rPr>
        <w:t>s</w:t>
      </w:r>
      <w:r w:rsidRPr="00360E56">
        <w:rPr>
          <w:rFonts w:ascii="Calibri" w:hAnsi="Calibri" w:cs="Arial"/>
          <w:lang w:eastAsia="en-AU"/>
        </w:rPr>
        <w:t xml:space="preserve">cheme. The </w:t>
      </w:r>
      <w:r>
        <w:rPr>
          <w:rFonts w:ascii="Calibri" w:hAnsi="Calibri" w:cs="Arial"/>
          <w:lang w:eastAsia="en-AU"/>
        </w:rPr>
        <w:t xml:space="preserve">Australian Government </w:t>
      </w:r>
      <w:r w:rsidRPr="00360E56">
        <w:rPr>
          <w:rFonts w:ascii="Calibri" w:hAnsi="Calibri" w:cs="Arial"/>
          <w:lang w:eastAsia="en-AU"/>
        </w:rPr>
        <w:t>also wrote to</w:t>
      </w:r>
      <w:r>
        <w:rPr>
          <w:rFonts w:ascii="Calibri" w:hAnsi="Calibri" w:cs="Arial"/>
          <w:lang w:eastAsia="en-AU"/>
        </w:rPr>
        <w:t xml:space="preserve"> the</w:t>
      </w:r>
      <w:r w:rsidRPr="00360E56">
        <w:rPr>
          <w:rFonts w:ascii="Calibri" w:hAnsi="Calibri" w:cs="Arial"/>
          <w:lang w:eastAsia="en-AU"/>
        </w:rPr>
        <w:t xml:space="preserve"> mayors </w:t>
      </w:r>
      <w:r>
        <w:rPr>
          <w:rFonts w:ascii="Calibri" w:hAnsi="Calibri" w:cs="Arial"/>
          <w:lang w:eastAsia="en-AU"/>
        </w:rPr>
        <w:t xml:space="preserve">of </w:t>
      </w:r>
      <w:r w:rsidRPr="00360E56">
        <w:rPr>
          <w:rFonts w:ascii="Calibri" w:hAnsi="Calibri" w:cs="Arial"/>
          <w:lang w:eastAsia="en-AU"/>
        </w:rPr>
        <w:t>all council</w:t>
      </w:r>
      <w:r>
        <w:rPr>
          <w:rFonts w:ascii="Calibri" w:hAnsi="Calibri" w:cs="Arial"/>
          <w:lang w:eastAsia="en-AU"/>
        </w:rPr>
        <w:t>s</w:t>
      </w:r>
      <w:r w:rsidRPr="00360E56">
        <w:rPr>
          <w:rFonts w:ascii="Calibri" w:hAnsi="Calibri" w:cs="Arial"/>
          <w:lang w:eastAsia="en-AU"/>
        </w:rPr>
        <w:t xml:space="preserve"> to provide information on the expected rollout timeframes</w:t>
      </w:r>
      <w:r>
        <w:rPr>
          <w:rFonts w:ascii="Calibri" w:hAnsi="Calibri" w:cs="Arial"/>
          <w:lang w:eastAsia="en-AU"/>
        </w:rPr>
        <w:t>, and to reiterate the importance of local governments continuing to recycle televisions and computers falling outside the scheme’s targets in its early years of operation.</w:t>
      </w:r>
    </w:p>
    <w:p w:rsidR="00867A5B" w:rsidRDefault="001B7976" w:rsidP="00867A5B">
      <w:pPr>
        <w:rPr>
          <w:rFonts w:ascii="Calibri" w:hAnsi="Calibri" w:cs="Arial"/>
          <w:lang w:eastAsia="en-AU"/>
        </w:rPr>
      </w:pPr>
      <w:r>
        <w:rPr>
          <w:rFonts w:ascii="Calibri" w:hAnsi="Calibri" w:cs="Arial"/>
          <w:lang w:eastAsia="en-AU"/>
        </w:rPr>
        <w:t xml:space="preserve">This work was informed by a number of studies, which are available on the Department’s website at </w:t>
      </w:r>
      <w:r w:rsidRPr="004D77A6">
        <w:rPr>
          <w:rFonts w:ascii="Calibri" w:hAnsi="Calibri" w:cs="Arial"/>
          <w:lang w:eastAsia="en-AU"/>
        </w:rPr>
        <w:t>http://www.environment.gov.au/resource/national-waste-policy-publications-and-resources#research-ps</w:t>
      </w:r>
      <w:r>
        <w:rPr>
          <w:rFonts w:ascii="Calibri" w:hAnsi="Calibri" w:cs="Arial"/>
          <w:lang w:eastAsia="en-AU"/>
        </w:rPr>
        <w:t xml:space="preserve"> . Figure 1, below, was developed from data in a July 2011 report by Meta Economics Consulting Group and was included in communications material during the implementation of the scheme. It illustrates the incremental increase in industry-funded recycling under the scheme, represented by the blue bars, while the amount of e-waste to be managed outside the scheme will remain high in the early years before decreasing incrementally. </w:t>
      </w:r>
    </w:p>
    <w:p w:rsidR="007E0D3B" w:rsidRDefault="001B7976" w:rsidP="007E0D3B">
      <w:pPr>
        <w:pStyle w:val="Caption"/>
        <w:rPr>
          <w:lang w:eastAsia="en-AU"/>
        </w:rPr>
      </w:pPr>
      <w:r>
        <w:rPr>
          <w:lang w:eastAsia="en-AU"/>
        </w:rPr>
        <w:t>Figure 1: Projection of waste arising from 2011–12 to 2023–24, showing the proportions covered and not covered by the scheme’s annual recycling targets</w:t>
      </w:r>
    </w:p>
    <w:p w:rsidR="007E0D3B" w:rsidRPr="00E62469" w:rsidRDefault="001B7976" w:rsidP="00867A5B">
      <w:r w:rsidRPr="007E0D3B">
        <w:rPr>
          <w:noProof/>
          <w:lang w:eastAsia="en-AU"/>
        </w:rPr>
        <w:drawing>
          <wp:inline distT="0" distB="0" distL="0" distR="0">
            <wp:extent cx="4924425" cy="3352800"/>
            <wp:effectExtent l="19050" t="0" r="9525"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A508D" w:rsidRPr="001F549E" w:rsidRDefault="001B7976" w:rsidP="00CC2403">
      <w:pPr>
        <w:pStyle w:val="Heading2"/>
      </w:pPr>
      <w:bookmarkStart w:id="20" w:name="_Toc256000045"/>
      <w:bookmarkStart w:id="21" w:name="_Toc256000032"/>
      <w:bookmarkStart w:id="22" w:name="_Toc256000019"/>
      <w:bookmarkStart w:id="23" w:name="_Toc256000006"/>
      <w:bookmarkStart w:id="24" w:name="_Toc380491874"/>
      <w:r w:rsidRPr="001F549E">
        <w:lastRenderedPageBreak/>
        <w:t xml:space="preserve">Implementing the </w:t>
      </w:r>
      <w:r>
        <w:t>s</w:t>
      </w:r>
      <w:r w:rsidRPr="001F549E">
        <w:t>cheme</w:t>
      </w:r>
      <w:bookmarkEnd w:id="20"/>
      <w:bookmarkEnd w:id="21"/>
      <w:bookmarkEnd w:id="22"/>
      <w:bookmarkEnd w:id="23"/>
      <w:bookmarkEnd w:id="24"/>
    </w:p>
    <w:p w:rsidR="006B137D" w:rsidRDefault="001B7976" w:rsidP="006B137D">
      <w:pPr>
        <w:pStyle w:val="NormalWeb"/>
        <w:spacing w:line="276" w:lineRule="auto"/>
        <w:rPr>
          <w:rFonts w:ascii="Calibri" w:eastAsia="Calibri" w:hAnsi="Calibri"/>
          <w:sz w:val="22"/>
          <w:szCs w:val="22"/>
          <w:lang w:eastAsia="en-US"/>
        </w:rPr>
      </w:pPr>
      <w:r w:rsidRPr="006B137D">
        <w:rPr>
          <w:rFonts w:ascii="Calibri" w:eastAsia="Calibri" w:hAnsi="Calibri"/>
          <w:sz w:val="22"/>
          <w:szCs w:val="22"/>
          <w:lang w:eastAsia="en-US"/>
        </w:rPr>
        <w:t xml:space="preserve">The </w:t>
      </w:r>
      <w:r w:rsidRPr="006B137D">
        <w:rPr>
          <w:rFonts w:ascii="Calibri" w:eastAsia="Calibri" w:hAnsi="Calibri"/>
          <w:i/>
          <w:sz w:val="22"/>
          <w:szCs w:val="22"/>
          <w:lang w:eastAsia="en-US"/>
        </w:rPr>
        <w:t>Product Stewardship Act 2011</w:t>
      </w:r>
      <w:r w:rsidRPr="006B137D">
        <w:rPr>
          <w:rFonts w:ascii="Calibri" w:eastAsia="Calibri" w:hAnsi="Calibri"/>
          <w:sz w:val="22"/>
          <w:szCs w:val="22"/>
          <w:lang w:eastAsia="en-US"/>
        </w:rPr>
        <w:t xml:space="preserve"> commenced </w:t>
      </w:r>
      <w:r>
        <w:rPr>
          <w:rFonts w:ascii="Calibri" w:eastAsia="Calibri" w:hAnsi="Calibri"/>
          <w:sz w:val="22"/>
          <w:szCs w:val="22"/>
          <w:lang w:eastAsia="en-US"/>
        </w:rPr>
        <w:t>in</w:t>
      </w:r>
      <w:r w:rsidRPr="006B137D">
        <w:rPr>
          <w:rFonts w:ascii="Calibri" w:eastAsia="Calibri" w:hAnsi="Calibri"/>
          <w:sz w:val="22"/>
          <w:szCs w:val="22"/>
          <w:lang w:eastAsia="en-US"/>
        </w:rPr>
        <w:t xml:space="preserve"> August 2011</w:t>
      </w:r>
      <w:r>
        <w:rPr>
          <w:rFonts w:ascii="Calibri" w:eastAsia="Calibri" w:hAnsi="Calibri"/>
          <w:sz w:val="22"/>
          <w:szCs w:val="22"/>
          <w:lang w:eastAsia="en-US"/>
        </w:rPr>
        <w:t xml:space="preserve"> and provides </w:t>
      </w:r>
      <w:r w:rsidRPr="006B137D">
        <w:rPr>
          <w:rFonts w:ascii="Calibri" w:eastAsia="Calibri" w:hAnsi="Calibri"/>
          <w:sz w:val="22"/>
          <w:szCs w:val="22"/>
          <w:lang w:eastAsia="en-US"/>
        </w:rPr>
        <w:t>a</w:t>
      </w:r>
      <w:r>
        <w:rPr>
          <w:rFonts w:ascii="Calibri" w:eastAsia="Calibri" w:hAnsi="Calibri"/>
          <w:sz w:val="22"/>
          <w:szCs w:val="22"/>
          <w:lang w:eastAsia="en-US"/>
        </w:rPr>
        <w:t xml:space="preserve"> legislative framework for national product stewardship schemes</w:t>
      </w:r>
      <w:r w:rsidRPr="006B137D">
        <w:rPr>
          <w:rFonts w:ascii="Calibri" w:eastAsia="Calibri" w:hAnsi="Calibri"/>
          <w:sz w:val="22"/>
          <w:szCs w:val="22"/>
          <w:lang w:eastAsia="en-US"/>
        </w:rPr>
        <w:t>. The pas</w:t>
      </w:r>
      <w:r>
        <w:rPr>
          <w:rFonts w:ascii="Calibri" w:eastAsia="Calibri" w:hAnsi="Calibri"/>
          <w:sz w:val="22"/>
          <w:szCs w:val="22"/>
          <w:lang w:eastAsia="en-US"/>
        </w:rPr>
        <w:t>sage of the legislation delivered</w:t>
      </w:r>
      <w:r w:rsidRPr="006B137D">
        <w:rPr>
          <w:rFonts w:ascii="Calibri" w:eastAsia="Calibri" w:hAnsi="Calibri"/>
          <w:sz w:val="22"/>
          <w:szCs w:val="22"/>
          <w:lang w:eastAsia="en-US"/>
        </w:rPr>
        <w:t xml:space="preserve"> on a key commitment by the Australian Government under the National Waste Policy which was endorsed by </w:t>
      </w:r>
      <w:r>
        <w:rPr>
          <w:rFonts w:ascii="Calibri" w:eastAsia="Calibri" w:hAnsi="Calibri"/>
          <w:sz w:val="22"/>
          <w:szCs w:val="22"/>
          <w:lang w:eastAsia="en-US"/>
        </w:rPr>
        <w:t xml:space="preserve">COAG </w:t>
      </w:r>
      <w:r w:rsidRPr="006B137D">
        <w:rPr>
          <w:rFonts w:ascii="Calibri" w:eastAsia="Calibri" w:hAnsi="Calibri"/>
          <w:sz w:val="22"/>
          <w:szCs w:val="22"/>
          <w:lang w:eastAsia="en-US"/>
        </w:rPr>
        <w:t xml:space="preserve">in August 2010. </w:t>
      </w:r>
    </w:p>
    <w:p w:rsidR="00EF6598" w:rsidRDefault="001B7976" w:rsidP="007518BF">
      <w:pPr>
        <w:rPr>
          <w:rFonts w:ascii="Calibri" w:hAnsi="Calibri" w:cs="Arial"/>
          <w:lang w:eastAsia="en-AU"/>
        </w:rPr>
      </w:pPr>
      <w:r w:rsidRPr="007518BF">
        <w:rPr>
          <w:rFonts w:ascii="Calibri" w:hAnsi="Calibri" w:cs="Arial"/>
          <w:lang w:eastAsia="en-AU"/>
        </w:rPr>
        <w:t xml:space="preserve">The </w:t>
      </w:r>
      <w:r w:rsidRPr="007518BF">
        <w:rPr>
          <w:rFonts w:ascii="Calibri" w:hAnsi="Calibri" w:cs="Arial"/>
          <w:i/>
          <w:lang w:eastAsia="en-AU"/>
        </w:rPr>
        <w:t>Product Stewardship (Televisions and Computers)</w:t>
      </w:r>
      <w:r w:rsidRPr="007518BF">
        <w:rPr>
          <w:rFonts w:ascii="Calibri" w:hAnsi="Calibri" w:cs="Arial"/>
          <w:lang w:eastAsia="en-AU"/>
        </w:rPr>
        <w:t xml:space="preserve"> </w:t>
      </w:r>
      <w:r w:rsidRPr="007518BF">
        <w:rPr>
          <w:rFonts w:ascii="Calibri" w:hAnsi="Calibri" w:cs="Arial"/>
          <w:i/>
          <w:lang w:eastAsia="en-AU"/>
        </w:rPr>
        <w:t>Regulations</w:t>
      </w:r>
      <w:r w:rsidRPr="007518BF">
        <w:rPr>
          <w:rFonts w:ascii="Calibri" w:hAnsi="Calibri" w:cs="Arial"/>
          <w:lang w:eastAsia="en-AU"/>
        </w:rPr>
        <w:t xml:space="preserve"> were </w:t>
      </w:r>
      <w:r>
        <w:rPr>
          <w:rFonts w:ascii="Calibri" w:hAnsi="Calibri" w:cs="Arial"/>
          <w:lang w:eastAsia="en-AU"/>
        </w:rPr>
        <w:t>made</w:t>
      </w:r>
      <w:r w:rsidRPr="007518BF">
        <w:rPr>
          <w:rFonts w:ascii="Calibri" w:hAnsi="Calibri" w:cs="Arial"/>
          <w:lang w:eastAsia="en-AU"/>
        </w:rPr>
        <w:t xml:space="preserve"> in November 2011, establishing the </w:t>
      </w:r>
      <w:r>
        <w:rPr>
          <w:rFonts w:ascii="Calibri" w:hAnsi="Calibri" w:cs="Arial"/>
          <w:lang w:eastAsia="en-AU"/>
        </w:rPr>
        <w:t>National Television and Computer Recycling Scheme</w:t>
      </w:r>
      <w:r w:rsidRPr="007518BF">
        <w:rPr>
          <w:rFonts w:ascii="Calibri" w:hAnsi="Calibri" w:cs="Arial"/>
          <w:lang w:eastAsia="en-AU"/>
        </w:rPr>
        <w:t xml:space="preserve">. The regulations require all importers and manufacturers of above threshold volumes of televisions and computers to join and fund </w:t>
      </w:r>
      <w:r>
        <w:rPr>
          <w:rFonts w:ascii="Calibri" w:hAnsi="Calibri" w:cs="Arial"/>
          <w:lang w:eastAsia="en-AU"/>
        </w:rPr>
        <w:t xml:space="preserve">an </w:t>
      </w:r>
      <w:r w:rsidRPr="007518BF">
        <w:rPr>
          <w:rFonts w:ascii="Calibri" w:hAnsi="Calibri" w:cs="Arial"/>
          <w:lang w:eastAsia="en-AU"/>
        </w:rPr>
        <w:t>app</w:t>
      </w:r>
      <w:r>
        <w:rPr>
          <w:rFonts w:ascii="Calibri" w:hAnsi="Calibri" w:cs="Arial"/>
          <w:lang w:eastAsia="en-AU"/>
        </w:rPr>
        <w:t xml:space="preserve">roved co-regulatory arrangement. </w:t>
      </w:r>
      <w:r w:rsidRPr="004242A7">
        <w:rPr>
          <w:rFonts w:ascii="Calibri" w:hAnsi="Calibri" w:cs="Calibri"/>
        </w:rPr>
        <w:t>Co-regulatory arrangements</w:t>
      </w:r>
      <w:r>
        <w:rPr>
          <w:rFonts w:ascii="Calibri" w:hAnsi="Calibri" w:cs="Calibri"/>
        </w:rPr>
        <w:t xml:space="preserve"> are</w:t>
      </w:r>
      <w:r w:rsidRPr="004242A7">
        <w:rPr>
          <w:rFonts w:ascii="Calibri" w:hAnsi="Calibri" w:cs="Calibri"/>
        </w:rPr>
        <w:t xml:space="preserve"> responsible for meeting </w:t>
      </w:r>
      <w:r>
        <w:rPr>
          <w:rFonts w:ascii="Calibri" w:hAnsi="Calibri" w:cs="Calibri"/>
        </w:rPr>
        <w:t>the s</w:t>
      </w:r>
      <w:r w:rsidRPr="004242A7">
        <w:rPr>
          <w:rFonts w:ascii="Calibri" w:hAnsi="Calibri" w:cs="Calibri"/>
        </w:rPr>
        <w:t>cheme</w:t>
      </w:r>
      <w:r>
        <w:rPr>
          <w:rFonts w:ascii="Calibri" w:hAnsi="Calibri" w:cs="Calibri"/>
        </w:rPr>
        <w:t>’s</w:t>
      </w:r>
      <w:r w:rsidRPr="004242A7">
        <w:rPr>
          <w:rFonts w:ascii="Calibri" w:hAnsi="Calibri" w:cs="Calibri"/>
        </w:rPr>
        <w:t xml:space="preserve"> outcomes</w:t>
      </w:r>
      <w:r>
        <w:rPr>
          <w:rFonts w:ascii="Calibri" w:hAnsi="Calibri" w:cs="Calibri"/>
        </w:rPr>
        <w:t xml:space="preserve"> </w:t>
      </w:r>
      <w:r w:rsidRPr="004242A7">
        <w:rPr>
          <w:rFonts w:ascii="Calibri" w:hAnsi="Calibri" w:cs="Calibri"/>
        </w:rPr>
        <w:t xml:space="preserve">on behalf of </w:t>
      </w:r>
      <w:r>
        <w:rPr>
          <w:rFonts w:ascii="Calibri" w:hAnsi="Calibri" w:cs="Calibri"/>
        </w:rPr>
        <w:t>their</w:t>
      </w:r>
      <w:r w:rsidRPr="004242A7">
        <w:rPr>
          <w:rFonts w:ascii="Calibri" w:hAnsi="Calibri" w:cs="Calibri"/>
        </w:rPr>
        <w:t xml:space="preserve"> members.</w:t>
      </w:r>
      <w:r>
        <w:rPr>
          <w:rFonts w:cs="Arial"/>
        </w:rPr>
        <w:t xml:space="preserve"> </w:t>
      </w:r>
    </w:p>
    <w:p w:rsidR="00DC5634" w:rsidRDefault="001B7976" w:rsidP="00EF6598">
      <w:pPr>
        <w:rPr>
          <w:rFonts w:ascii="Calibri" w:hAnsi="Calibri" w:cs="Arial"/>
          <w:lang w:eastAsia="en-AU"/>
        </w:rPr>
      </w:pPr>
      <w:r>
        <w:rPr>
          <w:rFonts w:ascii="Calibri" w:hAnsi="Calibri" w:cs="Arial"/>
          <w:lang w:eastAsia="en-AU"/>
        </w:rPr>
        <w:t>The Regulations require industry to fund collection and recycling services to meet progressively increasing annual recycling targets,</w:t>
      </w:r>
      <w:r w:rsidRPr="00D95455">
        <w:rPr>
          <w:rFonts w:ascii="Calibri" w:hAnsi="Calibri" w:cs="Calibri"/>
        </w:rPr>
        <w:t xml:space="preserve"> </w:t>
      </w:r>
      <w:r>
        <w:rPr>
          <w:rFonts w:ascii="Calibri" w:hAnsi="Calibri" w:cs="Calibri"/>
        </w:rPr>
        <w:t>set as a proportion of the estimated total television and computer waste arising in Australia</w:t>
      </w:r>
      <w:r>
        <w:rPr>
          <w:rFonts w:ascii="Calibri" w:hAnsi="Calibri" w:cs="Arial"/>
          <w:lang w:eastAsia="en-AU"/>
        </w:rPr>
        <w:t xml:space="preserve">. These targets start at 30 per cent in 2012–13 and increase to 80 per cent by </w:t>
      </w:r>
      <w:r w:rsidRPr="00E94AC6">
        <w:rPr>
          <w:rFonts w:ascii="Calibri" w:hAnsi="Calibri" w:cs="Arial"/>
          <w:lang w:eastAsia="en-AU"/>
        </w:rPr>
        <w:t>2021–22</w:t>
      </w:r>
      <w:r>
        <w:rPr>
          <w:rFonts w:ascii="Calibri" w:hAnsi="Calibri" w:cs="Arial"/>
          <w:lang w:eastAsia="en-AU"/>
        </w:rPr>
        <w:t xml:space="preserve">. </w:t>
      </w:r>
    </w:p>
    <w:p w:rsidR="00654D09" w:rsidRDefault="001B7976" w:rsidP="001F549E">
      <w:pPr>
        <w:rPr>
          <w:rFonts w:ascii="Calibri" w:hAnsi="Calibri" w:cs="Calibri"/>
        </w:rPr>
      </w:pPr>
      <w:r>
        <w:rPr>
          <w:rFonts w:ascii="Calibri" w:hAnsi="Calibri" w:cs="Calibri"/>
        </w:rPr>
        <w:t>Each approved co-regulatory arrangement is required to achieve a portion of the total scheme recycling target, based on the import or manufacture share of its members. Each co-regulatory arrangement is also required to provide access to recycling services for communities across metropolitan, regional and rural Australia, in line with metrics described in the Regulations. Arrangements must meet these metrics by December 2013 or within 12 months of being approved, whichever is later.</w:t>
      </w:r>
    </w:p>
    <w:p w:rsidR="009A5B8C" w:rsidRDefault="001B7976" w:rsidP="009A5B8C">
      <w:pPr>
        <w:rPr>
          <w:rFonts w:ascii="Calibri" w:hAnsi="Calibri" w:cs="Arial"/>
          <w:lang w:eastAsia="en-AU"/>
        </w:rPr>
      </w:pPr>
      <w:r w:rsidRPr="00E94AC6">
        <w:rPr>
          <w:rFonts w:ascii="Calibri" w:hAnsi="Calibri" w:cs="Arial"/>
          <w:lang w:eastAsia="en-AU"/>
        </w:rPr>
        <w:t xml:space="preserve">Organisations applying to establish co-regulatory arrangements are assessed by the Department, and are required to demonstrate capacity to achieve collection and recycling outcomes, address environmental, health and safety matters, and administer governance arrangements for liable importers and manufacturers. </w:t>
      </w:r>
    </w:p>
    <w:p w:rsidR="009A5B8C" w:rsidRDefault="001B7976" w:rsidP="009A5B8C">
      <w:pPr>
        <w:rPr>
          <w:rFonts w:ascii="Calibri" w:hAnsi="Calibri" w:cs="Arial"/>
          <w:lang w:eastAsia="en-AU"/>
        </w:rPr>
      </w:pPr>
      <w:r w:rsidRPr="00E94AC6">
        <w:rPr>
          <w:rFonts w:ascii="Calibri" w:hAnsi="Calibri" w:cs="Arial"/>
          <w:lang w:eastAsia="en-AU"/>
        </w:rPr>
        <w:t>Three</w:t>
      </w:r>
      <w:r>
        <w:rPr>
          <w:rFonts w:ascii="Calibri" w:hAnsi="Calibri" w:cs="Arial"/>
          <w:lang w:eastAsia="en-AU"/>
        </w:rPr>
        <w:t xml:space="preserve"> co-regulatory arrangements were operating in 2012–13, having been approved in </w:t>
      </w:r>
      <w:r w:rsidRPr="00E94AC6">
        <w:rPr>
          <w:rFonts w:ascii="Calibri" w:hAnsi="Calibri" w:cs="Arial"/>
          <w:lang w:eastAsia="en-AU"/>
        </w:rPr>
        <w:t>early 2012</w:t>
      </w:r>
      <w:r>
        <w:rPr>
          <w:rFonts w:ascii="Calibri" w:hAnsi="Calibri" w:cs="Arial"/>
          <w:lang w:eastAsia="en-AU"/>
        </w:rPr>
        <w:t>.</w:t>
      </w:r>
      <w:r w:rsidRPr="00E94AC6">
        <w:rPr>
          <w:rFonts w:ascii="Calibri" w:hAnsi="Calibri" w:cs="Arial"/>
          <w:lang w:eastAsia="en-AU"/>
        </w:rPr>
        <w:t xml:space="preserve"> </w:t>
      </w:r>
      <w:r>
        <w:rPr>
          <w:rFonts w:ascii="Calibri" w:hAnsi="Calibri" w:cs="Arial"/>
          <w:lang w:eastAsia="en-AU"/>
        </w:rPr>
        <w:t>The administrators of the three approved co-regulatory arrangements in 2012–13 were, in order of the dates of their approvals:</w:t>
      </w:r>
    </w:p>
    <w:p w:rsidR="009A5B8C" w:rsidRDefault="001B7976" w:rsidP="009A5B8C">
      <w:pPr>
        <w:ind w:left="720"/>
        <w:rPr>
          <w:rFonts w:ascii="Calibri" w:hAnsi="Calibri" w:cs="Arial"/>
          <w:lang w:eastAsia="en-AU"/>
        </w:rPr>
      </w:pPr>
      <w:r>
        <w:rPr>
          <w:rFonts w:ascii="Calibri" w:hAnsi="Calibri" w:cs="Arial"/>
          <w:lang w:eastAsia="en-AU"/>
        </w:rPr>
        <w:t>DHL Supply Chain (Australia) Pty Limited</w:t>
      </w:r>
    </w:p>
    <w:p w:rsidR="009A5B8C" w:rsidRDefault="001B7976" w:rsidP="009A5B8C">
      <w:pPr>
        <w:ind w:left="720"/>
        <w:rPr>
          <w:rFonts w:ascii="Calibri" w:hAnsi="Calibri" w:cs="Arial"/>
          <w:bCs/>
          <w:lang w:eastAsia="en-AU"/>
        </w:rPr>
      </w:pPr>
      <w:r w:rsidRPr="00DA6C4D">
        <w:rPr>
          <w:rFonts w:ascii="Calibri" w:hAnsi="Calibri" w:cs="Arial"/>
          <w:bCs/>
          <w:lang w:eastAsia="en-AU"/>
        </w:rPr>
        <w:t>Australian &amp; New Zealand</w:t>
      </w:r>
      <w:r w:rsidRPr="00DA6C4D">
        <w:rPr>
          <w:rFonts w:ascii="Calibri" w:hAnsi="Calibri" w:cs="Arial"/>
          <w:lang w:eastAsia="en-AU"/>
        </w:rPr>
        <w:t xml:space="preserve"> </w:t>
      </w:r>
      <w:r w:rsidRPr="00DA6C4D">
        <w:rPr>
          <w:rFonts w:ascii="Calibri" w:hAnsi="Calibri" w:cs="Arial"/>
          <w:bCs/>
          <w:lang w:eastAsia="en-AU"/>
        </w:rPr>
        <w:t>Recycling Platform Limited</w:t>
      </w:r>
      <w:r>
        <w:rPr>
          <w:rFonts w:ascii="Calibri" w:hAnsi="Calibri" w:cs="Arial"/>
          <w:bCs/>
          <w:lang w:eastAsia="en-AU"/>
        </w:rPr>
        <w:t xml:space="preserve"> (ANZRP)</w:t>
      </w:r>
    </w:p>
    <w:p w:rsidR="009A5B8C" w:rsidRPr="00DA6C4D" w:rsidRDefault="001B7976" w:rsidP="009A5B8C">
      <w:pPr>
        <w:ind w:left="720"/>
        <w:rPr>
          <w:rFonts w:ascii="Calibri" w:hAnsi="Calibri" w:cs="Arial"/>
          <w:bCs/>
          <w:lang w:eastAsia="en-AU"/>
        </w:rPr>
      </w:pPr>
      <w:r w:rsidRPr="00DA6C4D">
        <w:rPr>
          <w:rFonts w:ascii="Calibri" w:hAnsi="Calibri" w:cs="Arial"/>
          <w:lang w:eastAsia="en-AU"/>
        </w:rPr>
        <w:t>E-Cycle Solutions Pty Ltd</w:t>
      </w:r>
      <w:r>
        <w:rPr>
          <w:rFonts w:ascii="Calibri" w:hAnsi="Calibri" w:cs="Arial"/>
          <w:lang w:eastAsia="en-AU"/>
        </w:rPr>
        <w:t xml:space="preserve"> </w:t>
      </w:r>
    </w:p>
    <w:p w:rsidR="009A5B8C" w:rsidRPr="00A05DEA" w:rsidRDefault="001B7976" w:rsidP="009A5B8C">
      <w:pPr>
        <w:rPr>
          <w:rFonts w:ascii="Calibri" w:hAnsi="Calibri" w:cs="Arial"/>
          <w:lang w:eastAsia="en-AU"/>
        </w:rPr>
      </w:pPr>
      <w:r w:rsidRPr="00A05DEA">
        <w:rPr>
          <w:rFonts w:ascii="Calibri" w:hAnsi="Calibri" w:cs="Arial"/>
          <w:lang w:eastAsia="en-AU"/>
        </w:rPr>
        <w:t>A further two co-regulatory arrangements were approved in early 2013 to commence operation in 2013–14, administered by, in order of the dates of their approvals:</w:t>
      </w:r>
    </w:p>
    <w:p w:rsidR="009A5B8C" w:rsidRPr="00A05DEA" w:rsidRDefault="001B7976" w:rsidP="009A5B8C">
      <w:pPr>
        <w:ind w:left="720"/>
        <w:rPr>
          <w:rFonts w:ascii="Calibri" w:hAnsi="Calibri" w:cs="Arial"/>
          <w:lang w:eastAsia="en-AU"/>
        </w:rPr>
      </w:pPr>
      <w:r w:rsidRPr="00A05DEA">
        <w:rPr>
          <w:rFonts w:ascii="Calibri" w:hAnsi="Calibri" w:cs="Arial"/>
          <w:lang w:eastAsia="en-AU"/>
        </w:rPr>
        <w:t>Electronics Product Stewardship Australasia</w:t>
      </w:r>
    </w:p>
    <w:p w:rsidR="009A5B8C" w:rsidRDefault="001B7976" w:rsidP="009A5B8C">
      <w:pPr>
        <w:ind w:left="720"/>
        <w:rPr>
          <w:rFonts w:ascii="Calibri" w:hAnsi="Calibri" w:cs="Arial"/>
          <w:lang w:eastAsia="en-AU"/>
        </w:rPr>
      </w:pPr>
      <w:r w:rsidRPr="00A05DEA">
        <w:rPr>
          <w:rFonts w:ascii="Calibri" w:hAnsi="Calibri" w:cs="Arial"/>
          <w:lang w:eastAsia="en-AU"/>
        </w:rPr>
        <w:t>Reverse E-Waste</w:t>
      </w:r>
    </w:p>
    <w:p w:rsidR="002924B3" w:rsidRDefault="001B7976" w:rsidP="002924B3">
      <w:pPr>
        <w:rPr>
          <w:rFonts w:ascii="Calibri" w:hAnsi="Calibri" w:cs="Arial"/>
          <w:lang w:eastAsia="en-AU"/>
        </w:rPr>
      </w:pPr>
      <w:r>
        <w:rPr>
          <w:rFonts w:ascii="Calibri" w:hAnsi="Calibri" w:cs="Arial"/>
          <w:lang w:eastAsia="en-AU"/>
        </w:rPr>
        <w:t xml:space="preserve">To provide consistent environmental guidance for the e-waste recycling industry, the Australian Government </w:t>
      </w:r>
      <w:r w:rsidRPr="007518BF">
        <w:rPr>
          <w:rFonts w:ascii="Calibri" w:hAnsi="Calibri" w:cs="Arial"/>
          <w:lang w:eastAsia="en-AU"/>
        </w:rPr>
        <w:t xml:space="preserve">supported Standards Australia to develop </w:t>
      </w:r>
      <w:r>
        <w:rPr>
          <w:rFonts w:ascii="Calibri" w:hAnsi="Calibri" w:cs="Arial"/>
          <w:lang w:eastAsia="en-AU"/>
        </w:rPr>
        <w:t>Australian Standard 5377:2013 ‘Collection, storage, transport and treatment of end-of-life electrical and electronic equipment’.</w:t>
      </w:r>
      <w:r w:rsidRPr="007518BF">
        <w:rPr>
          <w:rFonts w:ascii="Calibri" w:hAnsi="Calibri" w:cs="Arial"/>
          <w:lang w:eastAsia="en-AU"/>
        </w:rPr>
        <w:t xml:space="preserve"> This standard was </w:t>
      </w:r>
      <w:r w:rsidRPr="007518BF">
        <w:rPr>
          <w:rFonts w:ascii="Calibri" w:hAnsi="Calibri" w:cs="Arial"/>
          <w:lang w:eastAsia="en-AU"/>
        </w:rPr>
        <w:lastRenderedPageBreak/>
        <w:t>finalised and published in February 2013</w:t>
      </w:r>
      <w:r>
        <w:rPr>
          <w:rFonts w:ascii="Calibri" w:hAnsi="Calibri" w:cs="Arial"/>
          <w:lang w:eastAsia="en-AU"/>
        </w:rPr>
        <w:t xml:space="preserve"> and will be implemented under the scheme over time, setting a benchmark for sound handling of waste under the scheme</w:t>
      </w:r>
      <w:r w:rsidRPr="007518BF">
        <w:rPr>
          <w:rFonts w:ascii="Calibri" w:hAnsi="Calibri" w:cs="Arial"/>
          <w:lang w:eastAsia="en-AU"/>
        </w:rPr>
        <w:t>.</w:t>
      </w:r>
      <w:r>
        <w:rPr>
          <w:rFonts w:ascii="Calibri" w:hAnsi="Calibri" w:cs="Arial"/>
          <w:lang w:eastAsia="en-AU"/>
        </w:rPr>
        <w:t xml:space="preserve"> </w:t>
      </w:r>
    </w:p>
    <w:p w:rsidR="00867A5B" w:rsidRPr="001F549E" w:rsidRDefault="001B7976" w:rsidP="00CC2403">
      <w:pPr>
        <w:pStyle w:val="Heading2"/>
      </w:pPr>
      <w:bookmarkStart w:id="25" w:name="_Toc256000046"/>
      <w:bookmarkStart w:id="26" w:name="_Toc256000033"/>
      <w:bookmarkStart w:id="27" w:name="_Toc256000020"/>
      <w:bookmarkStart w:id="28" w:name="_Toc256000007"/>
      <w:bookmarkStart w:id="29" w:name="_Toc380491875"/>
      <w:r w:rsidRPr="001F549E">
        <w:t xml:space="preserve">Implementation </w:t>
      </w:r>
      <w:r>
        <w:t>f</w:t>
      </w:r>
      <w:r w:rsidRPr="001F549E">
        <w:t xml:space="preserve">eedback and </w:t>
      </w:r>
      <w:r>
        <w:t>r</w:t>
      </w:r>
      <w:r w:rsidRPr="001F549E">
        <w:t>egulat</w:t>
      </w:r>
      <w:r>
        <w:t>ion</w:t>
      </w:r>
      <w:r w:rsidRPr="001F549E">
        <w:t xml:space="preserve"> </w:t>
      </w:r>
      <w:r>
        <w:t>a</w:t>
      </w:r>
      <w:r w:rsidRPr="001F549E">
        <w:t>mendment</w:t>
      </w:r>
      <w:r>
        <w:t>s</w:t>
      </w:r>
      <w:bookmarkEnd w:id="25"/>
      <w:bookmarkEnd w:id="26"/>
      <w:bookmarkEnd w:id="27"/>
      <w:bookmarkEnd w:id="28"/>
      <w:bookmarkEnd w:id="29"/>
      <w:r w:rsidRPr="001F549E">
        <w:t xml:space="preserve"> </w:t>
      </w:r>
    </w:p>
    <w:p w:rsidR="00EA5BF5" w:rsidRDefault="001B7976" w:rsidP="00360E56">
      <w:pPr>
        <w:rPr>
          <w:rFonts w:ascii="Calibri" w:hAnsi="Calibri" w:cs="Arial"/>
          <w:lang w:eastAsia="en-AU"/>
        </w:rPr>
      </w:pPr>
      <w:r>
        <w:rPr>
          <w:rFonts w:ascii="Calibri" w:hAnsi="Calibri" w:cs="Arial"/>
          <w:lang w:eastAsia="en-AU"/>
        </w:rPr>
        <w:t>T</w:t>
      </w:r>
      <w:r w:rsidRPr="007518BF">
        <w:rPr>
          <w:rFonts w:ascii="Calibri" w:hAnsi="Calibri" w:cs="Arial"/>
          <w:lang w:eastAsia="en-AU"/>
        </w:rPr>
        <w:t xml:space="preserve">he Australian Government has actively monitored and sought feedback on </w:t>
      </w:r>
      <w:r>
        <w:rPr>
          <w:rFonts w:ascii="Calibri" w:hAnsi="Calibri" w:cs="Arial"/>
          <w:lang w:eastAsia="en-AU"/>
        </w:rPr>
        <w:t xml:space="preserve">the implementation of the </w:t>
      </w:r>
      <w:r w:rsidRPr="007518BF">
        <w:rPr>
          <w:rFonts w:ascii="Calibri" w:hAnsi="Calibri" w:cs="Arial"/>
          <w:lang w:eastAsia="en-AU"/>
        </w:rPr>
        <w:t xml:space="preserve">Scheme. In April 2013 the </w:t>
      </w:r>
      <w:r>
        <w:rPr>
          <w:rFonts w:ascii="Calibri" w:hAnsi="Calibri" w:cs="Arial"/>
          <w:lang w:eastAsia="en-AU"/>
        </w:rPr>
        <w:t xml:space="preserve">Department </w:t>
      </w:r>
      <w:r w:rsidRPr="007518BF">
        <w:rPr>
          <w:rFonts w:ascii="Calibri" w:hAnsi="Calibri" w:cs="Arial"/>
          <w:lang w:eastAsia="en-AU"/>
        </w:rPr>
        <w:t xml:space="preserve">released a discussion paper outlining potential opportunities to improve the </w:t>
      </w:r>
      <w:r>
        <w:rPr>
          <w:rFonts w:ascii="Calibri" w:hAnsi="Calibri" w:cs="Arial"/>
          <w:lang w:eastAsia="en-AU"/>
        </w:rPr>
        <w:t>s</w:t>
      </w:r>
      <w:r w:rsidRPr="007518BF">
        <w:rPr>
          <w:rFonts w:ascii="Calibri" w:hAnsi="Calibri" w:cs="Arial"/>
          <w:lang w:eastAsia="en-AU"/>
        </w:rPr>
        <w:t xml:space="preserve">cheme, based on </w:t>
      </w:r>
      <w:r>
        <w:rPr>
          <w:rFonts w:ascii="Calibri" w:hAnsi="Calibri" w:cs="Arial"/>
          <w:lang w:eastAsia="en-AU"/>
        </w:rPr>
        <w:t xml:space="preserve">experience and </w:t>
      </w:r>
      <w:r w:rsidRPr="007518BF">
        <w:rPr>
          <w:rFonts w:ascii="Calibri" w:hAnsi="Calibri" w:cs="Arial"/>
          <w:lang w:eastAsia="en-AU"/>
        </w:rPr>
        <w:t xml:space="preserve">feedback received throughout the first year of operations. </w:t>
      </w:r>
      <w:r>
        <w:rPr>
          <w:rFonts w:ascii="Calibri" w:hAnsi="Calibri" w:cs="Arial"/>
          <w:lang w:eastAsia="en-AU"/>
        </w:rPr>
        <w:t>Following consultation, a</w:t>
      </w:r>
      <w:r w:rsidRPr="007518BF">
        <w:rPr>
          <w:rFonts w:ascii="Calibri" w:hAnsi="Calibri" w:cs="Arial"/>
          <w:lang w:eastAsia="en-AU"/>
        </w:rPr>
        <w:t xml:space="preserve">mendments </w:t>
      </w:r>
      <w:r>
        <w:rPr>
          <w:rFonts w:ascii="Calibri" w:hAnsi="Calibri" w:cs="Arial"/>
          <w:lang w:eastAsia="en-AU"/>
        </w:rPr>
        <w:t xml:space="preserve">were made to the scheme, </w:t>
      </w:r>
      <w:r w:rsidRPr="007518BF">
        <w:rPr>
          <w:rFonts w:ascii="Calibri" w:hAnsi="Calibri" w:cs="Arial"/>
          <w:lang w:eastAsia="en-AU"/>
        </w:rPr>
        <w:t>includ</w:t>
      </w:r>
      <w:r>
        <w:rPr>
          <w:rFonts w:ascii="Calibri" w:hAnsi="Calibri" w:cs="Arial"/>
          <w:lang w:eastAsia="en-AU"/>
        </w:rPr>
        <w:t>ing:</w:t>
      </w:r>
    </w:p>
    <w:p w:rsidR="00411EF5" w:rsidRDefault="001B7976" w:rsidP="00EA5BF5">
      <w:pPr>
        <w:pStyle w:val="ListBullet"/>
        <w:rPr>
          <w:rFonts w:ascii="Calibri" w:hAnsi="Calibri" w:cs="Arial"/>
          <w:lang w:eastAsia="en-AU"/>
        </w:rPr>
      </w:pPr>
      <w:r w:rsidRPr="00EA5BF5">
        <w:rPr>
          <w:rFonts w:ascii="Calibri" w:hAnsi="Calibri"/>
        </w:rPr>
        <w:t>moving</w:t>
      </w:r>
      <w:r w:rsidRPr="007518BF">
        <w:rPr>
          <w:rFonts w:ascii="Calibri" w:hAnsi="Calibri" w:cs="Arial"/>
          <w:lang w:eastAsia="en-AU"/>
        </w:rPr>
        <w:t xml:space="preserve"> to a single target for all products covered by the </w:t>
      </w:r>
      <w:r>
        <w:rPr>
          <w:rFonts w:ascii="Calibri" w:hAnsi="Calibri" w:cs="Arial"/>
          <w:lang w:eastAsia="en-AU"/>
        </w:rPr>
        <w:t>s</w:t>
      </w:r>
      <w:r w:rsidRPr="007518BF">
        <w:rPr>
          <w:rFonts w:ascii="Calibri" w:hAnsi="Calibri" w:cs="Arial"/>
          <w:lang w:eastAsia="en-AU"/>
        </w:rPr>
        <w:t>cheme, where previously separate targets had been set for televisions and computers</w:t>
      </w:r>
    </w:p>
    <w:p w:rsidR="009F2BB5" w:rsidRDefault="001B7976" w:rsidP="00EA5BF5">
      <w:pPr>
        <w:pStyle w:val="ListBullet"/>
        <w:rPr>
          <w:rFonts w:ascii="Calibri" w:hAnsi="Calibri" w:cs="Arial"/>
          <w:lang w:eastAsia="en-AU"/>
        </w:rPr>
      </w:pPr>
      <w:r>
        <w:rPr>
          <w:rFonts w:ascii="Calibri" w:hAnsi="Calibri" w:cs="Arial"/>
          <w:lang w:eastAsia="en-AU"/>
        </w:rPr>
        <w:t>updating</w:t>
      </w:r>
      <w:r w:rsidRPr="007518BF">
        <w:rPr>
          <w:rFonts w:ascii="Calibri" w:hAnsi="Calibri" w:cs="Arial"/>
          <w:lang w:eastAsia="en-AU"/>
        </w:rPr>
        <w:t xml:space="preserve"> the </w:t>
      </w:r>
      <w:r>
        <w:rPr>
          <w:rFonts w:ascii="Calibri" w:hAnsi="Calibri" w:cs="Arial"/>
          <w:lang w:eastAsia="en-AU"/>
        </w:rPr>
        <w:t>s</w:t>
      </w:r>
      <w:r w:rsidRPr="007518BF">
        <w:rPr>
          <w:rFonts w:ascii="Calibri" w:hAnsi="Calibri" w:cs="Arial"/>
          <w:lang w:eastAsia="en-AU"/>
        </w:rPr>
        <w:t>cheme</w:t>
      </w:r>
      <w:r>
        <w:rPr>
          <w:rFonts w:ascii="Calibri" w:hAnsi="Calibri" w:cs="Arial"/>
          <w:lang w:eastAsia="en-AU"/>
        </w:rPr>
        <w:t>’s</w:t>
      </w:r>
      <w:r w:rsidRPr="007518BF">
        <w:rPr>
          <w:rFonts w:ascii="Calibri" w:hAnsi="Calibri" w:cs="Arial"/>
          <w:lang w:eastAsia="en-AU"/>
        </w:rPr>
        <w:t xml:space="preserve"> product codes to align with changes made to Australia’s Customs Tariff C</w:t>
      </w:r>
      <w:r>
        <w:rPr>
          <w:rFonts w:ascii="Calibri" w:hAnsi="Calibri" w:cs="Arial"/>
          <w:lang w:eastAsia="en-AU"/>
        </w:rPr>
        <w:t>lassification</w:t>
      </w:r>
      <w:r w:rsidRPr="007518BF">
        <w:rPr>
          <w:rFonts w:ascii="Calibri" w:hAnsi="Calibri" w:cs="Arial"/>
          <w:lang w:eastAsia="en-AU"/>
        </w:rPr>
        <w:t>s</w:t>
      </w:r>
    </w:p>
    <w:p w:rsidR="00411EF5" w:rsidRDefault="001B7976" w:rsidP="00EA5BF5">
      <w:pPr>
        <w:pStyle w:val="ListBullet"/>
        <w:rPr>
          <w:rFonts w:ascii="Calibri" w:hAnsi="Calibri" w:cs="Arial"/>
          <w:lang w:eastAsia="en-AU"/>
        </w:rPr>
      </w:pPr>
      <w:r w:rsidRPr="007518BF">
        <w:rPr>
          <w:rFonts w:ascii="Calibri" w:hAnsi="Calibri" w:cs="Arial"/>
          <w:lang w:eastAsia="en-AU"/>
        </w:rPr>
        <w:t xml:space="preserve">changes to </w:t>
      </w:r>
      <w:r>
        <w:rPr>
          <w:rFonts w:ascii="Calibri" w:hAnsi="Calibri" w:cs="Arial"/>
          <w:lang w:eastAsia="en-AU"/>
        </w:rPr>
        <w:t>enable</w:t>
      </w:r>
      <w:r w:rsidRPr="007518BF">
        <w:rPr>
          <w:rFonts w:ascii="Calibri" w:hAnsi="Calibri" w:cs="Arial"/>
          <w:lang w:eastAsia="en-AU"/>
        </w:rPr>
        <w:t xml:space="preserve"> co</w:t>
      </w:r>
      <w:r w:rsidRPr="007518BF">
        <w:rPr>
          <w:rFonts w:ascii="Calibri" w:hAnsi="Calibri" w:cs="Arial"/>
          <w:lang w:eastAsia="en-AU"/>
        </w:rPr>
        <w:noBreakHyphen/>
        <w:t>regulatory arrangements</w:t>
      </w:r>
      <w:r>
        <w:rPr>
          <w:rFonts w:ascii="Calibri" w:hAnsi="Calibri" w:cs="Arial"/>
          <w:lang w:eastAsia="en-AU"/>
        </w:rPr>
        <w:t xml:space="preserve"> to</w:t>
      </w:r>
      <w:r w:rsidRPr="007518BF">
        <w:rPr>
          <w:rFonts w:ascii="Calibri" w:hAnsi="Calibri" w:cs="Arial"/>
          <w:lang w:eastAsia="en-AU"/>
        </w:rPr>
        <w:t xml:space="preserve"> </w:t>
      </w:r>
      <w:r>
        <w:rPr>
          <w:rFonts w:ascii="Calibri" w:hAnsi="Calibri" w:cs="Arial"/>
          <w:lang w:eastAsia="en-AU"/>
        </w:rPr>
        <w:t xml:space="preserve">better </w:t>
      </w:r>
      <w:r w:rsidRPr="007518BF">
        <w:rPr>
          <w:rFonts w:ascii="Calibri" w:hAnsi="Calibri" w:cs="Arial"/>
          <w:lang w:eastAsia="en-AU"/>
        </w:rPr>
        <w:t>manage financial risk</w:t>
      </w:r>
    </w:p>
    <w:p w:rsidR="00EE1483" w:rsidRPr="00EE1483" w:rsidRDefault="001B7976">
      <w:pPr>
        <w:spacing w:after="0" w:line="240" w:lineRule="auto"/>
        <w:rPr>
          <w:rFonts w:ascii="Calibri" w:hAnsi="Calibri" w:cs="Arial"/>
          <w:lang w:eastAsia="en-AU"/>
        </w:rPr>
      </w:pPr>
      <w:r w:rsidRPr="00EE1483">
        <w:rPr>
          <w:rFonts w:ascii="Calibri" w:hAnsi="Calibri" w:cs="Arial"/>
          <w:lang w:eastAsia="en-AU"/>
        </w:rPr>
        <w:t>These changes are in effect in the scheme’s second target year</w:t>
      </w:r>
      <w:r>
        <w:rPr>
          <w:rFonts w:ascii="Calibri" w:hAnsi="Calibri" w:cs="Arial"/>
          <w:lang w:eastAsia="en-AU"/>
        </w:rPr>
        <w:t>. The Department has continued to consult with scheme participants to ensure that lessons learned in its delivery can inform its operational settings</w:t>
      </w:r>
      <w:r w:rsidRPr="00EE1483">
        <w:rPr>
          <w:rFonts w:ascii="Calibri" w:hAnsi="Calibri" w:cs="Arial"/>
          <w:lang w:eastAsia="en-AU"/>
        </w:rPr>
        <w:t>.</w:t>
      </w:r>
    </w:p>
    <w:p w:rsidR="00865533" w:rsidRDefault="00F11599">
      <w:pPr>
        <w:spacing w:after="0" w:line="240" w:lineRule="auto"/>
        <w:rPr>
          <w:rFonts w:ascii="Calibri" w:hAnsi="Calibri" w:cs="Arial"/>
          <w:lang w:eastAsia="en-AU"/>
        </w:rPr>
      </w:pPr>
    </w:p>
    <w:p w:rsidR="00865533" w:rsidRDefault="00F11599">
      <w:pPr>
        <w:spacing w:after="0" w:line="240" w:lineRule="auto"/>
        <w:rPr>
          <w:rFonts w:ascii="Calibri" w:hAnsi="Calibri" w:cs="Arial"/>
          <w:lang w:eastAsia="en-AU"/>
        </w:rPr>
      </w:pPr>
    </w:p>
    <w:p w:rsidR="0092457A" w:rsidRDefault="001B7976">
      <w:pPr>
        <w:spacing w:after="0" w:line="240" w:lineRule="auto"/>
        <w:rPr>
          <w:rFonts w:ascii="Calibri" w:hAnsi="Calibri" w:cs="Arial"/>
          <w:lang w:eastAsia="en-AU"/>
        </w:rPr>
      </w:pPr>
      <w:r>
        <w:rPr>
          <w:rFonts w:asciiTheme="minorHAnsi" w:hAnsiTheme="minorHAnsi" w:cs="Arial"/>
          <w:noProof/>
          <w:lang w:eastAsia="en-AU"/>
        </w:rPr>
        <w:drawing>
          <wp:inline distT="0" distB="0" distL="0" distR="0">
            <wp:extent cx="5791200" cy="5188469"/>
            <wp:effectExtent l="19050" t="0" r="0" b="0"/>
            <wp:docPr id="4" name="Picture 6" descr="T:\EST\TV &amp; Computer Regulator Implementation\Communications\Images\eadig7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ST\TV &amp; Computer Regulator Implementation\Communications\Images\eadig71435.jpg"/>
                    <pic:cNvPicPr>
                      <a:picLocks noChangeAspect="1" noChangeArrowheads="1"/>
                    </pic:cNvPicPr>
                  </pic:nvPicPr>
                  <pic:blipFill>
                    <a:blip r:embed="rId18" cstate="print"/>
                    <a:srcRect t="4613" r="38111" b="12323"/>
                    <a:stretch>
                      <a:fillRect/>
                    </a:stretch>
                  </pic:blipFill>
                  <pic:spPr bwMode="auto">
                    <a:xfrm>
                      <a:off x="0" y="0"/>
                      <a:ext cx="5791200" cy="5188469"/>
                    </a:xfrm>
                    <a:prstGeom prst="rect">
                      <a:avLst/>
                    </a:prstGeom>
                    <a:noFill/>
                    <a:ln w="9525">
                      <a:noFill/>
                      <a:miter lim="800000"/>
                      <a:headEnd/>
                      <a:tailEnd/>
                    </a:ln>
                  </pic:spPr>
                </pic:pic>
              </a:graphicData>
            </a:graphic>
          </wp:inline>
        </w:drawing>
      </w:r>
      <w:r w:rsidRPr="00EE1483">
        <w:rPr>
          <w:rFonts w:ascii="Calibri" w:hAnsi="Calibri" w:cs="Arial"/>
          <w:lang w:eastAsia="en-AU"/>
        </w:rPr>
        <w:br w:type="page"/>
      </w:r>
    </w:p>
    <w:p w:rsidR="007D56F1" w:rsidRPr="00F55A1C" w:rsidRDefault="001B7976" w:rsidP="00CC2403">
      <w:pPr>
        <w:pStyle w:val="Heading1"/>
        <w:rPr>
          <w:sz w:val="36"/>
          <w:szCs w:val="36"/>
        </w:rPr>
      </w:pPr>
      <w:bookmarkStart w:id="30" w:name="_Toc256000047"/>
      <w:bookmarkStart w:id="31" w:name="_Toc256000034"/>
      <w:bookmarkStart w:id="32" w:name="_Toc256000021"/>
      <w:bookmarkStart w:id="33" w:name="_Toc256000008"/>
      <w:bookmarkStart w:id="34" w:name="_Toc380491876"/>
      <w:r w:rsidRPr="00F55A1C">
        <w:rPr>
          <w:sz w:val="36"/>
          <w:szCs w:val="36"/>
        </w:rPr>
        <w:lastRenderedPageBreak/>
        <w:t>Scheme outcomes 2012–13</w:t>
      </w:r>
      <w:bookmarkEnd w:id="30"/>
      <w:bookmarkEnd w:id="31"/>
      <w:bookmarkEnd w:id="32"/>
      <w:bookmarkEnd w:id="33"/>
      <w:bookmarkEnd w:id="34"/>
    </w:p>
    <w:p w:rsidR="004904F7" w:rsidRPr="004904F7" w:rsidRDefault="001B7976" w:rsidP="004904F7">
      <w:pPr>
        <w:rPr>
          <w:rFonts w:ascii="Calibri" w:hAnsi="Calibri" w:cs="Arial"/>
          <w:lang w:eastAsia="en-AU"/>
        </w:rPr>
      </w:pPr>
      <w:r w:rsidRPr="004904F7">
        <w:rPr>
          <w:rFonts w:ascii="Calibri" w:hAnsi="Calibri" w:cs="Arial"/>
          <w:lang w:eastAsia="en-AU"/>
        </w:rPr>
        <w:t>Information</w:t>
      </w:r>
      <w:r>
        <w:rPr>
          <w:rFonts w:ascii="Calibri" w:hAnsi="Calibri" w:cs="Arial"/>
          <w:lang w:eastAsia="en-AU"/>
        </w:rPr>
        <w:t xml:space="preserve"> on schemes outcomes included in this report is drawn from information in annual reports provided by DHL Supply Chain, ANZRP and E-Cycle Solutions on their activities from the commencement of the scheme to the end of June 2013, which are available on the Department’s website.</w:t>
      </w:r>
    </w:p>
    <w:p w:rsidR="00840CA8" w:rsidRPr="001F549E" w:rsidRDefault="001B7976" w:rsidP="00840CA8">
      <w:pPr>
        <w:pStyle w:val="Heading2"/>
      </w:pPr>
      <w:bookmarkStart w:id="35" w:name="_Toc256000048"/>
      <w:bookmarkStart w:id="36" w:name="_Toc256000035"/>
      <w:bookmarkStart w:id="37" w:name="_Toc256000022"/>
      <w:bookmarkStart w:id="38" w:name="_Toc256000009"/>
      <w:bookmarkStart w:id="39" w:name="_Toc380491877"/>
      <w:r>
        <w:t>Recycling of televisions and computers</w:t>
      </w:r>
      <w:bookmarkEnd w:id="35"/>
      <w:bookmarkEnd w:id="36"/>
      <w:bookmarkEnd w:id="37"/>
      <w:bookmarkEnd w:id="38"/>
      <w:bookmarkEnd w:id="39"/>
    </w:p>
    <w:p w:rsidR="00840CA8" w:rsidRDefault="00090FCD" w:rsidP="00840CA8">
      <w:pPr>
        <w:spacing w:after="0"/>
        <w:rPr>
          <w:rFonts w:ascii="Calibri" w:hAnsi="Calibri" w:cs="Arial"/>
          <w:b/>
          <w:lang w:eastAsia="en-AU"/>
        </w:rPr>
      </w:pPr>
      <w:r w:rsidRPr="00090FCD">
        <w:rPr>
          <w:rFonts w:ascii="Calibri" w:hAnsi="Calibri"/>
          <w:bCs/>
        </w:rPr>
      </w:r>
      <w:r w:rsidRPr="00090FCD">
        <w:rPr>
          <w:rFonts w:ascii="Calibri" w:hAnsi="Calibri"/>
          <w:bCs/>
        </w:rPr>
        <w:pict>
          <v:shape id="_x0000_s1029" type="#_x0000_t202" style="width:360.7pt;height:58.35pt;mso-left-percent:-10001;mso-top-percent:-10001;mso-position-horizontal:absolute;mso-position-horizontal-relative:char;mso-position-vertical:absolute;mso-position-vertical-relative:line;mso-left-percent:-10001;mso-top-percent:-10001">
            <v:textbox>
              <w:txbxContent>
                <w:p w:rsidR="001B4C94" w:rsidRDefault="001B7976" w:rsidP="00840CA8">
                  <w:pPr>
                    <w:pStyle w:val="ListBullet"/>
                    <w:spacing w:after="0"/>
                    <w:rPr>
                      <w:rFonts w:ascii="Calibri" w:hAnsi="Calibri"/>
                      <w:b/>
                      <w:bCs/>
                    </w:rPr>
                  </w:pPr>
                  <w:r>
                    <w:rPr>
                      <w:rFonts w:ascii="Calibri" w:hAnsi="Calibri"/>
                      <w:b/>
                      <w:bCs/>
                    </w:rPr>
                    <w:t>Total waste arising 2012–13:</w:t>
                  </w:r>
                  <w:r>
                    <w:rPr>
                      <w:rFonts w:ascii="Calibri" w:hAnsi="Calibri"/>
                      <w:b/>
                      <w:bCs/>
                    </w:rPr>
                    <w:tab/>
                  </w:r>
                  <w:r>
                    <w:rPr>
                      <w:rFonts w:ascii="Calibri" w:hAnsi="Calibri"/>
                      <w:b/>
                      <w:bCs/>
                    </w:rPr>
                    <w:tab/>
                  </w:r>
                  <w:r>
                    <w:rPr>
                      <w:rFonts w:ascii="Calibri" w:hAnsi="Calibri"/>
                      <w:b/>
                      <w:bCs/>
                    </w:rPr>
                    <w:tab/>
                    <w:t>137,756 tonnes</w:t>
                  </w:r>
                </w:p>
                <w:p w:rsidR="001B4C94" w:rsidRPr="00D10276" w:rsidRDefault="001B7976" w:rsidP="00840CA8">
                  <w:pPr>
                    <w:pStyle w:val="ListBullet"/>
                    <w:spacing w:after="0"/>
                    <w:rPr>
                      <w:rFonts w:ascii="Calibri" w:hAnsi="Calibri"/>
                      <w:b/>
                      <w:bCs/>
                    </w:rPr>
                  </w:pPr>
                  <w:r w:rsidRPr="00E24056">
                    <w:rPr>
                      <w:rFonts w:ascii="Calibri" w:hAnsi="Calibri"/>
                      <w:b/>
                      <w:bCs/>
                    </w:rPr>
                    <w:t xml:space="preserve">Total </w:t>
                  </w:r>
                  <w:r>
                    <w:rPr>
                      <w:rFonts w:ascii="Calibri" w:hAnsi="Calibri"/>
                      <w:b/>
                      <w:bCs/>
                    </w:rPr>
                    <w:t xml:space="preserve">scheme </w:t>
                  </w:r>
                  <w:r w:rsidRPr="00E24056">
                    <w:rPr>
                      <w:rFonts w:ascii="Calibri" w:hAnsi="Calibri"/>
                      <w:b/>
                      <w:bCs/>
                    </w:rPr>
                    <w:t>recycling target</w:t>
                  </w:r>
                  <w:r>
                    <w:rPr>
                      <w:rFonts w:ascii="Calibri" w:hAnsi="Calibri"/>
                      <w:b/>
                      <w:bCs/>
                    </w:rPr>
                    <w:t xml:space="preserve"> 2012–13</w:t>
                  </w:r>
                  <w:r w:rsidRPr="00E24056">
                    <w:rPr>
                      <w:rFonts w:ascii="Calibri" w:hAnsi="Calibri"/>
                      <w:b/>
                      <w:bCs/>
                    </w:rPr>
                    <w:t xml:space="preserve">: </w:t>
                  </w:r>
                  <w:r>
                    <w:rPr>
                      <w:rFonts w:ascii="Calibri" w:hAnsi="Calibri"/>
                      <w:b/>
                      <w:bCs/>
                    </w:rPr>
                    <w:tab/>
                  </w:r>
                  <w:r>
                    <w:rPr>
                      <w:rFonts w:ascii="Calibri" w:hAnsi="Calibri"/>
                      <w:b/>
                      <w:bCs/>
                    </w:rPr>
                    <w:tab/>
                  </w:r>
                  <w:r w:rsidRPr="00D10276">
                    <w:rPr>
                      <w:rFonts w:ascii="Calibri" w:hAnsi="Calibri"/>
                      <w:b/>
                      <w:bCs/>
                    </w:rPr>
                    <w:t>41,32</w:t>
                  </w:r>
                  <w:r>
                    <w:rPr>
                      <w:rFonts w:ascii="Calibri" w:hAnsi="Calibri"/>
                      <w:b/>
                      <w:bCs/>
                    </w:rPr>
                    <w:t>7</w:t>
                  </w:r>
                  <w:r w:rsidRPr="00D10276">
                    <w:rPr>
                      <w:rFonts w:ascii="Calibri" w:hAnsi="Calibri"/>
                      <w:b/>
                      <w:bCs/>
                    </w:rPr>
                    <w:t xml:space="preserve"> tonnes</w:t>
                  </w:r>
                </w:p>
                <w:p w:rsidR="001B4C94" w:rsidRPr="0076018B" w:rsidRDefault="001B7976" w:rsidP="0076018B">
                  <w:pPr>
                    <w:pStyle w:val="ListBullet"/>
                    <w:spacing w:after="0"/>
                    <w:rPr>
                      <w:rFonts w:ascii="Calibri" w:hAnsi="Calibri"/>
                      <w:b/>
                      <w:bCs/>
                    </w:rPr>
                  </w:pPr>
                  <w:r w:rsidRPr="00D10276">
                    <w:rPr>
                      <w:rFonts w:ascii="Calibri" w:hAnsi="Calibri"/>
                      <w:b/>
                      <w:bCs/>
                    </w:rPr>
                    <w:t xml:space="preserve">Total </w:t>
                  </w:r>
                  <w:r>
                    <w:rPr>
                      <w:rFonts w:ascii="Calibri" w:hAnsi="Calibri"/>
                      <w:b/>
                      <w:bCs/>
                    </w:rPr>
                    <w:t xml:space="preserve">scheme </w:t>
                  </w:r>
                  <w:r w:rsidRPr="00D10276">
                    <w:rPr>
                      <w:rFonts w:ascii="Calibri" w:hAnsi="Calibri"/>
                      <w:b/>
                      <w:bCs/>
                    </w:rPr>
                    <w:t>recycling 2012</w:t>
                  </w:r>
                  <w:r>
                    <w:rPr>
                      <w:rFonts w:ascii="Calibri" w:hAnsi="Calibri"/>
                      <w:b/>
                      <w:bCs/>
                    </w:rPr>
                    <w:t>–</w:t>
                  </w:r>
                  <w:r w:rsidRPr="00D10276">
                    <w:rPr>
                      <w:rFonts w:ascii="Calibri" w:hAnsi="Calibri"/>
                      <w:b/>
                      <w:bCs/>
                    </w:rPr>
                    <w:t xml:space="preserve">13: </w:t>
                  </w:r>
                  <w:r w:rsidRPr="00D10276">
                    <w:rPr>
                      <w:rFonts w:ascii="Calibri" w:hAnsi="Calibri"/>
                      <w:b/>
                      <w:bCs/>
                    </w:rPr>
                    <w:tab/>
                  </w:r>
                  <w:r>
                    <w:rPr>
                      <w:rFonts w:ascii="Calibri" w:hAnsi="Calibri"/>
                      <w:b/>
                      <w:bCs/>
                    </w:rPr>
                    <w:tab/>
                  </w:r>
                  <w:r>
                    <w:rPr>
                      <w:rFonts w:ascii="Calibri" w:hAnsi="Calibri"/>
                      <w:b/>
                      <w:bCs/>
                    </w:rPr>
                    <w:tab/>
                  </w:r>
                  <w:r w:rsidRPr="00D10276">
                    <w:rPr>
                      <w:rFonts w:ascii="Calibri" w:hAnsi="Calibri"/>
                      <w:b/>
                      <w:bCs/>
                    </w:rPr>
                    <w:t>40,813 tonnes</w:t>
                  </w:r>
                  <w:r w:rsidRPr="0076018B">
                    <w:rPr>
                      <w:rFonts w:ascii="Calibri" w:hAnsi="Calibri"/>
                      <w:b/>
                      <w:bCs/>
                    </w:rPr>
                    <w:tab/>
                  </w:r>
                </w:p>
                <w:p w:rsidR="001B4C94" w:rsidRPr="00E24056" w:rsidRDefault="00F11599" w:rsidP="00840CA8"/>
              </w:txbxContent>
            </v:textbox>
            <w10:wrap type="none"/>
            <w10:anchorlock/>
          </v:shape>
        </w:pict>
      </w:r>
    </w:p>
    <w:p w:rsidR="00840CA8" w:rsidRPr="0093241D" w:rsidRDefault="001B7976" w:rsidP="00840CA8">
      <w:pPr>
        <w:spacing w:before="240"/>
        <w:rPr>
          <w:rFonts w:ascii="Calibri" w:hAnsi="Calibri" w:cs="Arial"/>
          <w:lang w:eastAsia="en-AU"/>
        </w:rPr>
      </w:pPr>
      <w:r w:rsidRPr="0093241D">
        <w:rPr>
          <w:rFonts w:ascii="Calibri" w:hAnsi="Calibri" w:cs="Arial"/>
          <w:lang w:eastAsia="en-AU"/>
        </w:rPr>
        <w:t xml:space="preserve">The </w:t>
      </w:r>
      <w:r>
        <w:rPr>
          <w:rFonts w:ascii="Calibri" w:hAnsi="Calibri" w:cs="Arial"/>
          <w:lang w:eastAsia="en-AU"/>
        </w:rPr>
        <w:t>s</w:t>
      </w:r>
      <w:r w:rsidRPr="0093241D">
        <w:rPr>
          <w:rFonts w:ascii="Calibri" w:hAnsi="Calibri" w:cs="Arial"/>
          <w:lang w:eastAsia="en-AU"/>
        </w:rPr>
        <w:t xml:space="preserve">cheme requires industry to meet increasing television and computer recycling targets, </w:t>
      </w:r>
      <w:r>
        <w:rPr>
          <w:rFonts w:ascii="Calibri" w:hAnsi="Calibri" w:cs="Arial"/>
          <w:lang w:eastAsia="en-AU"/>
        </w:rPr>
        <w:t xml:space="preserve">increasing from 30 per cent in 2012–13 </w:t>
      </w:r>
      <w:r w:rsidRPr="0093241D">
        <w:rPr>
          <w:rFonts w:ascii="Calibri" w:hAnsi="Calibri" w:cs="Arial"/>
          <w:lang w:eastAsia="en-AU"/>
        </w:rPr>
        <w:t>to 80 per cent in 2021–22</w:t>
      </w:r>
      <w:r>
        <w:rPr>
          <w:rFonts w:ascii="Calibri" w:hAnsi="Calibri" w:cs="Arial"/>
          <w:lang w:eastAsia="en-AU"/>
        </w:rPr>
        <w:t xml:space="preserve">. </w:t>
      </w:r>
      <w:r w:rsidRPr="0093241D">
        <w:rPr>
          <w:rFonts w:ascii="Calibri" w:hAnsi="Calibri" w:cs="Arial"/>
          <w:lang w:eastAsia="en-AU"/>
        </w:rPr>
        <w:t xml:space="preserve">Each approved co-regulatory arrangement is required to achieve a portion of the total scheme recycling target, based on the </w:t>
      </w:r>
      <w:r>
        <w:rPr>
          <w:rFonts w:ascii="Calibri" w:hAnsi="Calibri" w:cs="Arial"/>
          <w:lang w:eastAsia="en-AU"/>
        </w:rPr>
        <w:t>import or manufacture</w:t>
      </w:r>
      <w:r w:rsidRPr="0093241D">
        <w:rPr>
          <w:rFonts w:ascii="Calibri" w:hAnsi="Calibri" w:cs="Arial"/>
          <w:lang w:eastAsia="en-AU"/>
        </w:rPr>
        <w:t xml:space="preserve"> share of its members. Scheme recycling targets have been set as a percentage of the waste estimated to be generated in a given year</w:t>
      </w:r>
      <w:r>
        <w:rPr>
          <w:rFonts w:ascii="Calibri" w:hAnsi="Calibri" w:cs="Arial"/>
          <w:lang w:eastAsia="en-AU"/>
        </w:rPr>
        <w:t>.</w:t>
      </w:r>
      <w:r w:rsidRPr="00286342">
        <w:rPr>
          <w:rFonts w:ascii="Calibri" w:hAnsi="Calibri" w:cs="Arial"/>
          <w:lang w:eastAsia="en-AU"/>
        </w:rPr>
        <w:t xml:space="preserve"> </w:t>
      </w:r>
    </w:p>
    <w:p w:rsidR="00C51B40" w:rsidRDefault="001B7976" w:rsidP="00840CA8">
      <w:pPr>
        <w:rPr>
          <w:rFonts w:ascii="Calibri" w:hAnsi="Calibri" w:cs="Arial"/>
          <w:lang w:eastAsia="en-AU"/>
        </w:rPr>
      </w:pPr>
      <w:r>
        <w:rPr>
          <w:rFonts w:ascii="Calibri" w:hAnsi="Calibri" w:cs="Arial"/>
          <w:lang w:eastAsia="en-AU"/>
        </w:rPr>
        <w:t xml:space="preserve">In 2012–13 an estimated </w:t>
      </w:r>
      <w:r w:rsidRPr="00F11EE1">
        <w:rPr>
          <w:rFonts w:ascii="Calibri" w:hAnsi="Calibri" w:cs="Arial"/>
          <w:lang w:eastAsia="en-AU"/>
        </w:rPr>
        <w:t>137,756</w:t>
      </w:r>
      <w:r>
        <w:rPr>
          <w:rFonts w:ascii="Calibri" w:hAnsi="Calibri" w:cs="Arial"/>
          <w:lang w:eastAsia="en-AU"/>
        </w:rPr>
        <w:t xml:space="preserve"> tonnes of televisions and computers reached end-of-life in Australia. This was calculated from the average converted weight of the previous three years’ total imports and manufacturing of televisions and computers, multiplied by a scaling factor of 0.9. The total converted weight of all television and computers imported or manufactured in Australia was 156,696 tonnes in 2009–10, 159,165 tonnes in 2010–11 and 143,324 tonnes in 2011–12. </w:t>
      </w:r>
    </w:p>
    <w:p w:rsidR="00112B2E" w:rsidRDefault="001B7976" w:rsidP="00840CA8">
      <w:pPr>
        <w:rPr>
          <w:rFonts w:ascii="Calibri" w:hAnsi="Calibri" w:cs="Arial"/>
          <w:lang w:eastAsia="en-AU"/>
        </w:rPr>
      </w:pPr>
      <w:r>
        <w:rPr>
          <w:rFonts w:ascii="Calibri" w:hAnsi="Calibri" w:cs="Arial"/>
          <w:lang w:eastAsia="en-AU"/>
        </w:rPr>
        <w:t xml:space="preserve">The total scheme recycling target in 2012–13 was 30 per cent of total waste arising, or </w:t>
      </w:r>
      <w:r w:rsidRPr="00F11EE1">
        <w:rPr>
          <w:rFonts w:ascii="Calibri" w:hAnsi="Calibri" w:cs="Arial"/>
          <w:lang w:eastAsia="en-AU"/>
        </w:rPr>
        <w:t>41,32</w:t>
      </w:r>
      <w:r>
        <w:rPr>
          <w:rFonts w:ascii="Calibri" w:hAnsi="Calibri" w:cs="Arial"/>
          <w:lang w:eastAsia="en-AU"/>
        </w:rPr>
        <w:t>7</w:t>
      </w:r>
      <w:r w:rsidRPr="00F11EE1">
        <w:rPr>
          <w:rFonts w:ascii="Calibri" w:hAnsi="Calibri" w:cs="Arial"/>
          <w:lang w:eastAsia="en-AU"/>
        </w:rPr>
        <w:t xml:space="preserve"> </w:t>
      </w:r>
      <w:r w:rsidRPr="00965B8F">
        <w:rPr>
          <w:rFonts w:ascii="Calibri" w:hAnsi="Calibri" w:cs="Arial"/>
          <w:lang w:eastAsia="en-AU"/>
        </w:rPr>
        <w:t>tonnes</w:t>
      </w:r>
      <w:r>
        <w:rPr>
          <w:rFonts w:ascii="Calibri" w:hAnsi="Calibri" w:cs="Arial"/>
          <w:lang w:eastAsia="en-AU"/>
        </w:rPr>
        <w:t xml:space="preserve"> of waste televisions and computers. </w:t>
      </w:r>
    </w:p>
    <w:p w:rsidR="00840CA8" w:rsidRDefault="001B7976" w:rsidP="00840CA8">
      <w:pPr>
        <w:rPr>
          <w:rFonts w:ascii="Calibri" w:hAnsi="Calibri" w:cs="Calibri"/>
        </w:rPr>
      </w:pPr>
      <w:r w:rsidRPr="004D26C6">
        <w:rPr>
          <w:rFonts w:ascii="Calibri" w:hAnsi="Calibri" w:cs="Arial"/>
          <w:lang w:eastAsia="en-AU"/>
        </w:rPr>
        <w:t>A total of 40,813 tonnes</w:t>
      </w:r>
      <w:r>
        <w:rPr>
          <w:rFonts w:ascii="Calibri" w:hAnsi="Calibri" w:cs="Arial"/>
          <w:lang w:eastAsia="en-AU"/>
        </w:rPr>
        <w:t xml:space="preserve"> of televisions and computers were recycled under the Scheme in 2012–13, equivalent to 98.8 per cent of the annual recycling target. This represents nearly a doubling of annual recycling of televisions and computers in Australia prior to the commencement of the scheme, which was estimated at around 21,200 tonnes in 2009–10. Management of e-waste falling outside industry’s 30 per cent recycling target remained the responsibility of state, territory and local governments. </w:t>
      </w:r>
      <w:r>
        <w:rPr>
          <w:rFonts w:ascii="Calibri" w:hAnsi="Calibri" w:cs="Calibri"/>
        </w:rPr>
        <w:t xml:space="preserve">National data is not available on the amount of e-waste recycling that occurred outside the Scheme in 2012–13. </w:t>
      </w:r>
    </w:p>
    <w:p w:rsidR="00840CA8" w:rsidRDefault="001B7976" w:rsidP="00840CA8">
      <w:pPr>
        <w:rPr>
          <w:rFonts w:ascii="Calibri" w:hAnsi="Calibri" w:cs="Calibri"/>
        </w:rPr>
      </w:pPr>
      <w:r>
        <w:rPr>
          <w:rFonts w:ascii="Calibri" w:hAnsi="Calibri" w:cs="Calibri"/>
        </w:rPr>
        <w:t xml:space="preserve">The rate of recycling under the scheme increased throughout the financial year as approved co-regulatory arrangements established collection services and entered into contracts with recycling service providers. A significant proportion of the annual recycling was undertaken in the final quarter of 2012–13, representing the drive of arrangements to achieve their recycling targets by 30 June. </w:t>
      </w:r>
    </w:p>
    <w:p w:rsidR="00741E8D" w:rsidRPr="00B91DC5" w:rsidRDefault="001B7976" w:rsidP="00741E8D">
      <w:pPr>
        <w:pStyle w:val="Heading2"/>
      </w:pPr>
      <w:bookmarkStart w:id="40" w:name="_Toc256000049"/>
      <w:bookmarkStart w:id="41" w:name="_Toc256000036"/>
      <w:bookmarkStart w:id="42" w:name="_Toc256000023"/>
      <w:bookmarkStart w:id="43" w:name="_Toc256000010"/>
      <w:bookmarkStart w:id="44" w:name="_Toc380491878"/>
      <w:r>
        <w:lastRenderedPageBreak/>
        <w:t>Performance of c</w:t>
      </w:r>
      <w:r w:rsidRPr="00B91DC5">
        <w:t xml:space="preserve">o-regulatory arrangements </w:t>
      </w:r>
      <w:r>
        <w:t>against recycling targets</w:t>
      </w:r>
      <w:bookmarkEnd w:id="40"/>
      <w:bookmarkEnd w:id="41"/>
      <w:bookmarkEnd w:id="42"/>
      <w:bookmarkEnd w:id="43"/>
      <w:bookmarkEnd w:id="44"/>
    </w:p>
    <w:p w:rsidR="00741E8D" w:rsidRDefault="00090FCD" w:rsidP="00741E8D">
      <w:pPr>
        <w:rPr>
          <w:rFonts w:ascii="Calibri" w:hAnsi="Calibri" w:cs="Arial"/>
          <w:lang w:eastAsia="en-AU"/>
        </w:rPr>
      </w:pPr>
      <w:r w:rsidRPr="00090FCD">
        <w:rPr>
          <w:rFonts w:ascii="Calibri" w:hAnsi="Calibri"/>
          <w:bCs/>
        </w:rPr>
      </w:r>
      <w:r w:rsidRPr="00090FCD">
        <w:rPr>
          <w:rFonts w:ascii="Calibri" w:hAnsi="Calibri"/>
          <w:bCs/>
        </w:rPr>
        <w:pict>
          <v:shape id="_x0000_s1028" type="#_x0000_t202" style="width:361.45pt;height:107.65pt;mso-wrap-style:none;mso-left-percent:-10001;mso-top-percent:-10001;mso-position-horizontal:absolute;mso-position-horizontal-relative:char;mso-position-vertical:absolute;mso-position-vertical-relative:line;mso-left-percent:-10001;mso-top-percent:-10001">
            <v:textbox>
              <w:txbxContent>
                <w:p w:rsidR="001B4C94" w:rsidRPr="00E62181" w:rsidRDefault="001B7976" w:rsidP="00741E8D">
                  <w:pPr>
                    <w:pStyle w:val="ListBullet"/>
                    <w:rPr>
                      <w:b/>
                      <w:bCs/>
                    </w:rPr>
                  </w:pPr>
                  <w:r>
                    <w:rPr>
                      <w:rFonts w:ascii="Calibri" w:hAnsi="Calibri"/>
                      <w:b/>
                      <w:bCs/>
                    </w:rPr>
                    <w:t>Three approved co-regulatory arrangements were operating in 2012–13</w:t>
                  </w:r>
                </w:p>
                <w:p w:rsidR="001B4C94" w:rsidRDefault="001B7976" w:rsidP="00741E8D">
                  <w:pPr>
                    <w:pStyle w:val="ListBullet"/>
                    <w:rPr>
                      <w:rFonts w:ascii="Calibri" w:hAnsi="Calibri"/>
                      <w:b/>
                      <w:bCs/>
                    </w:rPr>
                  </w:pPr>
                  <w:r w:rsidRPr="00E62181">
                    <w:rPr>
                      <w:rFonts w:ascii="Calibri" w:hAnsi="Calibri"/>
                      <w:b/>
                      <w:bCs/>
                    </w:rPr>
                    <w:t xml:space="preserve">DHL Supply Chain </w:t>
                  </w:r>
                  <w:r>
                    <w:rPr>
                      <w:rFonts w:ascii="Calibri" w:hAnsi="Calibri"/>
                      <w:b/>
                      <w:bCs/>
                    </w:rPr>
                    <w:t>exceeded its total recycling target by 4,348 tonnes</w:t>
                  </w:r>
                </w:p>
                <w:p w:rsidR="001B4C94" w:rsidRPr="00767FC3" w:rsidRDefault="001B7976" w:rsidP="00767FC3">
                  <w:pPr>
                    <w:pStyle w:val="ListBullet"/>
                    <w:rPr>
                      <w:rFonts w:ascii="Calibri" w:hAnsi="Calibri"/>
                      <w:b/>
                      <w:bCs/>
                    </w:rPr>
                  </w:pPr>
                  <w:r>
                    <w:rPr>
                      <w:rFonts w:ascii="Calibri" w:hAnsi="Calibri"/>
                      <w:b/>
                      <w:bCs/>
                    </w:rPr>
                    <w:t>ANZRP fell short of its total recycling target by 5,239 tonnes</w:t>
                  </w:r>
                </w:p>
                <w:p w:rsidR="001B4C94" w:rsidRDefault="001B7976" w:rsidP="00741E8D">
                  <w:pPr>
                    <w:pStyle w:val="ListBullet"/>
                    <w:rPr>
                      <w:rFonts w:ascii="Calibri" w:hAnsi="Calibri"/>
                      <w:b/>
                      <w:bCs/>
                    </w:rPr>
                  </w:pPr>
                  <w:r w:rsidRPr="00E62181">
                    <w:rPr>
                      <w:rFonts w:ascii="Calibri" w:hAnsi="Calibri"/>
                      <w:b/>
                      <w:bCs/>
                    </w:rPr>
                    <w:t>E</w:t>
                  </w:r>
                  <w:r>
                    <w:rPr>
                      <w:rFonts w:ascii="Calibri" w:hAnsi="Calibri"/>
                      <w:b/>
                      <w:bCs/>
                    </w:rPr>
                    <w:t>-Cycle Solutions exceeded its recycling target by 377 tonnes</w:t>
                  </w:r>
                </w:p>
                <w:p w:rsidR="001B4C94" w:rsidRDefault="00F11599"/>
              </w:txbxContent>
            </v:textbox>
            <w10:wrap type="none"/>
            <w10:anchorlock/>
          </v:shape>
        </w:pict>
      </w:r>
    </w:p>
    <w:p w:rsidR="00741E8D" w:rsidRPr="00A05DEA" w:rsidRDefault="001B7976" w:rsidP="00741E8D">
      <w:pPr>
        <w:rPr>
          <w:rFonts w:ascii="Calibri" w:hAnsi="Calibri" w:cs="Arial"/>
          <w:lang w:eastAsia="en-AU"/>
        </w:rPr>
      </w:pPr>
      <w:r>
        <w:rPr>
          <w:rFonts w:ascii="Calibri" w:hAnsi="Calibri" w:cs="Arial"/>
          <w:lang w:eastAsia="en-AU"/>
        </w:rPr>
        <w:t xml:space="preserve">Data on the performance of the three arrangements against their 2012–13 recycling targets are given in Table 1, below.  </w:t>
      </w:r>
    </w:p>
    <w:p w:rsidR="00D33E9D" w:rsidRDefault="001B7976" w:rsidP="00741E8D">
      <w:pPr>
        <w:rPr>
          <w:rFonts w:ascii="Calibri" w:hAnsi="Calibri" w:cs="Arial"/>
          <w:lang w:eastAsia="en-AU"/>
        </w:rPr>
      </w:pPr>
      <w:r w:rsidRPr="00A05DEA">
        <w:rPr>
          <w:rFonts w:ascii="Calibri" w:hAnsi="Calibri" w:cs="Arial"/>
          <w:lang w:eastAsia="en-AU"/>
        </w:rPr>
        <w:t xml:space="preserve">DHL Supply Chain </w:t>
      </w:r>
      <w:r>
        <w:rPr>
          <w:rFonts w:ascii="Calibri" w:hAnsi="Calibri" w:cs="Arial"/>
          <w:lang w:eastAsia="en-AU"/>
        </w:rPr>
        <w:t xml:space="preserve">met its separate recycling targets for televisions and computers in 2012–13 and will carry over total excess recycling of 4,348 tonnes, which may be acquitted against future targets. </w:t>
      </w:r>
    </w:p>
    <w:p w:rsidR="001220E1" w:rsidRDefault="001B7976" w:rsidP="00741E8D">
      <w:pPr>
        <w:rPr>
          <w:rFonts w:ascii="Calibri" w:hAnsi="Calibri" w:cs="Arial"/>
          <w:lang w:eastAsia="en-AU"/>
        </w:rPr>
      </w:pPr>
      <w:r>
        <w:rPr>
          <w:rFonts w:ascii="Calibri" w:hAnsi="Calibri" w:cs="Arial"/>
          <w:lang w:eastAsia="en-AU"/>
        </w:rPr>
        <w:t>ANZRP exceeded its televisions recycling target but fell short of its computer recycling target and will carry forward a net shortfall of 5,239 tonnes to be added to its 2013–14 recycling target.</w:t>
      </w:r>
    </w:p>
    <w:p w:rsidR="004904F7" w:rsidRDefault="001B7976" w:rsidP="00741E8D">
      <w:pPr>
        <w:rPr>
          <w:rFonts w:ascii="Calibri" w:hAnsi="Calibri" w:cs="Arial"/>
          <w:lang w:eastAsia="en-AU"/>
        </w:rPr>
      </w:pPr>
      <w:r>
        <w:rPr>
          <w:rFonts w:ascii="Calibri" w:hAnsi="Calibri" w:cs="Arial"/>
          <w:lang w:eastAsia="en-AU"/>
        </w:rPr>
        <w:t>E-Cycle Solutions exceed its televisions recycling target by 377 tonnes and will carry this amount forward for acquittal against future targets. E-Cycle Solutions did not have a recycling target for computers in 2012–13.</w:t>
      </w:r>
    </w:p>
    <w:p w:rsidR="0043414B" w:rsidRPr="00C33AF2" w:rsidRDefault="001B7976" w:rsidP="00C33AF2">
      <w:pPr>
        <w:pStyle w:val="Caption"/>
        <w:rPr>
          <w:rFonts w:cs="Arial"/>
          <w:szCs w:val="20"/>
        </w:rPr>
      </w:pPr>
      <w:r w:rsidRPr="00C33AF2">
        <w:rPr>
          <w:rFonts w:cs="Arial"/>
          <w:szCs w:val="20"/>
        </w:rPr>
        <w:t>Table 1: Co-regulatory arrangements’ performance against 2012–13 recycling targets*</w:t>
      </w:r>
    </w:p>
    <w:tbl>
      <w:tblPr>
        <w:tblStyle w:val="TableGrid"/>
        <w:tblW w:w="0" w:type="auto"/>
        <w:tblLook w:val="04A0"/>
      </w:tblPr>
      <w:tblGrid>
        <w:gridCol w:w="1909"/>
        <w:gridCol w:w="1056"/>
        <w:gridCol w:w="1095"/>
        <w:gridCol w:w="1056"/>
        <w:gridCol w:w="1095"/>
        <w:gridCol w:w="1056"/>
        <w:gridCol w:w="1095"/>
        <w:gridCol w:w="1066"/>
      </w:tblGrid>
      <w:tr w:rsidR="00786520" w:rsidTr="00B6714F">
        <w:trPr>
          <w:cnfStyle w:val="100000000000"/>
        </w:trPr>
        <w:tc>
          <w:tcPr>
            <w:tcW w:w="1951" w:type="dxa"/>
            <w:vMerge w:val="restart"/>
            <w:shd w:val="clear" w:color="auto" w:fill="C6D9F1" w:themeFill="text2" w:themeFillTint="33"/>
            <w:vAlign w:val="center"/>
          </w:tcPr>
          <w:p w:rsidR="00B6714F" w:rsidRPr="00790B3D" w:rsidRDefault="00F11599" w:rsidP="00790B3D">
            <w:pPr>
              <w:rPr>
                <w:sz w:val="20"/>
                <w:szCs w:val="20"/>
              </w:rPr>
            </w:pPr>
          </w:p>
        </w:tc>
        <w:tc>
          <w:tcPr>
            <w:tcW w:w="2136" w:type="dxa"/>
            <w:gridSpan w:val="2"/>
            <w:tcBorders>
              <w:bottom w:val="single" w:sz="4" w:space="0" w:color="auto"/>
            </w:tcBorders>
            <w:shd w:val="clear" w:color="auto" w:fill="C6D9F1" w:themeFill="text2" w:themeFillTint="33"/>
            <w:vAlign w:val="bottom"/>
          </w:tcPr>
          <w:p w:rsidR="00B6714F" w:rsidRPr="00790B3D" w:rsidRDefault="001B7976" w:rsidP="00790B3D">
            <w:pPr>
              <w:jc w:val="center"/>
              <w:rPr>
                <w:b/>
                <w:sz w:val="20"/>
                <w:szCs w:val="20"/>
              </w:rPr>
            </w:pPr>
            <w:r w:rsidRPr="00790B3D">
              <w:rPr>
                <w:b/>
                <w:sz w:val="20"/>
                <w:szCs w:val="20"/>
              </w:rPr>
              <w:t>Televisions (tonnes)</w:t>
            </w:r>
          </w:p>
        </w:tc>
        <w:tc>
          <w:tcPr>
            <w:tcW w:w="2136" w:type="dxa"/>
            <w:gridSpan w:val="2"/>
            <w:tcBorders>
              <w:bottom w:val="single" w:sz="4" w:space="0" w:color="auto"/>
            </w:tcBorders>
            <w:shd w:val="clear" w:color="auto" w:fill="C6D9F1" w:themeFill="text2" w:themeFillTint="33"/>
            <w:vAlign w:val="bottom"/>
          </w:tcPr>
          <w:p w:rsidR="00B6714F" w:rsidRPr="00790B3D" w:rsidRDefault="001B7976" w:rsidP="00790B3D">
            <w:pPr>
              <w:jc w:val="center"/>
              <w:rPr>
                <w:b/>
                <w:sz w:val="20"/>
                <w:szCs w:val="20"/>
              </w:rPr>
            </w:pPr>
            <w:r w:rsidRPr="00790B3D">
              <w:rPr>
                <w:b/>
                <w:sz w:val="20"/>
                <w:szCs w:val="20"/>
              </w:rPr>
              <w:t>Computers (tonnes)</w:t>
            </w:r>
          </w:p>
        </w:tc>
        <w:tc>
          <w:tcPr>
            <w:tcW w:w="2136" w:type="dxa"/>
            <w:gridSpan w:val="2"/>
            <w:tcBorders>
              <w:bottom w:val="single" w:sz="4" w:space="0" w:color="auto"/>
            </w:tcBorders>
            <w:shd w:val="clear" w:color="auto" w:fill="C6D9F1" w:themeFill="text2" w:themeFillTint="33"/>
            <w:vAlign w:val="bottom"/>
          </w:tcPr>
          <w:p w:rsidR="00B6714F" w:rsidRPr="00790B3D" w:rsidRDefault="001B7976" w:rsidP="00790B3D">
            <w:pPr>
              <w:jc w:val="center"/>
              <w:rPr>
                <w:b/>
                <w:sz w:val="20"/>
                <w:szCs w:val="20"/>
              </w:rPr>
            </w:pPr>
            <w:r w:rsidRPr="00790B3D">
              <w:rPr>
                <w:b/>
                <w:sz w:val="20"/>
                <w:szCs w:val="20"/>
              </w:rPr>
              <w:t>Televisions and computers (tonnes)</w:t>
            </w:r>
          </w:p>
        </w:tc>
        <w:tc>
          <w:tcPr>
            <w:tcW w:w="1069" w:type="dxa"/>
            <w:vMerge w:val="restart"/>
            <w:shd w:val="clear" w:color="auto" w:fill="C6D9F1" w:themeFill="text2" w:themeFillTint="33"/>
            <w:vAlign w:val="bottom"/>
          </w:tcPr>
          <w:p w:rsidR="00B6714F" w:rsidRPr="00790B3D" w:rsidRDefault="001B7976" w:rsidP="00790B3D">
            <w:pPr>
              <w:jc w:val="center"/>
              <w:rPr>
                <w:b/>
                <w:sz w:val="20"/>
                <w:szCs w:val="20"/>
              </w:rPr>
            </w:pPr>
            <w:r w:rsidRPr="00790B3D">
              <w:rPr>
                <w:b/>
                <w:sz w:val="20"/>
                <w:szCs w:val="20"/>
              </w:rPr>
              <w:t>Carry over (tonnes)</w:t>
            </w:r>
          </w:p>
        </w:tc>
      </w:tr>
      <w:tr w:rsidR="00786520" w:rsidTr="00B6714F">
        <w:trPr>
          <w:cnfStyle w:val="000000100000"/>
        </w:trPr>
        <w:tc>
          <w:tcPr>
            <w:tcW w:w="1951" w:type="dxa"/>
            <w:vMerge/>
            <w:shd w:val="clear" w:color="auto" w:fill="C6D9F1" w:themeFill="text2" w:themeFillTint="33"/>
            <w:vAlign w:val="center"/>
          </w:tcPr>
          <w:p w:rsidR="00B6714F" w:rsidRPr="00790B3D" w:rsidRDefault="00F11599" w:rsidP="00790B3D">
            <w:pPr>
              <w:rPr>
                <w:sz w:val="20"/>
                <w:szCs w:val="20"/>
              </w:rPr>
            </w:pPr>
          </w:p>
        </w:tc>
        <w:tc>
          <w:tcPr>
            <w:tcW w:w="1068" w:type="dxa"/>
            <w:shd w:val="clear" w:color="auto" w:fill="C6D9F1" w:themeFill="text2" w:themeFillTint="33"/>
            <w:vAlign w:val="bottom"/>
          </w:tcPr>
          <w:p w:rsidR="00B6714F" w:rsidRPr="00790B3D" w:rsidRDefault="001B7976" w:rsidP="00790B3D">
            <w:pPr>
              <w:jc w:val="center"/>
              <w:rPr>
                <w:b/>
                <w:sz w:val="20"/>
                <w:szCs w:val="20"/>
              </w:rPr>
            </w:pPr>
            <w:r w:rsidRPr="00790B3D">
              <w:rPr>
                <w:b/>
                <w:sz w:val="20"/>
                <w:szCs w:val="20"/>
              </w:rPr>
              <w:t>Target</w:t>
            </w:r>
          </w:p>
        </w:tc>
        <w:tc>
          <w:tcPr>
            <w:tcW w:w="1068" w:type="dxa"/>
            <w:shd w:val="clear" w:color="auto" w:fill="C6D9F1" w:themeFill="text2" w:themeFillTint="33"/>
            <w:vAlign w:val="bottom"/>
          </w:tcPr>
          <w:p w:rsidR="00B6714F" w:rsidRPr="00790B3D" w:rsidRDefault="001B7976" w:rsidP="00790B3D">
            <w:pPr>
              <w:jc w:val="center"/>
              <w:rPr>
                <w:b/>
                <w:sz w:val="20"/>
                <w:szCs w:val="20"/>
              </w:rPr>
            </w:pPr>
            <w:r w:rsidRPr="00790B3D">
              <w:rPr>
                <w:b/>
                <w:sz w:val="20"/>
                <w:szCs w:val="20"/>
              </w:rPr>
              <w:t>Recycled</w:t>
            </w:r>
          </w:p>
        </w:tc>
        <w:tc>
          <w:tcPr>
            <w:tcW w:w="1068" w:type="dxa"/>
            <w:shd w:val="clear" w:color="auto" w:fill="C6D9F1" w:themeFill="text2" w:themeFillTint="33"/>
            <w:vAlign w:val="bottom"/>
          </w:tcPr>
          <w:p w:rsidR="00B6714F" w:rsidRPr="00790B3D" w:rsidRDefault="001B7976" w:rsidP="00790B3D">
            <w:pPr>
              <w:jc w:val="center"/>
              <w:rPr>
                <w:b/>
                <w:sz w:val="20"/>
                <w:szCs w:val="20"/>
              </w:rPr>
            </w:pPr>
            <w:r w:rsidRPr="00790B3D">
              <w:rPr>
                <w:b/>
                <w:sz w:val="20"/>
                <w:szCs w:val="20"/>
              </w:rPr>
              <w:t>Target</w:t>
            </w:r>
          </w:p>
        </w:tc>
        <w:tc>
          <w:tcPr>
            <w:tcW w:w="1068" w:type="dxa"/>
            <w:shd w:val="clear" w:color="auto" w:fill="C6D9F1" w:themeFill="text2" w:themeFillTint="33"/>
            <w:vAlign w:val="bottom"/>
          </w:tcPr>
          <w:p w:rsidR="00B6714F" w:rsidRPr="00790B3D" w:rsidRDefault="001B7976" w:rsidP="00790B3D">
            <w:pPr>
              <w:jc w:val="center"/>
              <w:rPr>
                <w:b/>
                <w:sz w:val="20"/>
                <w:szCs w:val="20"/>
              </w:rPr>
            </w:pPr>
            <w:r w:rsidRPr="00790B3D">
              <w:rPr>
                <w:b/>
                <w:sz w:val="20"/>
                <w:szCs w:val="20"/>
              </w:rPr>
              <w:t>Recycled</w:t>
            </w:r>
          </w:p>
        </w:tc>
        <w:tc>
          <w:tcPr>
            <w:tcW w:w="1068" w:type="dxa"/>
            <w:shd w:val="clear" w:color="auto" w:fill="C6D9F1" w:themeFill="text2" w:themeFillTint="33"/>
            <w:vAlign w:val="bottom"/>
          </w:tcPr>
          <w:p w:rsidR="00B6714F" w:rsidRPr="00790B3D" w:rsidRDefault="001B7976" w:rsidP="00790B3D">
            <w:pPr>
              <w:jc w:val="center"/>
              <w:rPr>
                <w:b/>
                <w:sz w:val="20"/>
                <w:szCs w:val="20"/>
              </w:rPr>
            </w:pPr>
            <w:r w:rsidRPr="00790B3D">
              <w:rPr>
                <w:b/>
                <w:sz w:val="20"/>
                <w:szCs w:val="20"/>
              </w:rPr>
              <w:t>Target</w:t>
            </w:r>
          </w:p>
        </w:tc>
        <w:tc>
          <w:tcPr>
            <w:tcW w:w="1068" w:type="dxa"/>
            <w:shd w:val="clear" w:color="auto" w:fill="C6D9F1" w:themeFill="text2" w:themeFillTint="33"/>
            <w:vAlign w:val="bottom"/>
          </w:tcPr>
          <w:p w:rsidR="00B6714F" w:rsidRPr="00790B3D" w:rsidRDefault="001B7976" w:rsidP="00790B3D">
            <w:pPr>
              <w:jc w:val="center"/>
              <w:rPr>
                <w:b/>
                <w:sz w:val="20"/>
                <w:szCs w:val="20"/>
              </w:rPr>
            </w:pPr>
            <w:r w:rsidRPr="00790B3D">
              <w:rPr>
                <w:b/>
                <w:sz w:val="20"/>
                <w:szCs w:val="20"/>
              </w:rPr>
              <w:t>Recycled</w:t>
            </w:r>
          </w:p>
        </w:tc>
        <w:tc>
          <w:tcPr>
            <w:tcW w:w="1069" w:type="dxa"/>
            <w:vMerge/>
          </w:tcPr>
          <w:p w:rsidR="00B6714F" w:rsidRPr="00790B3D" w:rsidRDefault="00F11599" w:rsidP="00790B3D">
            <w:pPr>
              <w:rPr>
                <w:b/>
                <w:sz w:val="20"/>
                <w:szCs w:val="20"/>
              </w:rPr>
            </w:pPr>
          </w:p>
        </w:tc>
      </w:tr>
      <w:tr w:rsidR="00786520" w:rsidTr="00B6714F">
        <w:trPr>
          <w:cnfStyle w:val="000000010000"/>
        </w:trPr>
        <w:tc>
          <w:tcPr>
            <w:tcW w:w="1951" w:type="dxa"/>
            <w:shd w:val="clear" w:color="auto" w:fill="C6D9F1" w:themeFill="text2" w:themeFillTint="33"/>
            <w:vAlign w:val="bottom"/>
          </w:tcPr>
          <w:p w:rsidR="00982320" w:rsidRPr="00790B3D" w:rsidRDefault="001B7976" w:rsidP="00790B3D">
            <w:pPr>
              <w:rPr>
                <w:b/>
                <w:sz w:val="20"/>
                <w:szCs w:val="20"/>
              </w:rPr>
            </w:pPr>
            <w:r w:rsidRPr="00790B3D">
              <w:rPr>
                <w:b/>
                <w:sz w:val="20"/>
                <w:szCs w:val="20"/>
              </w:rPr>
              <w:t>DHL Supply Chain</w:t>
            </w:r>
          </w:p>
        </w:tc>
        <w:tc>
          <w:tcPr>
            <w:tcW w:w="1068" w:type="dxa"/>
            <w:vAlign w:val="bottom"/>
          </w:tcPr>
          <w:p w:rsidR="00982320" w:rsidRPr="00790B3D" w:rsidRDefault="001B7976" w:rsidP="00790B3D">
            <w:pPr>
              <w:jc w:val="right"/>
              <w:rPr>
                <w:sz w:val="20"/>
                <w:szCs w:val="20"/>
              </w:rPr>
            </w:pPr>
            <w:r w:rsidRPr="00790B3D">
              <w:rPr>
                <w:sz w:val="20"/>
                <w:szCs w:val="20"/>
              </w:rPr>
              <w:t>13,548</w:t>
            </w:r>
          </w:p>
        </w:tc>
        <w:tc>
          <w:tcPr>
            <w:tcW w:w="1068" w:type="dxa"/>
            <w:vAlign w:val="bottom"/>
          </w:tcPr>
          <w:p w:rsidR="00982320" w:rsidRPr="00790B3D" w:rsidRDefault="001B7976" w:rsidP="00790B3D">
            <w:pPr>
              <w:jc w:val="right"/>
              <w:rPr>
                <w:sz w:val="20"/>
                <w:szCs w:val="20"/>
              </w:rPr>
            </w:pPr>
            <w:r w:rsidRPr="00790B3D">
              <w:rPr>
                <w:sz w:val="20"/>
                <w:szCs w:val="20"/>
              </w:rPr>
              <w:t>15,868</w:t>
            </w:r>
          </w:p>
        </w:tc>
        <w:tc>
          <w:tcPr>
            <w:tcW w:w="1068" w:type="dxa"/>
            <w:vAlign w:val="bottom"/>
          </w:tcPr>
          <w:p w:rsidR="00982320" w:rsidRPr="00790B3D" w:rsidRDefault="001B7976" w:rsidP="00790B3D">
            <w:pPr>
              <w:jc w:val="right"/>
              <w:rPr>
                <w:sz w:val="20"/>
                <w:szCs w:val="20"/>
              </w:rPr>
            </w:pPr>
            <w:r w:rsidRPr="00790B3D">
              <w:rPr>
                <w:sz w:val="20"/>
                <w:szCs w:val="20"/>
              </w:rPr>
              <w:t>4,683</w:t>
            </w:r>
          </w:p>
        </w:tc>
        <w:tc>
          <w:tcPr>
            <w:tcW w:w="1068" w:type="dxa"/>
            <w:vAlign w:val="bottom"/>
          </w:tcPr>
          <w:p w:rsidR="00982320" w:rsidRPr="00790B3D" w:rsidRDefault="001B7976" w:rsidP="00790B3D">
            <w:pPr>
              <w:jc w:val="right"/>
              <w:rPr>
                <w:sz w:val="20"/>
                <w:szCs w:val="20"/>
              </w:rPr>
            </w:pPr>
            <w:r w:rsidRPr="00790B3D">
              <w:rPr>
                <w:sz w:val="20"/>
                <w:szCs w:val="20"/>
              </w:rPr>
              <w:t>6,711</w:t>
            </w:r>
          </w:p>
        </w:tc>
        <w:tc>
          <w:tcPr>
            <w:tcW w:w="1068" w:type="dxa"/>
            <w:vAlign w:val="bottom"/>
          </w:tcPr>
          <w:p w:rsidR="00982320" w:rsidRPr="00790B3D" w:rsidRDefault="001B7976" w:rsidP="00790B3D">
            <w:pPr>
              <w:jc w:val="right"/>
              <w:rPr>
                <w:sz w:val="20"/>
                <w:szCs w:val="20"/>
              </w:rPr>
            </w:pPr>
            <w:r w:rsidRPr="00790B3D">
              <w:rPr>
                <w:sz w:val="20"/>
                <w:szCs w:val="20"/>
              </w:rPr>
              <w:t>18,231</w:t>
            </w:r>
          </w:p>
        </w:tc>
        <w:tc>
          <w:tcPr>
            <w:tcW w:w="1068" w:type="dxa"/>
            <w:vAlign w:val="bottom"/>
          </w:tcPr>
          <w:p w:rsidR="00982320" w:rsidRPr="00790B3D" w:rsidRDefault="001B7976" w:rsidP="00790B3D">
            <w:pPr>
              <w:jc w:val="right"/>
              <w:rPr>
                <w:sz w:val="20"/>
                <w:szCs w:val="20"/>
              </w:rPr>
            </w:pPr>
            <w:r w:rsidRPr="00790B3D">
              <w:rPr>
                <w:sz w:val="20"/>
                <w:szCs w:val="20"/>
              </w:rPr>
              <w:t>22,579</w:t>
            </w:r>
          </w:p>
        </w:tc>
        <w:tc>
          <w:tcPr>
            <w:tcW w:w="1069" w:type="dxa"/>
            <w:vAlign w:val="bottom"/>
          </w:tcPr>
          <w:p w:rsidR="00982320" w:rsidRPr="00790B3D" w:rsidRDefault="001B7976" w:rsidP="00790B3D">
            <w:pPr>
              <w:jc w:val="right"/>
              <w:rPr>
                <w:sz w:val="20"/>
                <w:szCs w:val="20"/>
              </w:rPr>
            </w:pPr>
            <w:r w:rsidRPr="00790B3D">
              <w:rPr>
                <w:sz w:val="20"/>
                <w:szCs w:val="20"/>
              </w:rPr>
              <w:t>4,348</w:t>
            </w:r>
          </w:p>
        </w:tc>
      </w:tr>
      <w:tr w:rsidR="00786520" w:rsidTr="00B6714F">
        <w:trPr>
          <w:cnfStyle w:val="000000100000"/>
        </w:trPr>
        <w:tc>
          <w:tcPr>
            <w:tcW w:w="1951" w:type="dxa"/>
            <w:shd w:val="clear" w:color="auto" w:fill="C6D9F1" w:themeFill="text2" w:themeFillTint="33"/>
            <w:vAlign w:val="bottom"/>
          </w:tcPr>
          <w:p w:rsidR="00982320" w:rsidRPr="00790B3D" w:rsidRDefault="001B7976" w:rsidP="00790B3D">
            <w:pPr>
              <w:rPr>
                <w:b/>
                <w:sz w:val="20"/>
                <w:szCs w:val="20"/>
              </w:rPr>
            </w:pPr>
            <w:r w:rsidRPr="00790B3D">
              <w:rPr>
                <w:b/>
                <w:sz w:val="20"/>
                <w:szCs w:val="20"/>
              </w:rPr>
              <w:t>ANZRP</w:t>
            </w:r>
          </w:p>
        </w:tc>
        <w:tc>
          <w:tcPr>
            <w:tcW w:w="1068" w:type="dxa"/>
            <w:vAlign w:val="bottom"/>
          </w:tcPr>
          <w:p w:rsidR="00982320" w:rsidRPr="00790B3D" w:rsidRDefault="001B7976" w:rsidP="00790B3D">
            <w:pPr>
              <w:jc w:val="right"/>
              <w:rPr>
                <w:sz w:val="20"/>
                <w:szCs w:val="20"/>
              </w:rPr>
            </w:pPr>
            <w:r w:rsidRPr="00790B3D">
              <w:rPr>
                <w:sz w:val="20"/>
                <w:szCs w:val="20"/>
              </w:rPr>
              <w:t>2,467</w:t>
            </w:r>
          </w:p>
        </w:tc>
        <w:tc>
          <w:tcPr>
            <w:tcW w:w="1068" w:type="dxa"/>
            <w:vAlign w:val="bottom"/>
          </w:tcPr>
          <w:p w:rsidR="00982320" w:rsidRPr="00790B3D" w:rsidRDefault="001B7976" w:rsidP="00790B3D">
            <w:pPr>
              <w:jc w:val="right"/>
              <w:rPr>
                <w:sz w:val="20"/>
                <w:szCs w:val="20"/>
              </w:rPr>
            </w:pPr>
            <w:r w:rsidRPr="00790B3D">
              <w:rPr>
                <w:sz w:val="20"/>
                <w:szCs w:val="20"/>
              </w:rPr>
              <w:t>5,215</w:t>
            </w:r>
          </w:p>
        </w:tc>
        <w:tc>
          <w:tcPr>
            <w:tcW w:w="1068" w:type="dxa"/>
            <w:vAlign w:val="bottom"/>
          </w:tcPr>
          <w:p w:rsidR="00982320" w:rsidRPr="00790B3D" w:rsidRDefault="001B7976" w:rsidP="00790B3D">
            <w:pPr>
              <w:jc w:val="right"/>
              <w:rPr>
                <w:sz w:val="20"/>
                <w:szCs w:val="20"/>
              </w:rPr>
            </w:pPr>
            <w:r w:rsidRPr="00790B3D">
              <w:rPr>
                <w:sz w:val="20"/>
                <w:szCs w:val="20"/>
              </w:rPr>
              <w:t>18,987</w:t>
            </w:r>
          </w:p>
        </w:tc>
        <w:tc>
          <w:tcPr>
            <w:tcW w:w="1068" w:type="dxa"/>
            <w:vAlign w:val="bottom"/>
          </w:tcPr>
          <w:p w:rsidR="00982320" w:rsidRPr="00790B3D" w:rsidRDefault="001B7976" w:rsidP="00790B3D">
            <w:pPr>
              <w:jc w:val="right"/>
              <w:rPr>
                <w:sz w:val="20"/>
                <w:szCs w:val="20"/>
              </w:rPr>
            </w:pPr>
            <w:r w:rsidRPr="00790B3D">
              <w:rPr>
                <w:sz w:val="20"/>
                <w:szCs w:val="20"/>
              </w:rPr>
              <w:t>10,999</w:t>
            </w:r>
          </w:p>
        </w:tc>
        <w:tc>
          <w:tcPr>
            <w:tcW w:w="1068" w:type="dxa"/>
            <w:vAlign w:val="bottom"/>
          </w:tcPr>
          <w:p w:rsidR="00982320" w:rsidRPr="00790B3D" w:rsidRDefault="001B7976" w:rsidP="00790B3D">
            <w:pPr>
              <w:jc w:val="right"/>
              <w:rPr>
                <w:sz w:val="20"/>
                <w:szCs w:val="20"/>
              </w:rPr>
            </w:pPr>
            <w:r w:rsidRPr="00790B3D">
              <w:rPr>
                <w:sz w:val="20"/>
                <w:szCs w:val="20"/>
              </w:rPr>
              <w:t>21,454</w:t>
            </w:r>
          </w:p>
        </w:tc>
        <w:tc>
          <w:tcPr>
            <w:tcW w:w="1068" w:type="dxa"/>
            <w:vAlign w:val="bottom"/>
          </w:tcPr>
          <w:p w:rsidR="00982320" w:rsidRPr="00790B3D" w:rsidRDefault="001B7976" w:rsidP="00790B3D">
            <w:pPr>
              <w:jc w:val="right"/>
              <w:rPr>
                <w:sz w:val="20"/>
                <w:szCs w:val="20"/>
              </w:rPr>
            </w:pPr>
            <w:r w:rsidRPr="00790B3D">
              <w:rPr>
                <w:sz w:val="20"/>
                <w:szCs w:val="20"/>
              </w:rPr>
              <w:t>16,215</w:t>
            </w:r>
          </w:p>
        </w:tc>
        <w:tc>
          <w:tcPr>
            <w:tcW w:w="1069" w:type="dxa"/>
            <w:vAlign w:val="bottom"/>
          </w:tcPr>
          <w:p w:rsidR="00982320" w:rsidRPr="00790B3D" w:rsidRDefault="001B7976" w:rsidP="00790B3D">
            <w:pPr>
              <w:jc w:val="right"/>
              <w:rPr>
                <w:sz w:val="20"/>
                <w:szCs w:val="20"/>
              </w:rPr>
            </w:pPr>
            <w:r w:rsidRPr="00790B3D">
              <w:rPr>
                <w:sz w:val="20"/>
                <w:szCs w:val="20"/>
              </w:rPr>
              <w:t>–5,239</w:t>
            </w:r>
          </w:p>
        </w:tc>
      </w:tr>
      <w:tr w:rsidR="00786520" w:rsidTr="00B6714F">
        <w:trPr>
          <w:cnfStyle w:val="000000010000"/>
        </w:trPr>
        <w:tc>
          <w:tcPr>
            <w:tcW w:w="1951" w:type="dxa"/>
            <w:shd w:val="clear" w:color="auto" w:fill="C6D9F1" w:themeFill="text2" w:themeFillTint="33"/>
            <w:vAlign w:val="bottom"/>
          </w:tcPr>
          <w:p w:rsidR="00982320" w:rsidRPr="00790B3D" w:rsidRDefault="001B7976" w:rsidP="00790B3D">
            <w:pPr>
              <w:rPr>
                <w:b/>
                <w:sz w:val="20"/>
                <w:szCs w:val="20"/>
              </w:rPr>
            </w:pPr>
            <w:r w:rsidRPr="00790B3D">
              <w:rPr>
                <w:b/>
                <w:sz w:val="20"/>
                <w:szCs w:val="20"/>
              </w:rPr>
              <w:t>E-Cycle Solutions</w:t>
            </w:r>
          </w:p>
        </w:tc>
        <w:tc>
          <w:tcPr>
            <w:tcW w:w="1068" w:type="dxa"/>
            <w:vAlign w:val="bottom"/>
          </w:tcPr>
          <w:p w:rsidR="00982320" w:rsidRPr="00790B3D" w:rsidRDefault="001B7976" w:rsidP="00790B3D">
            <w:pPr>
              <w:jc w:val="right"/>
              <w:rPr>
                <w:sz w:val="20"/>
                <w:szCs w:val="20"/>
              </w:rPr>
            </w:pPr>
            <w:r w:rsidRPr="00790B3D">
              <w:rPr>
                <w:sz w:val="20"/>
                <w:szCs w:val="20"/>
              </w:rPr>
              <w:t>1,642</w:t>
            </w:r>
          </w:p>
        </w:tc>
        <w:tc>
          <w:tcPr>
            <w:tcW w:w="1068" w:type="dxa"/>
            <w:vAlign w:val="bottom"/>
          </w:tcPr>
          <w:p w:rsidR="00982320" w:rsidRPr="00790B3D" w:rsidRDefault="001B7976" w:rsidP="00790B3D">
            <w:pPr>
              <w:jc w:val="right"/>
              <w:rPr>
                <w:sz w:val="20"/>
                <w:szCs w:val="20"/>
              </w:rPr>
            </w:pPr>
            <w:r w:rsidRPr="00790B3D">
              <w:rPr>
                <w:sz w:val="20"/>
                <w:szCs w:val="20"/>
              </w:rPr>
              <w:t>2,019</w:t>
            </w:r>
          </w:p>
        </w:tc>
        <w:tc>
          <w:tcPr>
            <w:tcW w:w="1068" w:type="dxa"/>
            <w:vAlign w:val="bottom"/>
          </w:tcPr>
          <w:p w:rsidR="00982320" w:rsidRPr="00790B3D" w:rsidRDefault="001B7976" w:rsidP="00790B3D">
            <w:pPr>
              <w:jc w:val="right"/>
              <w:rPr>
                <w:sz w:val="20"/>
                <w:szCs w:val="20"/>
              </w:rPr>
            </w:pPr>
            <w:r w:rsidRPr="00790B3D">
              <w:rPr>
                <w:sz w:val="20"/>
                <w:szCs w:val="20"/>
              </w:rPr>
              <w:t>NA</w:t>
            </w:r>
          </w:p>
        </w:tc>
        <w:tc>
          <w:tcPr>
            <w:tcW w:w="1068" w:type="dxa"/>
            <w:vAlign w:val="bottom"/>
          </w:tcPr>
          <w:p w:rsidR="00982320" w:rsidRPr="00790B3D" w:rsidRDefault="001B7976" w:rsidP="00790B3D">
            <w:pPr>
              <w:jc w:val="right"/>
              <w:rPr>
                <w:sz w:val="20"/>
                <w:szCs w:val="20"/>
              </w:rPr>
            </w:pPr>
            <w:r w:rsidRPr="00790B3D">
              <w:rPr>
                <w:sz w:val="20"/>
                <w:szCs w:val="20"/>
              </w:rPr>
              <w:t>NA**</w:t>
            </w:r>
          </w:p>
        </w:tc>
        <w:tc>
          <w:tcPr>
            <w:tcW w:w="1068" w:type="dxa"/>
            <w:vAlign w:val="bottom"/>
          </w:tcPr>
          <w:p w:rsidR="00982320" w:rsidRPr="00790B3D" w:rsidRDefault="001B7976" w:rsidP="00790B3D">
            <w:pPr>
              <w:jc w:val="right"/>
              <w:rPr>
                <w:sz w:val="20"/>
                <w:szCs w:val="20"/>
              </w:rPr>
            </w:pPr>
            <w:r w:rsidRPr="00790B3D">
              <w:rPr>
                <w:sz w:val="20"/>
                <w:szCs w:val="20"/>
              </w:rPr>
              <w:t>1,642</w:t>
            </w:r>
          </w:p>
        </w:tc>
        <w:tc>
          <w:tcPr>
            <w:tcW w:w="1068" w:type="dxa"/>
            <w:vAlign w:val="bottom"/>
          </w:tcPr>
          <w:p w:rsidR="00982320" w:rsidRPr="00790B3D" w:rsidRDefault="001B7976" w:rsidP="00790B3D">
            <w:pPr>
              <w:jc w:val="right"/>
              <w:rPr>
                <w:sz w:val="20"/>
                <w:szCs w:val="20"/>
              </w:rPr>
            </w:pPr>
            <w:r w:rsidRPr="00790B3D">
              <w:rPr>
                <w:sz w:val="20"/>
                <w:szCs w:val="20"/>
              </w:rPr>
              <w:t>2,019</w:t>
            </w:r>
          </w:p>
        </w:tc>
        <w:tc>
          <w:tcPr>
            <w:tcW w:w="1069" w:type="dxa"/>
            <w:vAlign w:val="bottom"/>
          </w:tcPr>
          <w:p w:rsidR="00982320" w:rsidRPr="00790B3D" w:rsidRDefault="001B7976" w:rsidP="00790B3D">
            <w:pPr>
              <w:jc w:val="right"/>
              <w:rPr>
                <w:sz w:val="20"/>
                <w:szCs w:val="20"/>
              </w:rPr>
            </w:pPr>
            <w:r w:rsidRPr="00790B3D">
              <w:rPr>
                <w:sz w:val="20"/>
                <w:szCs w:val="20"/>
              </w:rPr>
              <w:t>377</w:t>
            </w:r>
          </w:p>
        </w:tc>
      </w:tr>
      <w:tr w:rsidR="00786520" w:rsidTr="00B6714F">
        <w:trPr>
          <w:cnfStyle w:val="000000100000"/>
        </w:trPr>
        <w:tc>
          <w:tcPr>
            <w:tcW w:w="1951" w:type="dxa"/>
            <w:shd w:val="clear" w:color="auto" w:fill="C6D9F1" w:themeFill="text2" w:themeFillTint="33"/>
            <w:vAlign w:val="bottom"/>
          </w:tcPr>
          <w:p w:rsidR="00F830E0" w:rsidRPr="00790B3D" w:rsidRDefault="001B7976" w:rsidP="00790B3D">
            <w:pPr>
              <w:rPr>
                <w:b/>
                <w:sz w:val="20"/>
                <w:szCs w:val="20"/>
              </w:rPr>
            </w:pPr>
            <w:r w:rsidRPr="00790B3D">
              <w:rPr>
                <w:b/>
                <w:sz w:val="20"/>
                <w:szCs w:val="20"/>
              </w:rPr>
              <w:t>Total</w:t>
            </w:r>
          </w:p>
        </w:tc>
        <w:tc>
          <w:tcPr>
            <w:tcW w:w="1068" w:type="dxa"/>
            <w:vAlign w:val="bottom"/>
          </w:tcPr>
          <w:p w:rsidR="00F830E0" w:rsidRPr="00790B3D" w:rsidRDefault="001B7976" w:rsidP="00790B3D">
            <w:pPr>
              <w:jc w:val="right"/>
              <w:rPr>
                <w:sz w:val="20"/>
                <w:szCs w:val="20"/>
              </w:rPr>
            </w:pPr>
            <w:r w:rsidRPr="00790B3D">
              <w:rPr>
                <w:sz w:val="20"/>
                <w:szCs w:val="20"/>
              </w:rPr>
              <w:t>17,657</w:t>
            </w:r>
          </w:p>
        </w:tc>
        <w:tc>
          <w:tcPr>
            <w:tcW w:w="1068" w:type="dxa"/>
            <w:vAlign w:val="bottom"/>
          </w:tcPr>
          <w:p w:rsidR="00F830E0" w:rsidRPr="00790B3D" w:rsidRDefault="001B7976" w:rsidP="00790B3D">
            <w:pPr>
              <w:jc w:val="right"/>
              <w:rPr>
                <w:sz w:val="20"/>
                <w:szCs w:val="20"/>
              </w:rPr>
            </w:pPr>
            <w:r w:rsidRPr="00790B3D">
              <w:rPr>
                <w:sz w:val="20"/>
                <w:szCs w:val="20"/>
              </w:rPr>
              <w:t>23,103</w:t>
            </w:r>
          </w:p>
        </w:tc>
        <w:tc>
          <w:tcPr>
            <w:tcW w:w="1068" w:type="dxa"/>
            <w:vAlign w:val="bottom"/>
          </w:tcPr>
          <w:p w:rsidR="00F830E0" w:rsidRPr="00790B3D" w:rsidRDefault="001B7976" w:rsidP="00790B3D">
            <w:pPr>
              <w:jc w:val="right"/>
              <w:rPr>
                <w:sz w:val="20"/>
                <w:szCs w:val="20"/>
              </w:rPr>
            </w:pPr>
            <w:r w:rsidRPr="00790B3D">
              <w:rPr>
                <w:sz w:val="20"/>
                <w:szCs w:val="20"/>
              </w:rPr>
              <w:t>23,670</w:t>
            </w:r>
          </w:p>
        </w:tc>
        <w:tc>
          <w:tcPr>
            <w:tcW w:w="1068" w:type="dxa"/>
            <w:vAlign w:val="bottom"/>
          </w:tcPr>
          <w:p w:rsidR="00F830E0" w:rsidRPr="00790B3D" w:rsidRDefault="001B7976" w:rsidP="00790B3D">
            <w:pPr>
              <w:jc w:val="right"/>
              <w:rPr>
                <w:sz w:val="20"/>
                <w:szCs w:val="20"/>
              </w:rPr>
            </w:pPr>
            <w:r w:rsidRPr="00790B3D">
              <w:rPr>
                <w:sz w:val="20"/>
                <w:szCs w:val="20"/>
              </w:rPr>
              <w:t>17,710</w:t>
            </w:r>
          </w:p>
        </w:tc>
        <w:tc>
          <w:tcPr>
            <w:tcW w:w="1068" w:type="dxa"/>
            <w:vAlign w:val="bottom"/>
          </w:tcPr>
          <w:p w:rsidR="00F830E0" w:rsidRPr="00790B3D" w:rsidRDefault="001B7976" w:rsidP="00790B3D">
            <w:pPr>
              <w:jc w:val="right"/>
              <w:rPr>
                <w:sz w:val="20"/>
                <w:szCs w:val="20"/>
              </w:rPr>
            </w:pPr>
            <w:r w:rsidRPr="00790B3D">
              <w:rPr>
                <w:sz w:val="20"/>
                <w:szCs w:val="20"/>
              </w:rPr>
              <w:t>41,327</w:t>
            </w:r>
          </w:p>
        </w:tc>
        <w:tc>
          <w:tcPr>
            <w:tcW w:w="1068" w:type="dxa"/>
            <w:vAlign w:val="bottom"/>
          </w:tcPr>
          <w:p w:rsidR="00F830E0" w:rsidRPr="00790B3D" w:rsidRDefault="001B7976" w:rsidP="00790B3D">
            <w:pPr>
              <w:jc w:val="right"/>
              <w:rPr>
                <w:sz w:val="20"/>
                <w:szCs w:val="20"/>
              </w:rPr>
            </w:pPr>
            <w:r w:rsidRPr="00790B3D">
              <w:rPr>
                <w:sz w:val="20"/>
                <w:szCs w:val="20"/>
              </w:rPr>
              <w:t>40,813</w:t>
            </w:r>
          </w:p>
        </w:tc>
        <w:tc>
          <w:tcPr>
            <w:tcW w:w="1069" w:type="dxa"/>
            <w:vAlign w:val="bottom"/>
          </w:tcPr>
          <w:p w:rsidR="00F830E0" w:rsidRPr="00790B3D" w:rsidRDefault="001B7976" w:rsidP="00790B3D">
            <w:pPr>
              <w:jc w:val="right"/>
              <w:rPr>
                <w:sz w:val="20"/>
                <w:szCs w:val="20"/>
              </w:rPr>
            </w:pPr>
            <w:r w:rsidRPr="00790B3D">
              <w:rPr>
                <w:sz w:val="20"/>
                <w:szCs w:val="20"/>
              </w:rPr>
              <w:t>NA</w:t>
            </w:r>
          </w:p>
        </w:tc>
      </w:tr>
    </w:tbl>
    <w:p w:rsidR="00B23660" w:rsidRPr="00B23660" w:rsidRDefault="001B7976" w:rsidP="00B23660">
      <w:pPr>
        <w:rPr>
          <w:sz w:val="18"/>
          <w:szCs w:val="18"/>
        </w:rPr>
      </w:pPr>
      <w:r w:rsidRPr="00B23660">
        <w:rPr>
          <w:sz w:val="18"/>
          <w:szCs w:val="18"/>
        </w:rPr>
        <w:t>*All figures are rounded to the nearest tonne</w:t>
      </w:r>
    </w:p>
    <w:p w:rsidR="00B23660" w:rsidRPr="00B23660" w:rsidRDefault="001B7976" w:rsidP="00C751C2">
      <w:pPr>
        <w:rPr>
          <w:sz w:val="18"/>
          <w:szCs w:val="18"/>
        </w:rPr>
      </w:pPr>
      <w:r w:rsidRPr="00B23660">
        <w:rPr>
          <w:sz w:val="18"/>
          <w:szCs w:val="18"/>
        </w:rPr>
        <w:t>**Recycling of 335 tonnes of computers reported by E-Cycle Solutions for 2012–13 has been excluded from scheme data because E-Cycle did not have a recycling target for computers</w:t>
      </w:r>
    </w:p>
    <w:p w:rsidR="00406628" w:rsidRDefault="001B7976">
      <w:pPr>
        <w:spacing w:after="0" w:line="240" w:lineRule="auto"/>
        <w:rPr>
          <w:rFonts w:cs="Arial"/>
          <w:b/>
        </w:rPr>
      </w:pPr>
      <w:r>
        <w:br w:type="page"/>
      </w:r>
    </w:p>
    <w:p w:rsidR="006C2A2D" w:rsidRDefault="001B7976" w:rsidP="00CC2403">
      <w:pPr>
        <w:pStyle w:val="Heading2"/>
      </w:pPr>
      <w:bookmarkStart w:id="45" w:name="_Toc256000050"/>
      <w:bookmarkStart w:id="46" w:name="_Toc256000037"/>
      <w:bookmarkStart w:id="47" w:name="_Toc256000024"/>
      <w:bookmarkStart w:id="48" w:name="_Toc256000011"/>
      <w:bookmarkStart w:id="49" w:name="_Toc380491879"/>
      <w:r>
        <w:lastRenderedPageBreak/>
        <w:t>Provision of e-waste collection services</w:t>
      </w:r>
      <w:bookmarkEnd w:id="45"/>
      <w:bookmarkEnd w:id="46"/>
      <w:bookmarkEnd w:id="47"/>
      <w:bookmarkEnd w:id="48"/>
      <w:bookmarkEnd w:id="49"/>
      <w:r>
        <w:t xml:space="preserve"> </w:t>
      </w:r>
    </w:p>
    <w:p w:rsidR="00E24056" w:rsidRDefault="00090FCD" w:rsidP="004A7737">
      <w:pPr>
        <w:rPr>
          <w:rFonts w:ascii="Calibri" w:hAnsi="Calibri" w:cs="Arial"/>
          <w:lang w:eastAsia="en-AU"/>
        </w:rPr>
      </w:pPr>
      <w:r w:rsidRPr="00090FCD">
        <w:rPr>
          <w:rFonts w:ascii="Calibri" w:hAnsi="Calibri"/>
          <w:bCs/>
        </w:rPr>
      </w:r>
      <w:r w:rsidR="00F11599" w:rsidRPr="00090FCD">
        <w:rPr>
          <w:rFonts w:ascii="Calibri" w:hAnsi="Calibri"/>
          <w:bCs/>
        </w:rPr>
        <w:pict>
          <v:shape id="_x0000_s1027" type="#_x0000_t202" style="width:391.9pt;height:27.3pt;mso-wrap-style:none;mso-left-percent:-10001;mso-top-percent:-10001;mso-position-horizontal:absolute;mso-position-horizontal-relative:char;mso-position-vertical:absolute;mso-position-vertical-relative:line;mso-left-percent:-10001;mso-top-percent:-10001">
            <v:textbox>
              <w:txbxContent>
                <w:p w:rsidR="001B4C94" w:rsidRPr="004F5A3E" w:rsidRDefault="001B7976" w:rsidP="00E24056">
                  <w:pPr>
                    <w:pStyle w:val="ListBullet"/>
                    <w:rPr>
                      <w:b/>
                      <w:bCs/>
                    </w:rPr>
                  </w:pPr>
                  <w:r>
                    <w:rPr>
                      <w:rFonts w:ascii="Calibri" w:hAnsi="Calibri"/>
                      <w:b/>
                      <w:bCs/>
                    </w:rPr>
                    <w:t>A total of 635 collection services were provided under the Scheme in 2012-13</w:t>
                  </w:r>
                </w:p>
              </w:txbxContent>
            </v:textbox>
            <w10:wrap type="none"/>
            <w10:anchorlock/>
          </v:shape>
        </w:pict>
      </w:r>
    </w:p>
    <w:p w:rsidR="003D63CD" w:rsidRDefault="001B7976" w:rsidP="00FC3027">
      <w:pPr>
        <w:rPr>
          <w:rFonts w:ascii="Calibri" w:hAnsi="Calibri" w:cs="Arial"/>
          <w:lang w:eastAsia="en-AU"/>
        </w:rPr>
      </w:pPr>
      <w:r w:rsidRPr="00FC3027">
        <w:rPr>
          <w:rFonts w:ascii="Calibri" w:hAnsi="Calibri" w:cs="Arial"/>
          <w:lang w:eastAsia="en-AU"/>
        </w:rPr>
        <w:t xml:space="preserve">Each co-regulatory arrangement is required to provide access to </w:t>
      </w:r>
      <w:r>
        <w:rPr>
          <w:rFonts w:ascii="Calibri" w:hAnsi="Calibri" w:cs="Arial"/>
          <w:lang w:eastAsia="en-AU"/>
        </w:rPr>
        <w:t>collection</w:t>
      </w:r>
      <w:r w:rsidRPr="00FC3027">
        <w:rPr>
          <w:rFonts w:ascii="Calibri" w:hAnsi="Calibri" w:cs="Arial"/>
          <w:lang w:eastAsia="en-AU"/>
        </w:rPr>
        <w:t xml:space="preserve"> services for </w:t>
      </w:r>
      <w:r>
        <w:rPr>
          <w:rFonts w:ascii="Calibri" w:hAnsi="Calibri" w:cs="Arial"/>
          <w:lang w:eastAsia="en-AU"/>
        </w:rPr>
        <w:t xml:space="preserve">waste televisions and computers to </w:t>
      </w:r>
      <w:r w:rsidRPr="00FC3027">
        <w:rPr>
          <w:rFonts w:ascii="Calibri" w:hAnsi="Calibri" w:cs="Arial"/>
          <w:lang w:eastAsia="en-AU"/>
        </w:rPr>
        <w:t xml:space="preserve">communities across metropolitan, regional and rural Australia, in line with metrics described in the Regulations. A co-regulatory arrangement may do this in a variety of ways, such as by partnering with an existing recycling service or facility or holding periodic </w:t>
      </w:r>
      <w:r>
        <w:rPr>
          <w:rFonts w:ascii="Calibri" w:hAnsi="Calibri" w:cs="Arial"/>
          <w:lang w:eastAsia="en-AU"/>
        </w:rPr>
        <w:t>collection</w:t>
      </w:r>
      <w:r w:rsidRPr="00FC3027">
        <w:rPr>
          <w:rFonts w:ascii="Calibri" w:hAnsi="Calibri" w:cs="Arial"/>
          <w:lang w:eastAsia="en-AU"/>
        </w:rPr>
        <w:t xml:space="preserve"> events. Householders and small business</w:t>
      </w:r>
      <w:r>
        <w:rPr>
          <w:rFonts w:ascii="Calibri" w:hAnsi="Calibri" w:cs="Arial"/>
          <w:lang w:eastAsia="en-AU"/>
        </w:rPr>
        <w:t>es</w:t>
      </w:r>
      <w:r w:rsidRPr="00FC3027">
        <w:rPr>
          <w:rFonts w:ascii="Calibri" w:hAnsi="Calibri" w:cs="Arial"/>
          <w:lang w:eastAsia="en-AU"/>
        </w:rPr>
        <w:t xml:space="preserve"> must not be charged </w:t>
      </w:r>
      <w:r>
        <w:rPr>
          <w:rFonts w:ascii="Calibri" w:hAnsi="Calibri" w:cs="Arial"/>
          <w:lang w:eastAsia="en-AU"/>
        </w:rPr>
        <w:t>for the collection</w:t>
      </w:r>
      <w:r w:rsidRPr="00FC3027">
        <w:rPr>
          <w:rFonts w:ascii="Calibri" w:hAnsi="Calibri" w:cs="Arial"/>
          <w:lang w:eastAsia="en-AU"/>
        </w:rPr>
        <w:t xml:space="preserve"> </w:t>
      </w:r>
      <w:r>
        <w:rPr>
          <w:rFonts w:ascii="Calibri" w:hAnsi="Calibri" w:cs="Arial"/>
          <w:lang w:eastAsia="en-AU"/>
        </w:rPr>
        <w:t xml:space="preserve">of </w:t>
      </w:r>
      <w:r w:rsidRPr="00FC3027">
        <w:rPr>
          <w:rFonts w:ascii="Calibri" w:hAnsi="Calibri" w:cs="Arial"/>
          <w:lang w:eastAsia="en-AU"/>
        </w:rPr>
        <w:t xml:space="preserve">televisions, computers and computer products </w:t>
      </w:r>
      <w:r>
        <w:rPr>
          <w:rFonts w:ascii="Calibri" w:hAnsi="Calibri" w:cs="Arial"/>
          <w:lang w:eastAsia="en-AU"/>
        </w:rPr>
        <w:t>under a co-regulatory arrangement</w:t>
      </w:r>
      <w:r w:rsidRPr="00FC3027">
        <w:rPr>
          <w:rFonts w:ascii="Calibri" w:hAnsi="Calibri" w:cs="Arial"/>
          <w:lang w:eastAsia="en-AU"/>
        </w:rPr>
        <w:t>.</w:t>
      </w:r>
    </w:p>
    <w:p w:rsidR="003D63CD" w:rsidRDefault="001B7976" w:rsidP="00FC3027">
      <w:pPr>
        <w:rPr>
          <w:rFonts w:ascii="Calibri" w:hAnsi="Calibri" w:cs="Arial"/>
          <w:lang w:eastAsia="en-AU"/>
        </w:rPr>
      </w:pPr>
      <w:r>
        <w:rPr>
          <w:rFonts w:ascii="Calibri" w:hAnsi="Calibri" w:cs="Arial"/>
          <w:lang w:eastAsia="en-AU"/>
        </w:rPr>
        <w:t>The scheme’s first collection services were established in the ACT by DHL Supply Chain in May 2012. By the end of 2012–13, collection points had been established at many local government waste facilities, other transfer stations and recycling facilities and at a number of major electronics retailers. The total number of collection services provided by the three co-regulatory arrangements in each state and territory is given in Table 2, below.</w:t>
      </w:r>
    </w:p>
    <w:p w:rsidR="003B2987" w:rsidRPr="003B2987" w:rsidRDefault="001B7976" w:rsidP="003B2987">
      <w:pPr>
        <w:pStyle w:val="Caption"/>
        <w:rPr>
          <w:lang w:eastAsia="en-AU"/>
        </w:rPr>
      </w:pPr>
      <w:r>
        <w:rPr>
          <w:lang w:eastAsia="en-AU"/>
        </w:rPr>
        <w:t>Table 2: Scheme c</w:t>
      </w:r>
      <w:r w:rsidRPr="00D10276">
        <w:rPr>
          <w:lang w:eastAsia="en-AU"/>
        </w:rPr>
        <w:t xml:space="preserve">ollection </w:t>
      </w:r>
      <w:r>
        <w:rPr>
          <w:lang w:eastAsia="en-AU"/>
        </w:rPr>
        <w:t>s</w:t>
      </w:r>
      <w:r w:rsidRPr="00D10276">
        <w:rPr>
          <w:lang w:eastAsia="en-AU"/>
        </w:rPr>
        <w:t xml:space="preserve">ervices </w:t>
      </w:r>
      <w:r>
        <w:rPr>
          <w:lang w:eastAsia="en-AU"/>
        </w:rPr>
        <w:t>and weight of products collected to end June 20</w:t>
      </w:r>
      <w:r w:rsidRPr="00D10276">
        <w:rPr>
          <w:lang w:eastAsia="en-AU"/>
        </w:rPr>
        <w:t>13</w:t>
      </w:r>
      <w:r>
        <w:rPr>
          <w:lang w:eastAsia="en-AU"/>
        </w:rPr>
        <w:t xml:space="preserve"> in each state and territory</w:t>
      </w:r>
    </w:p>
    <w:tbl>
      <w:tblPr>
        <w:tblW w:w="9464" w:type="dxa"/>
        <w:tblLayout w:type="fixed"/>
        <w:tblLook w:val="04A0"/>
      </w:tblPr>
      <w:tblGrid>
        <w:gridCol w:w="5103"/>
        <w:gridCol w:w="2180"/>
        <w:gridCol w:w="2181"/>
      </w:tblGrid>
      <w:tr w:rsidR="00786520" w:rsidTr="001F0E4C">
        <w:trPr>
          <w:trHeight w:val="300"/>
        </w:trPr>
        <w:tc>
          <w:tcPr>
            <w:tcW w:w="510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0C4F61" w:rsidRPr="001F0E4C" w:rsidRDefault="001B7976" w:rsidP="001F0E4C">
            <w:pPr>
              <w:spacing w:after="0" w:line="240" w:lineRule="auto"/>
              <w:rPr>
                <w:rFonts w:eastAsia="Times New Roman" w:cs="Arial"/>
                <w:b/>
                <w:bCs/>
                <w:color w:val="000000"/>
                <w:sz w:val="20"/>
                <w:szCs w:val="20"/>
                <w:lang w:eastAsia="en-AU"/>
              </w:rPr>
            </w:pPr>
            <w:r w:rsidRPr="001F0E4C">
              <w:rPr>
                <w:rFonts w:eastAsia="Times New Roman" w:cs="Arial"/>
                <w:b/>
                <w:bCs/>
                <w:color w:val="000000"/>
                <w:sz w:val="20"/>
                <w:szCs w:val="20"/>
                <w:lang w:eastAsia="en-AU"/>
              </w:rPr>
              <w:t>State/Territory</w:t>
            </w:r>
          </w:p>
        </w:tc>
        <w:tc>
          <w:tcPr>
            <w:tcW w:w="218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0C4F61" w:rsidRPr="001F0E4C" w:rsidRDefault="001B7976" w:rsidP="001F0E4C">
            <w:pPr>
              <w:spacing w:after="0" w:line="240" w:lineRule="auto"/>
              <w:rPr>
                <w:rFonts w:eastAsia="Times New Roman" w:cs="Arial"/>
                <w:b/>
                <w:bCs/>
                <w:color w:val="000000"/>
                <w:sz w:val="20"/>
                <w:szCs w:val="20"/>
                <w:lang w:eastAsia="en-AU"/>
              </w:rPr>
            </w:pPr>
            <w:r w:rsidRPr="001F0E4C">
              <w:rPr>
                <w:rFonts w:eastAsia="Times New Roman" w:cs="Arial"/>
                <w:b/>
                <w:bCs/>
                <w:color w:val="000000"/>
                <w:sz w:val="20"/>
                <w:szCs w:val="20"/>
                <w:lang w:eastAsia="en-AU"/>
              </w:rPr>
              <w:t>Number of services provided</w:t>
            </w:r>
          </w:p>
        </w:tc>
        <w:tc>
          <w:tcPr>
            <w:tcW w:w="218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C4F61" w:rsidRPr="001F0E4C" w:rsidRDefault="001B7976" w:rsidP="001F0E4C">
            <w:pPr>
              <w:spacing w:after="0" w:line="240" w:lineRule="auto"/>
              <w:rPr>
                <w:rFonts w:eastAsia="Times New Roman" w:cs="Arial"/>
                <w:b/>
                <w:bCs/>
                <w:color w:val="000000"/>
                <w:sz w:val="20"/>
                <w:szCs w:val="20"/>
                <w:lang w:eastAsia="en-AU"/>
              </w:rPr>
            </w:pPr>
            <w:r w:rsidRPr="001F0E4C">
              <w:rPr>
                <w:rFonts w:eastAsia="Times New Roman" w:cs="Arial"/>
                <w:b/>
                <w:bCs/>
                <w:color w:val="000000"/>
                <w:sz w:val="20"/>
                <w:szCs w:val="20"/>
                <w:lang w:eastAsia="en-AU"/>
              </w:rPr>
              <w:t>Total collected weight (tonnes)*</w:t>
            </w:r>
          </w:p>
        </w:tc>
      </w:tr>
      <w:tr w:rsidR="00786520" w:rsidTr="001F0E4C">
        <w:trPr>
          <w:trHeight w:val="555"/>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F61" w:rsidRPr="001F0E4C" w:rsidRDefault="001B7976" w:rsidP="001F0E4C">
            <w:pPr>
              <w:spacing w:after="0" w:line="240" w:lineRule="auto"/>
              <w:rPr>
                <w:rFonts w:eastAsia="Times New Roman" w:cs="Arial"/>
                <w:color w:val="000000"/>
                <w:sz w:val="20"/>
                <w:szCs w:val="20"/>
                <w:lang w:eastAsia="en-AU"/>
              </w:rPr>
            </w:pPr>
            <w:r w:rsidRPr="001F0E4C">
              <w:rPr>
                <w:rFonts w:eastAsia="Times New Roman" w:cs="Arial"/>
                <w:color w:val="000000"/>
                <w:sz w:val="20"/>
                <w:szCs w:val="20"/>
                <w:lang w:eastAsia="en-AU"/>
              </w:rPr>
              <w:t>Australian Capital Territory</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F61" w:rsidRPr="001F0E4C" w:rsidRDefault="001B7976" w:rsidP="001F0E4C">
            <w:pPr>
              <w:spacing w:after="0" w:line="240" w:lineRule="auto"/>
              <w:jc w:val="right"/>
              <w:rPr>
                <w:rFonts w:eastAsia="Times New Roman" w:cs="Arial"/>
                <w:color w:val="000000"/>
                <w:sz w:val="20"/>
                <w:szCs w:val="20"/>
                <w:lang w:eastAsia="en-AU"/>
              </w:rPr>
            </w:pPr>
            <w:r w:rsidRPr="001F0E4C">
              <w:rPr>
                <w:rFonts w:eastAsia="Times New Roman" w:cs="Arial"/>
                <w:color w:val="000000"/>
                <w:sz w:val="20"/>
                <w:szCs w:val="20"/>
                <w:lang w:eastAsia="en-AU"/>
              </w:rPr>
              <w:t>7</w:t>
            </w:r>
          </w:p>
        </w:tc>
        <w:tc>
          <w:tcPr>
            <w:tcW w:w="2181" w:type="dxa"/>
            <w:tcBorders>
              <w:top w:val="single" w:sz="4" w:space="0" w:color="auto"/>
              <w:left w:val="single" w:sz="4" w:space="0" w:color="auto"/>
              <w:bottom w:val="single" w:sz="4" w:space="0" w:color="auto"/>
              <w:right w:val="single" w:sz="4" w:space="0" w:color="auto"/>
            </w:tcBorders>
            <w:vAlign w:val="bottom"/>
          </w:tcPr>
          <w:p w:rsidR="000C4F61" w:rsidRPr="001F0E4C" w:rsidRDefault="001B7976" w:rsidP="001F0E4C">
            <w:pPr>
              <w:spacing w:after="0" w:line="240" w:lineRule="auto"/>
              <w:jc w:val="right"/>
              <w:rPr>
                <w:rFonts w:eastAsia="Times New Roman" w:cs="Arial"/>
                <w:color w:val="000000"/>
                <w:sz w:val="20"/>
                <w:szCs w:val="20"/>
                <w:lang w:eastAsia="en-AU"/>
              </w:rPr>
            </w:pPr>
            <w:r w:rsidRPr="001F0E4C">
              <w:rPr>
                <w:rFonts w:eastAsia="Times New Roman" w:cs="Arial"/>
                <w:color w:val="000000"/>
                <w:sz w:val="20"/>
                <w:szCs w:val="20"/>
                <w:lang w:eastAsia="en-AU"/>
              </w:rPr>
              <w:t>3,279.25</w:t>
            </w:r>
          </w:p>
        </w:tc>
      </w:tr>
      <w:tr w:rsidR="00786520" w:rsidTr="001F0E4C">
        <w:trPr>
          <w:trHeight w:val="555"/>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F61" w:rsidRPr="001F0E4C" w:rsidRDefault="001B7976" w:rsidP="001F0E4C">
            <w:pPr>
              <w:spacing w:after="0" w:line="240" w:lineRule="auto"/>
              <w:rPr>
                <w:rFonts w:eastAsia="Times New Roman" w:cs="Arial"/>
                <w:color w:val="000000"/>
                <w:sz w:val="20"/>
                <w:szCs w:val="20"/>
                <w:lang w:eastAsia="en-AU"/>
              </w:rPr>
            </w:pPr>
            <w:r w:rsidRPr="001F0E4C">
              <w:rPr>
                <w:rFonts w:eastAsia="Times New Roman" w:cs="Arial"/>
                <w:color w:val="000000"/>
                <w:sz w:val="20"/>
                <w:szCs w:val="20"/>
                <w:lang w:eastAsia="en-AU"/>
              </w:rPr>
              <w:t>New South Wales</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F61" w:rsidRPr="001F0E4C" w:rsidRDefault="001B7976" w:rsidP="001F0E4C">
            <w:pPr>
              <w:spacing w:after="0" w:line="240" w:lineRule="auto"/>
              <w:jc w:val="right"/>
              <w:rPr>
                <w:rFonts w:eastAsia="Times New Roman" w:cs="Arial"/>
                <w:color w:val="000000"/>
                <w:sz w:val="20"/>
                <w:szCs w:val="20"/>
                <w:lang w:eastAsia="en-AU"/>
              </w:rPr>
            </w:pPr>
            <w:r w:rsidRPr="001F0E4C">
              <w:rPr>
                <w:rFonts w:eastAsia="Times New Roman" w:cs="Arial"/>
                <w:color w:val="000000"/>
                <w:sz w:val="20"/>
                <w:szCs w:val="20"/>
                <w:lang w:eastAsia="en-AU"/>
              </w:rPr>
              <w:t>165</w:t>
            </w:r>
          </w:p>
        </w:tc>
        <w:tc>
          <w:tcPr>
            <w:tcW w:w="2181" w:type="dxa"/>
            <w:tcBorders>
              <w:top w:val="single" w:sz="4" w:space="0" w:color="auto"/>
              <w:left w:val="single" w:sz="4" w:space="0" w:color="auto"/>
              <w:bottom w:val="single" w:sz="4" w:space="0" w:color="auto"/>
              <w:right w:val="single" w:sz="4" w:space="0" w:color="auto"/>
            </w:tcBorders>
            <w:vAlign w:val="bottom"/>
          </w:tcPr>
          <w:p w:rsidR="000C4F61" w:rsidRPr="001F0E4C" w:rsidRDefault="001B7976" w:rsidP="001F0E4C">
            <w:pPr>
              <w:spacing w:after="0" w:line="240" w:lineRule="auto"/>
              <w:jc w:val="right"/>
              <w:rPr>
                <w:rFonts w:eastAsia="Times New Roman" w:cs="Arial"/>
                <w:color w:val="000000"/>
                <w:sz w:val="20"/>
                <w:szCs w:val="20"/>
                <w:lang w:eastAsia="en-AU"/>
              </w:rPr>
            </w:pPr>
            <w:r w:rsidRPr="001F0E4C">
              <w:rPr>
                <w:rFonts w:eastAsia="Times New Roman" w:cs="Arial"/>
                <w:color w:val="000000"/>
                <w:sz w:val="20"/>
                <w:szCs w:val="20"/>
                <w:lang w:eastAsia="en-AU"/>
              </w:rPr>
              <w:t>10,584.93</w:t>
            </w:r>
          </w:p>
        </w:tc>
      </w:tr>
      <w:tr w:rsidR="00786520" w:rsidTr="001F0E4C">
        <w:trPr>
          <w:trHeight w:val="555"/>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F61" w:rsidRPr="001F0E4C" w:rsidRDefault="001B7976" w:rsidP="001F0E4C">
            <w:pPr>
              <w:spacing w:after="0" w:line="240" w:lineRule="auto"/>
              <w:rPr>
                <w:rFonts w:eastAsia="Times New Roman" w:cs="Arial"/>
                <w:color w:val="000000"/>
                <w:sz w:val="20"/>
                <w:szCs w:val="20"/>
                <w:lang w:eastAsia="en-AU"/>
              </w:rPr>
            </w:pPr>
            <w:r w:rsidRPr="001F0E4C">
              <w:rPr>
                <w:rFonts w:eastAsia="Times New Roman" w:cs="Arial"/>
                <w:color w:val="000000"/>
                <w:sz w:val="20"/>
                <w:szCs w:val="20"/>
                <w:lang w:eastAsia="en-AU"/>
              </w:rPr>
              <w:t>Northern Territory</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F61" w:rsidRPr="001F0E4C" w:rsidRDefault="001B7976" w:rsidP="001F0E4C">
            <w:pPr>
              <w:spacing w:after="0" w:line="240" w:lineRule="auto"/>
              <w:jc w:val="right"/>
              <w:rPr>
                <w:rFonts w:eastAsia="Times New Roman" w:cs="Arial"/>
                <w:color w:val="000000"/>
                <w:sz w:val="20"/>
                <w:szCs w:val="20"/>
                <w:lang w:eastAsia="en-AU"/>
              </w:rPr>
            </w:pPr>
            <w:r w:rsidRPr="001F0E4C">
              <w:rPr>
                <w:rFonts w:eastAsia="Times New Roman" w:cs="Arial"/>
                <w:color w:val="000000"/>
                <w:sz w:val="20"/>
                <w:szCs w:val="20"/>
                <w:lang w:eastAsia="en-AU"/>
              </w:rPr>
              <w:t>4</w:t>
            </w:r>
          </w:p>
        </w:tc>
        <w:tc>
          <w:tcPr>
            <w:tcW w:w="2181" w:type="dxa"/>
            <w:tcBorders>
              <w:top w:val="single" w:sz="4" w:space="0" w:color="auto"/>
              <w:left w:val="single" w:sz="4" w:space="0" w:color="auto"/>
              <w:bottom w:val="single" w:sz="4" w:space="0" w:color="auto"/>
              <w:right w:val="single" w:sz="4" w:space="0" w:color="auto"/>
            </w:tcBorders>
            <w:vAlign w:val="bottom"/>
          </w:tcPr>
          <w:p w:rsidR="000C4F61" w:rsidRPr="001F0E4C" w:rsidRDefault="001B7976" w:rsidP="001F0E4C">
            <w:pPr>
              <w:spacing w:after="0" w:line="240" w:lineRule="auto"/>
              <w:jc w:val="right"/>
              <w:rPr>
                <w:rFonts w:eastAsia="Times New Roman" w:cs="Arial"/>
                <w:color w:val="000000"/>
                <w:sz w:val="20"/>
                <w:szCs w:val="20"/>
                <w:lang w:eastAsia="en-AU"/>
              </w:rPr>
            </w:pPr>
            <w:r w:rsidRPr="001F0E4C">
              <w:rPr>
                <w:rFonts w:eastAsia="Times New Roman" w:cs="Arial"/>
                <w:color w:val="000000"/>
                <w:sz w:val="20"/>
                <w:szCs w:val="20"/>
                <w:lang w:eastAsia="en-AU"/>
              </w:rPr>
              <w:t>4.44</w:t>
            </w:r>
          </w:p>
        </w:tc>
      </w:tr>
      <w:tr w:rsidR="00786520" w:rsidTr="001F0E4C">
        <w:trPr>
          <w:trHeight w:val="555"/>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F61" w:rsidRPr="001F0E4C" w:rsidRDefault="001B7976" w:rsidP="001F0E4C">
            <w:pPr>
              <w:spacing w:after="0" w:line="240" w:lineRule="auto"/>
              <w:rPr>
                <w:rFonts w:eastAsia="Times New Roman" w:cs="Arial"/>
                <w:color w:val="000000"/>
                <w:sz w:val="20"/>
                <w:szCs w:val="20"/>
                <w:lang w:eastAsia="en-AU"/>
              </w:rPr>
            </w:pPr>
            <w:r w:rsidRPr="001F0E4C">
              <w:rPr>
                <w:rFonts w:eastAsia="Times New Roman" w:cs="Arial"/>
                <w:color w:val="000000"/>
                <w:sz w:val="20"/>
                <w:szCs w:val="20"/>
                <w:lang w:eastAsia="en-AU"/>
              </w:rPr>
              <w:t>Queensland</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F61" w:rsidRPr="001F0E4C" w:rsidRDefault="001B7976" w:rsidP="001F0E4C">
            <w:pPr>
              <w:spacing w:after="0" w:line="240" w:lineRule="auto"/>
              <w:jc w:val="right"/>
              <w:rPr>
                <w:rFonts w:eastAsia="Times New Roman" w:cs="Arial"/>
                <w:color w:val="000000"/>
                <w:sz w:val="20"/>
                <w:szCs w:val="20"/>
                <w:lang w:eastAsia="en-AU"/>
              </w:rPr>
            </w:pPr>
            <w:r w:rsidRPr="001F0E4C">
              <w:rPr>
                <w:rFonts w:eastAsia="Times New Roman" w:cs="Arial"/>
                <w:color w:val="000000"/>
                <w:sz w:val="20"/>
                <w:szCs w:val="20"/>
                <w:lang w:eastAsia="en-AU"/>
              </w:rPr>
              <w:t>105</w:t>
            </w:r>
          </w:p>
        </w:tc>
        <w:tc>
          <w:tcPr>
            <w:tcW w:w="2181" w:type="dxa"/>
            <w:tcBorders>
              <w:top w:val="single" w:sz="4" w:space="0" w:color="auto"/>
              <w:left w:val="single" w:sz="4" w:space="0" w:color="auto"/>
              <w:bottom w:val="single" w:sz="4" w:space="0" w:color="auto"/>
              <w:right w:val="single" w:sz="4" w:space="0" w:color="auto"/>
            </w:tcBorders>
            <w:vAlign w:val="bottom"/>
          </w:tcPr>
          <w:p w:rsidR="000C4F61" w:rsidRPr="001F0E4C" w:rsidRDefault="001B7976" w:rsidP="001F0E4C">
            <w:pPr>
              <w:spacing w:after="0" w:line="240" w:lineRule="auto"/>
              <w:jc w:val="right"/>
              <w:rPr>
                <w:rFonts w:eastAsia="Times New Roman" w:cs="Arial"/>
                <w:color w:val="000000"/>
                <w:sz w:val="20"/>
                <w:szCs w:val="20"/>
                <w:lang w:eastAsia="en-AU"/>
              </w:rPr>
            </w:pPr>
            <w:r w:rsidRPr="001F0E4C">
              <w:rPr>
                <w:rFonts w:eastAsia="Times New Roman" w:cs="Arial"/>
                <w:color w:val="000000"/>
                <w:sz w:val="20"/>
                <w:szCs w:val="20"/>
                <w:lang w:eastAsia="en-AU"/>
              </w:rPr>
              <w:t>3,175.22</w:t>
            </w:r>
          </w:p>
        </w:tc>
      </w:tr>
      <w:tr w:rsidR="00786520" w:rsidTr="001F0E4C">
        <w:trPr>
          <w:trHeight w:val="555"/>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F61" w:rsidRPr="001F0E4C" w:rsidRDefault="001B7976" w:rsidP="001F0E4C">
            <w:pPr>
              <w:spacing w:after="0" w:line="240" w:lineRule="auto"/>
              <w:rPr>
                <w:rFonts w:eastAsia="Times New Roman" w:cs="Arial"/>
                <w:color w:val="000000"/>
                <w:sz w:val="20"/>
                <w:szCs w:val="20"/>
                <w:lang w:eastAsia="en-AU"/>
              </w:rPr>
            </w:pPr>
            <w:r w:rsidRPr="001F0E4C">
              <w:rPr>
                <w:rFonts w:eastAsia="Times New Roman" w:cs="Arial"/>
                <w:color w:val="000000"/>
                <w:sz w:val="20"/>
                <w:szCs w:val="20"/>
                <w:lang w:eastAsia="en-AU"/>
              </w:rPr>
              <w:t>South Australia</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F61" w:rsidRPr="001F0E4C" w:rsidRDefault="001B7976" w:rsidP="001F0E4C">
            <w:pPr>
              <w:spacing w:after="0" w:line="240" w:lineRule="auto"/>
              <w:jc w:val="right"/>
              <w:rPr>
                <w:rFonts w:eastAsia="Times New Roman" w:cs="Arial"/>
                <w:color w:val="000000"/>
                <w:sz w:val="20"/>
                <w:szCs w:val="20"/>
                <w:lang w:eastAsia="en-AU"/>
              </w:rPr>
            </w:pPr>
            <w:r w:rsidRPr="001F0E4C">
              <w:rPr>
                <w:rFonts w:eastAsia="Times New Roman" w:cs="Arial"/>
                <w:color w:val="000000"/>
                <w:sz w:val="20"/>
                <w:szCs w:val="20"/>
                <w:lang w:eastAsia="en-AU"/>
              </w:rPr>
              <w:t>53</w:t>
            </w:r>
          </w:p>
        </w:tc>
        <w:tc>
          <w:tcPr>
            <w:tcW w:w="2181" w:type="dxa"/>
            <w:tcBorders>
              <w:top w:val="single" w:sz="4" w:space="0" w:color="auto"/>
              <w:left w:val="single" w:sz="4" w:space="0" w:color="auto"/>
              <w:bottom w:val="single" w:sz="4" w:space="0" w:color="auto"/>
              <w:right w:val="single" w:sz="4" w:space="0" w:color="auto"/>
            </w:tcBorders>
            <w:vAlign w:val="bottom"/>
          </w:tcPr>
          <w:p w:rsidR="000C4F61" w:rsidRPr="001F0E4C" w:rsidRDefault="001B7976" w:rsidP="001F0E4C">
            <w:pPr>
              <w:spacing w:after="0" w:line="240" w:lineRule="auto"/>
              <w:jc w:val="right"/>
              <w:rPr>
                <w:rFonts w:eastAsia="Times New Roman" w:cs="Arial"/>
                <w:color w:val="000000"/>
                <w:sz w:val="20"/>
                <w:szCs w:val="20"/>
                <w:lang w:eastAsia="en-AU"/>
              </w:rPr>
            </w:pPr>
            <w:r w:rsidRPr="001F0E4C">
              <w:rPr>
                <w:rFonts w:eastAsia="Times New Roman" w:cs="Arial"/>
                <w:color w:val="000000"/>
                <w:sz w:val="20"/>
                <w:szCs w:val="20"/>
                <w:lang w:eastAsia="en-AU"/>
              </w:rPr>
              <w:t>4,759.96</w:t>
            </w:r>
          </w:p>
        </w:tc>
      </w:tr>
      <w:tr w:rsidR="00786520" w:rsidTr="001F0E4C">
        <w:trPr>
          <w:trHeight w:val="555"/>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F61" w:rsidRPr="001F0E4C" w:rsidRDefault="001B7976" w:rsidP="001F0E4C">
            <w:pPr>
              <w:spacing w:after="0" w:line="240" w:lineRule="auto"/>
              <w:rPr>
                <w:rFonts w:eastAsia="Times New Roman" w:cs="Arial"/>
                <w:color w:val="000000"/>
                <w:sz w:val="20"/>
                <w:szCs w:val="20"/>
                <w:lang w:eastAsia="en-AU"/>
              </w:rPr>
            </w:pPr>
            <w:r w:rsidRPr="001F0E4C">
              <w:rPr>
                <w:rFonts w:eastAsia="Times New Roman" w:cs="Arial"/>
                <w:color w:val="000000"/>
                <w:sz w:val="20"/>
                <w:szCs w:val="20"/>
                <w:lang w:eastAsia="en-AU"/>
              </w:rPr>
              <w:t>Tasmania</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F61" w:rsidRPr="001F0E4C" w:rsidRDefault="001B7976" w:rsidP="001F0E4C">
            <w:pPr>
              <w:spacing w:after="0" w:line="240" w:lineRule="auto"/>
              <w:jc w:val="right"/>
              <w:rPr>
                <w:rFonts w:eastAsia="Times New Roman" w:cs="Arial"/>
                <w:color w:val="000000"/>
                <w:sz w:val="20"/>
                <w:szCs w:val="20"/>
                <w:lang w:eastAsia="en-AU"/>
              </w:rPr>
            </w:pPr>
            <w:r w:rsidRPr="001F0E4C">
              <w:rPr>
                <w:rFonts w:eastAsia="Times New Roman" w:cs="Arial"/>
                <w:color w:val="000000"/>
                <w:sz w:val="20"/>
                <w:szCs w:val="20"/>
                <w:lang w:eastAsia="en-AU"/>
              </w:rPr>
              <w:t>21</w:t>
            </w:r>
          </w:p>
        </w:tc>
        <w:tc>
          <w:tcPr>
            <w:tcW w:w="2181" w:type="dxa"/>
            <w:tcBorders>
              <w:top w:val="single" w:sz="4" w:space="0" w:color="auto"/>
              <w:left w:val="single" w:sz="4" w:space="0" w:color="auto"/>
              <w:bottom w:val="single" w:sz="4" w:space="0" w:color="auto"/>
              <w:right w:val="single" w:sz="4" w:space="0" w:color="auto"/>
            </w:tcBorders>
            <w:vAlign w:val="bottom"/>
          </w:tcPr>
          <w:p w:rsidR="000C4F61" w:rsidRPr="001F0E4C" w:rsidRDefault="001B7976" w:rsidP="001F0E4C">
            <w:pPr>
              <w:spacing w:after="0" w:line="240" w:lineRule="auto"/>
              <w:jc w:val="right"/>
              <w:rPr>
                <w:rFonts w:eastAsia="Times New Roman" w:cs="Arial"/>
                <w:color w:val="000000"/>
                <w:sz w:val="20"/>
                <w:szCs w:val="20"/>
                <w:lang w:eastAsia="en-AU"/>
              </w:rPr>
            </w:pPr>
            <w:r w:rsidRPr="001F0E4C">
              <w:rPr>
                <w:rFonts w:eastAsia="Times New Roman" w:cs="Arial"/>
                <w:color w:val="000000"/>
                <w:sz w:val="20"/>
                <w:szCs w:val="20"/>
                <w:lang w:eastAsia="en-AU"/>
              </w:rPr>
              <w:t>280.95</w:t>
            </w:r>
          </w:p>
        </w:tc>
      </w:tr>
      <w:tr w:rsidR="00786520" w:rsidTr="001F0E4C">
        <w:trPr>
          <w:trHeight w:val="555"/>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F61" w:rsidRPr="001F0E4C" w:rsidRDefault="001B7976" w:rsidP="001F0E4C">
            <w:pPr>
              <w:spacing w:after="0" w:line="240" w:lineRule="auto"/>
              <w:rPr>
                <w:rFonts w:eastAsia="Times New Roman" w:cs="Arial"/>
                <w:color w:val="000000"/>
                <w:sz w:val="20"/>
                <w:szCs w:val="20"/>
                <w:lang w:eastAsia="en-AU"/>
              </w:rPr>
            </w:pPr>
            <w:r w:rsidRPr="001F0E4C">
              <w:rPr>
                <w:rFonts w:eastAsia="Times New Roman" w:cs="Arial"/>
                <w:color w:val="000000"/>
                <w:sz w:val="20"/>
                <w:szCs w:val="20"/>
                <w:lang w:eastAsia="en-AU"/>
              </w:rPr>
              <w:t>Victoria</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F61" w:rsidRPr="001F0E4C" w:rsidRDefault="001B7976" w:rsidP="001F0E4C">
            <w:pPr>
              <w:spacing w:after="0" w:line="240" w:lineRule="auto"/>
              <w:jc w:val="right"/>
              <w:rPr>
                <w:rFonts w:eastAsia="Times New Roman" w:cs="Arial"/>
                <w:color w:val="000000"/>
                <w:sz w:val="20"/>
                <w:szCs w:val="20"/>
                <w:lang w:eastAsia="en-AU"/>
              </w:rPr>
            </w:pPr>
            <w:r w:rsidRPr="001F0E4C">
              <w:rPr>
                <w:rFonts w:eastAsia="Times New Roman" w:cs="Arial"/>
                <w:color w:val="000000"/>
                <w:sz w:val="20"/>
                <w:szCs w:val="20"/>
                <w:lang w:eastAsia="en-AU"/>
              </w:rPr>
              <w:t>229</w:t>
            </w:r>
          </w:p>
        </w:tc>
        <w:tc>
          <w:tcPr>
            <w:tcW w:w="2181" w:type="dxa"/>
            <w:tcBorders>
              <w:top w:val="single" w:sz="4" w:space="0" w:color="auto"/>
              <w:left w:val="single" w:sz="4" w:space="0" w:color="auto"/>
              <w:bottom w:val="single" w:sz="4" w:space="0" w:color="auto"/>
              <w:right w:val="single" w:sz="4" w:space="0" w:color="auto"/>
            </w:tcBorders>
            <w:vAlign w:val="bottom"/>
          </w:tcPr>
          <w:p w:rsidR="000C4F61" w:rsidRPr="001F0E4C" w:rsidRDefault="001B7976" w:rsidP="001F0E4C">
            <w:pPr>
              <w:spacing w:after="0" w:line="240" w:lineRule="auto"/>
              <w:jc w:val="right"/>
              <w:rPr>
                <w:rFonts w:eastAsia="Times New Roman" w:cs="Arial"/>
                <w:color w:val="000000"/>
                <w:sz w:val="20"/>
                <w:szCs w:val="20"/>
                <w:lang w:eastAsia="en-AU"/>
              </w:rPr>
            </w:pPr>
            <w:r w:rsidRPr="001F0E4C">
              <w:rPr>
                <w:rFonts w:eastAsia="Times New Roman" w:cs="Arial"/>
                <w:color w:val="000000"/>
                <w:sz w:val="20"/>
                <w:szCs w:val="20"/>
                <w:lang w:eastAsia="en-AU"/>
              </w:rPr>
              <w:t>9,290.57</w:t>
            </w:r>
          </w:p>
        </w:tc>
      </w:tr>
      <w:tr w:rsidR="00786520" w:rsidTr="001F0E4C">
        <w:trPr>
          <w:trHeight w:val="555"/>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F61" w:rsidRPr="001F0E4C" w:rsidRDefault="001B7976" w:rsidP="001F0E4C">
            <w:pPr>
              <w:spacing w:after="0" w:line="240" w:lineRule="auto"/>
              <w:rPr>
                <w:rFonts w:eastAsia="Times New Roman" w:cs="Arial"/>
                <w:color w:val="000000"/>
                <w:sz w:val="20"/>
                <w:szCs w:val="20"/>
                <w:lang w:eastAsia="en-AU"/>
              </w:rPr>
            </w:pPr>
            <w:r w:rsidRPr="001F0E4C">
              <w:rPr>
                <w:rFonts w:eastAsia="Times New Roman" w:cs="Arial"/>
                <w:color w:val="000000"/>
                <w:sz w:val="20"/>
                <w:szCs w:val="20"/>
                <w:lang w:eastAsia="en-AU"/>
              </w:rPr>
              <w:t>Western Australia</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F61" w:rsidRPr="001F0E4C" w:rsidRDefault="001B7976" w:rsidP="001F0E4C">
            <w:pPr>
              <w:spacing w:after="0" w:line="240" w:lineRule="auto"/>
              <w:jc w:val="right"/>
              <w:rPr>
                <w:rFonts w:eastAsia="Times New Roman" w:cs="Arial"/>
                <w:color w:val="000000"/>
                <w:sz w:val="20"/>
                <w:szCs w:val="20"/>
                <w:lang w:eastAsia="en-AU"/>
              </w:rPr>
            </w:pPr>
            <w:r w:rsidRPr="001F0E4C">
              <w:rPr>
                <w:rFonts w:eastAsia="Times New Roman" w:cs="Arial"/>
                <w:color w:val="000000"/>
                <w:sz w:val="20"/>
                <w:szCs w:val="20"/>
                <w:lang w:eastAsia="en-AU"/>
              </w:rPr>
              <w:t>51</w:t>
            </w:r>
          </w:p>
        </w:tc>
        <w:tc>
          <w:tcPr>
            <w:tcW w:w="2181" w:type="dxa"/>
            <w:tcBorders>
              <w:top w:val="single" w:sz="4" w:space="0" w:color="auto"/>
              <w:left w:val="single" w:sz="4" w:space="0" w:color="auto"/>
              <w:bottom w:val="single" w:sz="4" w:space="0" w:color="auto"/>
              <w:right w:val="single" w:sz="4" w:space="0" w:color="auto"/>
            </w:tcBorders>
            <w:vAlign w:val="bottom"/>
          </w:tcPr>
          <w:p w:rsidR="000C4F61" w:rsidRPr="001F0E4C" w:rsidRDefault="001B7976" w:rsidP="001F0E4C">
            <w:pPr>
              <w:spacing w:after="0" w:line="240" w:lineRule="auto"/>
              <w:jc w:val="right"/>
              <w:rPr>
                <w:rFonts w:eastAsia="Times New Roman" w:cs="Arial"/>
                <w:color w:val="000000"/>
                <w:sz w:val="20"/>
                <w:szCs w:val="20"/>
                <w:lang w:eastAsia="en-AU"/>
              </w:rPr>
            </w:pPr>
            <w:r w:rsidRPr="001F0E4C">
              <w:rPr>
                <w:rFonts w:eastAsia="Times New Roman" w:cs="Arial"/>
                <w:color w:val="000000"/>
                <w:sz w:val="20"/>
                <w:szCs w:val="20"/>
                <w:lang w:eastAsia="en-AU"/>
              </w:rPr>
              <w:t>811.07</w:t>
            </w:r>
          </w:p>
        </w:tc>
      </w:tr>
      <w:tr w:rsidR="00786520" w:rsidTr="001F0E4C">
        <w:trPr>
          <w:trHeight w:val="555"/>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F61" w:rsidRPr="001F0E4C" w:rsidRDefault="001B7976" w:rsidP="001F0E4C">
            <w:pPr>
              <w:spacing w:after="0" w:line="240" w:lineRule="auto"/>
              <w:rPr>
                <w:rFonts w:eastAsia="Times New Roman" w:cs="Arial"/>
                <w:b/>
                <w:color w:val="000000"/>
                <w:sz w:val="20"/>
                <w:szCs w:val="20"/>
                <w:lang w:eastAsia="en-AU"/>
              </w:rPr>
            </w:pPr>
            <w:r w:rsidRPr="001F0E4C">
              <w:rPr>
                <w:rFonts w:eastAsia="Times New Roman" w:cs="Arial"/>
                <w:b/>
                <w:color w:val="000000"/>
                <w:sz w:val="20"/>
                <w:szCs w:val="20"/>
                <w:lang w:eastAsia="en-AU"/>
              </w:rPr>
              <w:t>Total</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F61" w:rsidRPr="001F0E4C" w:rsidRDefault="001B7976" w:rsidP="001F0E4C">
            <w:pPr>
              <w:spacing w:after="0" w:line="240" w:lineRule="auto"/>
              <w:jc w:val="right"/>
              <w:rPr>
                <w:rFonts w:eastAsia="Times New Roman" w:cs="Arial"/>
                <w:b/>
                <w:color w:val="000000"/>
                <w:sz w:val="20"/>
                <w:szCs w:val="20"/>
                <w:lang w:eastAsia="en-AU"/>
              </w:rPr>
            </w:pPr>
            <w:r w:rsidRPr="001F0E4C">
              <w:rPr>
                <w:rFonts w:eastAsia="Times New Roman" w:cs="Arial"/>
                <w:b/>
                <w:color w:val="000000"/>
                <w:sz w:val="20"/>
                <w:szCs w:val="20"/>
                <w:lang w:eastAsia="en-AU"/>
              </w:rPr>
              <w:t>635</w:t>
            </w:r>
          </w:p>
        </w:tc>
        <w:tc>
          <w:tcPr>
            <w:tcW w:w="2181" w:type="dxa"/>
            <w:tcBorders>
              <w:top w:val="single" w:sz="4" w:space="0" w:color="auto"/>
              <w:left w:val="single" w:sz="4" w:space="0" w:color="auto"/>
              <w:bottom w:val="single" w:sz="4" w:space="0" w:color="auto"/>
              <w:right w:val="single" w:sz="4" w:space="0" w:color="auto"/>
            </w:tcBorders>
            <w:vAlign w:val="bottom"/>
          </w:tcPr>
          <w:p w:rsidR="000C4F61" w:rsidRPr="001F0E4C" w:rsidRDefault="001B7976" w:rsidP="001F0E4C">
            <w:pPr>
              <w:spacing w:after="0" w:line="240" w:lineRule="auto"/>
              <w:jc w:val="right"/>
              <w:rPr>
                <w:rFonts w:eastAsia="Times New Roman" w:cs="Arial"/>
                <w:b/>
                <w:color w:val="000000"/>
                <w:sz w:val="20"/>
                <w:szCs w:val="20"/>
                <w:lang w:eastAsia="en-AU"/>
              </w:rPr>
            </w:pPr>
            <w:r w:rsidRPr="001F0E4C">
              <w:rPr>
                <w:rFonts w:eastAsia="Times New Roman" w:cs="Arial"/>
                <w:b/>
                <w:color w:val="000000"/>
                <w:sz w:val="20"/>
                <w:szCs w:val="20"/>
                <w:lang w:eastAsia="en-AU"/>
              </w:rPr>
              <w:t>31,186.39</w:t>
            </w:r>
          </w:p>
        </w:tc>
      </w:tr>
    </w:tbl>
    <w:p w:rsidR="000C4F61" w:rsidRPr="001F0E4C" w:rsidRDefault="001B7976" w:rsidP="00FC3027">
      <w:pPr>
        <w:rPr>
          <w:rFonts w:cs="Arial"/>
          <w:sz w:val="18"/>
          <w:szCs w:val="18"/>
          <w:lang w:eastAsia="en-AU"/>
        </w:rPr>
      </w:pPr>
      <w:r w:rsidRPr="001F0E4C">
        <w:rPr>
          <w:rFonts w:cs="Arial"/>
          <w:sz w:val="18"/>
          <w:szCs w:val="18"/>
          <w:lang w:eastAsia="en-AU"/>
        </w:rPr>
        <w:t>* Excludes waste collected by co-regulatory arrangements and liable parties through channels other than scheme collection services</w:t>
      </w:r>
    </w:p>
    <w:p w:rsidR="00FA0028" w:rsidRDefault="001B7976" w:rsidP="00FC3027">
      <w:pPr>
        <w:rPr>
          <w:rFonts w:ascii="Calibri" w:hAnsi="Calibri" w:cs="Arial"/>
          <w:lang w:eastAsia="en-AU"/>
        </w:rPr>
      </w:pPr>
      <w:r>
        <w:rPr>
          <w:rFonts w:ascii="Calibri" w:hAnsi="Calibri" w:cs="Arial"/>
          <w:lang w:eastAsia="en-AU"/>
        </w:rPr>
        <w:t>The total weights of waste computers and televisions and computers collected at scheme collection services in each state and territory are also given in Table 2. The weight of waste collected through scheme collection services was less than the total weight of waste recycled under the scheme, as recycling under the co-regulatory arrangements also included recycling undertaken by members of the arrangements (i.e. television and computer importers) of waste televisions and computers collected through channels other than scheme collection services.</w:t>
      </w:r>
    </w:p>
    <w:p w:rsidR="004904F7" w:rsidRPr="00A05DEA" w:rsidRDefault="001B7976" w:rsidP="004904F7">
      <w:pPr>
        <w:rPr>
          <w:rFonts w:ascii="Calibri" w:hAnsi="Calibri" w:cs="Arial"/>
          <w:lang w:eastAsia="en-AU"/>
        </w:rPr>
      </w:pPr>
      <w:r>
        <w:rPr>
          <w:rFonts w:ascii="Calibri" w:hAnsi="Calibri" w:cs="Arial"/>
          <w:lang w:eastAsia="en-AU"/>
        </w:rPr>
        <w:t>DHL Supply Chain, ANZRP and E-Cycle Solutions were</w:t>
      </w:r>
      <w:r w:rsidRPr="00A05DEA">
        <w:rPr>
          <w:rFonts w:ascii="Calibri" w:hAnsi="Calibri" w:cs="Arial"/>
          <w:lang w:eastAsia="en-AU"/>
        </w:rPr>
        <w:t xml:space="preserve"> required to deliver reasonable access to collection services to communities </w:t>
      </w:r>
      <w:r>
        <w:rPr>
          <w:rFonts w:ascii="Calibri" w:hAnsi="Calibri" w:cs="Arial"/>
          <w:lang w:eastAsia="en-AU"/>
        </w:rPr>
        <w:t>in metropolitan, regional and remote</w:t>
      </w:r>
      <w:r w:rsidRPr="00A05DEA">
        <w:rPr>
          <w:rFonts w:ascii="Calibri" w:hAnsi="Calibri" w:cs="Arial"/>
          <w:lang w:eastAsia="en-AU"/>
        </w:rPr>
        <w:t xml:space="preserve"> Australia by </w:t>
      </w:r>
      <w:r w:rsidRPr="00A05DEA">
        <w:rPr>
          <w:rFonts w:ascii="Calibri" w:hAnsi="Calibri" w:cs="Arial"/>
          <w:lang w:eastAsia="en-AU"/>
        </w:rPr>
        <w:lastRenderedPageBreak/>
        <w:t>31</w:t>
      </w:r>
      <w:r>
        <w:rPr>
          <w:rFonts w:ascii="Calibri" w:hAnsi="Calibri" w:cs="Arial"/>
          <w:lang w:eastAsia="en-AU"/>
        </w:rPr>
        <w:t> </w:t>
      </w:r>
      <w:r w:rsidRPr="00A05DEA">
        <w:rPr>
          <w:rFonts w:ascii="Calibri" w:hAnsi="Calibri" w:cs="Arial"/>
          <w:lang w:eastAsia="en-AU"/>
        </w:rPr>
        <w:t>December</w:t>
      </w:r>
      <w:r>
        <w:rPr>
          <w:rFonts w:ascii="Calibri" w:hAnsi="Calibri" w:cs="Arial"/>
          <w:lang w:eastAsia="en-AU"/>
        </w:rPr>
        <w:t> </w:t>
      </w:r>
      <w:r w:rsidRPr="00A05DEA">
        <w:rPr>
          <w:rFonts w:ascii="Calibri" w:hAnsi="Calibri" w:cs="Arial"/>
          <w:lang w:eastAsia="en-AU"/>
        </w:rPr>
        <w:t xml:space="preserve">2013. </w:t>
      </w:r>
      <w:r>
        <w:rPr>
          <w:rFonts w:ascii="Calibri" w:hAnsi="Calibri" w:cs="Arial"/>
          <w:lang w:eastAsia="en-AU"/>
        </w:rPr>
        <w:t xml:space="preserve">Assessment of arrangements’ performance against this requirement was not completed at the time of this report and will be captured in future reporting. </w:t>
      </w:r>
      <w:r w:rsidRPr="00A05DEA">
        <w:rPr>
          <w:rFonts w:ascii="Calibri" w:hAnsi="Calibri" w:cs="Arial"/>
          <w:lang w:eastAsia="en-AU"/>
        </w:rPr>
        <w:t xml:space="preserve">Detail on </w:t>
      </w:r>
      <w:r>
        <w:rPr>
          <w:rFonts w:ascii="Calibri" w:hAnsi="Calibri" w:cs="Arial"/>
          <w:lang w:eastAsia="en-AU"/>
        </w:rPr>
        <w:t>the collection services provided by these arrangements in the period to 30 June 2013</w:t>
      </w:r>
      <w:r w:rsidRPr="00A05DEA">
        <w:rPr>
          <w:rFonts w:ascii="Calibri" w:hAnsi="Calibri" w:cs="Arial"/>
          <w:lang w:eastAsia="en-AU"/>
        </w:rPr>
        <w:t xml:space="preserve"> </w:t>
      </w:r>
      <w:r>
        <w:rPr>
          <w:rFonts w:ascii="Calibri" w:hAnsi="Calibri" w:cs="Arial"/>
          <w:lang w:eastAsia="en-AU"/>
        </w:rPr>
        <w:t xml:space="preserve">is given in their annual reports, which are available on the Department’s website. </w:t>
      </w:r>
      <w:r w:rsidRPr="00A05DEA">
        <w:rPr>
          <w:rFonts w:ascii="Calibri" w:hAnsi="Calibri" w:cs="Arial"/>
          <w:lang w:eastAsia="en-AU"/>
        </w:rPr>
        <w:t xml:space="preserve"> </w:t>
      </w:r>
    </w:p>
    <w:p w:rsidR="004904F7" w:rsidRDefault="001B7976" w:rsidP="004904F7">
      <w:pPr>
        <w:rPr>
          <w:rFonts w:ascii="Calibri" w:hAnsi="Calibri" w:cs="Arial"/>
          <w:lang w:eastAsia="en-AU"/>
        </w:rPr>
      </w:pPr>
      <w:r w:rsidRPr="00A05DEA">
        <w:rPr>
          <w:rFonts w:ascii="Calibri" w:hAnsi="Calibri"/>
        </w:rPr>
        <w:t>Electronics Product Stewardship Australasia and Reverse E-Waste</w:t>
      </w:r>
      <w:r>
        <w:rPr>
          <w:rFonts w:ascii="Calibri" w:hAnsi="Calibri"/>
        </w:rPr>
        <w:t>, which were approved to commence operating in 2013–</w:t>
      </w:r>
      <w:r>
        <w:rPr>
          <w:rFonts w:ascii="Calibri" w:hAnsi="Calibri"/>
        </w:rPr>
        <w:softHyphen/>
        <w:t>14,</w:t>
      </w:r>
      <w:r w:rsidRPr="00A05DEA">
        <w:rPr>
          <w:rFonts w:ascii="Calibri" w:hAnsi="Calibri"/>
        </w:rPr>
        <w:t xml:space="preserve"> are required to deliver reasonable access to collection services </w:t>
      </w:r>
      <w:r w:rsidRPr="00A05DEA">
        <w:rPr>
          <w:rFonts w:ascii="Calibri" w:hAnsi="Calibri" w:cs="Arial"/>
          <w:lang w:eastAsia="en-AU"/>
        </w:rPr>
        <w:t xml:space="preserve">to communities </w:t>
      </w:r>
      <w:r>
        <w:rPr>
          <w:rFonts w:ascii="Calibri" w:hAnsi="Calibri" w:cs="Arial"/>
          <w:lang w:eastAsia="en-AU"/>
        </w:rPr>
        <w:t>in metropolitan, regional and remote</w:t>
      </w:r>
      <w:r w:rsidRPr="00A05DEA">
        <w:rPr>
          <w:rFonts w:ascii="Calibri" w:hAnsi="Calibri" w:cs="Arial"/>
          <w:lang w:eastAsia="en-AU"/>
        </w:rPr>
        <w:t xml:space="preserve"> Australia </w:t>
      </w:r>
      <w:r w:rsidRPr="00A05DEA">
        <w:rPr>
          <w:rFonts w:ascii="Calibri" w:hAnsi="Calibri"/>
        </w:rPr>
        <w:t>by 4</w:t>
      </w:r>
      <w:r>
        <w:rPr>
          <w:rFonts w:ascii="Calibri" w:hAnsi="Calibri"/>
        </w:rPr>
        <w:t> </w:t>
      </w:r>
      <w:r w:rsidRPr="00A05DEA">
        <w:rPr>
          <w:rFonts w:ascii="Calibri" w:hAnsi="Calibri"/>
        </w:rPr>
        <w:t>April</w:t>
      </w:r>
      <w:r>
        <w:rPr>
          <w:rFonts w:ascii="Calibri" w:hAnsi="Calibri"/>
        </w:rPr>
        <w:t> </w:t>
      </w:r>
      <w:r w:rsidRPr="00A05DEA">
        <w:rPr>
          <w:rFonts w:ascii="Calibri" w:hAnsi="Calibri"/>
        </w:rPr>
        <w:t>2014 and 25</w:t>
      </w:r>
      <w:r>
        <w:rPr>
          <w:rFonts w:ascii="Calibri" w:hAnsi="Calibri"/>
        </w:rPr>
        <w:t> </w:t>
      </w:r>
      <w:r w:rsidRPr="00A05DEA">
        <w:rPr>
          <w:rFonts w:ascii="Calibri" w:hAnsi="Calibri"/>
        </w:rPr>
        <w:t>June</w:t>
      </w:r>
      <w:r>
        <w:rPr>
          <w:rFonts w:ascii="Calibri" w:hAnsi="Calibri"/>
        </w:rPr>
        <w:t> </w:t>
      </w:r>
      <w:r w:rsidRPr="00A05DEA">
        <w:rPr>
          <w:rFonts w:ascii="Calibri" w:hAnsi="Calibri"/>
        </w:rPr>
        <w:t>2014 respectively, which is twelve months after their approvals were given.</w:t>
      </w:r>
    </w:p>
    <w:p w:rsidR="001168C4" w:rsidRDefault="00F11599" w:rsidP="001168C4">
      <w:pPr>
        <w:spacing w:after="0" w:line="240" w:lineRule="auto"/>
        <w:rPr>
          <w:rFonts w:ascii="Calibri" w:hAnsi="Calibri"/>
        </w:rPr>
      </w:pPr>
    </w:p>
    <w:p w:rsidR="00B81105" w:rsidRPr="00C625BC" w:rsidRDefault="001B7976" w:rsidP="00C625BC">
      <w:pPr>
        <w:pStyle w:val="Heading2"/>
      </w:pPr>
      <w:bookmarkStart w:id="50" w:name="_Toc256000051"/>
      <w:bookmarkStart w:id="51" w:name="_Toc256000038"/>
      <w:bookmarkStart w:id="52" w:name="_Toc256000025"/>
      <w:bookmarkStart w:id="53" w:name="_Toc256000012"/>
      <w:bookmarkStart w:id="54" w:name="_Toc380491880"/>
      <w:r>
        <w:t>Participation of television and computer importers and manufacturers</w:t>
      </w:r>
      <w:bookmarkEnd w:id="50"/>
      <w:bookmarkEnd w:id="51"/>
      <w:bookmarkEnd w:id="52"/>
      <w:bookmarkEnd w:id="53"/>
      <w:bookmarkEnd w:id="54"/>
    </w:p>
    <w:p w:rsidR="00B81105" w:rsidRDefault="00090FCD" w:rsidP="00B81105">
      <w:pPr>
        <w:pStyle w:val="ListBullet"/>
        <w:numPr>
          <w:ilvl w:val="0"/>
          <w:numId w:val="0"/>
        </w:numPr>
        <w:rPr>
          <w:rFonts w:ascii="Calibri" w:hAnsi="Calibri"/>
          <w:bCs/>
        </w:rPr>
      </w:pPr>
      <w:r>
        <w:rPr>
          <w:rFonts w:ascii="Calibri" w:hAnsi="Calibri"/>
          <w:bCs/>
        </w:rPr>
      </w:r>
      <w:r>
        <w:rPr>
          <w:rFonts w:ascii="Calibri" w:hAnsi="Calibri"/>
          <w:bCs/>
        </w:rPr>
        <w:pict>
          <v:shape id="_x0000_s1026" type="#_x0000_t202" style="width:461.35pt;height:68.55pt;mso-wrap-style:none;mso-left-percent:-10001;mso-top-percent:-10001;mso-position-horizontal:absolute;mso-position-horizontal-relative:char;mso-position-vertical:absolute;mso-position-vertical-relative:line;mso-left-percent:-10001;mso-top-percent:-10001">
            <v:textbox>
              <w:txbxContent>
                <w:p w:rsidR="001B4C94" w:rsidRPr="00FD09C2" w:rsidRDefault="001B7976" w:rsidP="00B81105">
                  <w:pPr>
                    <w:pStyle w:val="ListBullet"/>
                    <w:rPr>
                      <w:b/>
                      <w:bCs/>
                    </w:rPr>
                  </w:pPr>
                  <w:r>
                    <w:rPr>
                      <w:rFonts w:ascii="Calibri" w:hAnsi="Calibri"/>
                      <w:b/>
                      <w:bCs/>
                    </w:rPr>
                    <w:t>131 television and computer importers and manufacturers were liable in 2012–13</w:t>
                  </w:r>
                </w:p>
                <w:p w:rsidR="001B4C94" w:rsidRPr="004F5A3E" w:rsidRDefault="001B7976" w:rsidP="00B81105">
                  <w:pPr>
                    <w:pStyle w:val="ListBullet"/>
                    <w:rPr>
                      <w:b/>
                      <w:bCs/>
                    </w:rPr>
                  </w:pPr>
                  <w:r w:rsidRPr="00E24056">
                    <w:rPr>
                      <w:rFonts w:ascii="Calibri" w:hAnsi="Calibri"/>
                      <w:b/>
                      <w:bCs/>
                    </w:rPr>
                    <w:t xml:space="preserve">100 per cent </w:t>
                  </w:r>
                  <w:r>
                    <w:rPr>
                      <w:rFonts w:ascii="Calibri" w:hAnsi="Calibri"/>
                      <w:b/>
                      <w:bCs/>
                    </w:rPr>
                    <w:t xml:space="preserve">of liable parties complied with their obligations to join a co-regulatory arrangement in </w:t>
                  </w:r>
                  <w:r w:rsidRPr="00E24056">
                    <w:rPr>
                      <w:rFonts w:ascii="Calibri" w:hAnsi="Calibri"/>
                      <w:b/>
                      <w:bCs/>
                    </w:rPr>
                    <w:t xml:space="preserve"> 2012-13</w:t>
                  </w:r>
                </w:p>
              </w:txbxContent>
            </v:textbox>
            <w10:wrap type="none"/>
            <w10:anchorlock/>
          </v:shape>
        </w:pict>
      </w:r>
    </w:p>
    <w:p w:rsidR="00B81105" w:rsidRPr="00FC3027" w:rsidRDefault="001B7976" w:rsidP="00B81105">
      <w:pPr>
        <w:pStyle w:val="ListBullet"/>
        <w:numPr>
          <w:ilvl w:val="0"/>
          <w:numId w:val="0"/>
        </w:numPr>
        <w:rPr>
          <w:rFonts w:ascii="Calibri" w:hAnsi="Calibri" w:cs="Arial"/>
        </w:rPr>
      </w:pPr>
      <w:r>
        <w:rPr>
          <w:rFonts w:ascii="Calibri" w:hAnsi="Calibri"/>
          <w:bCs/>
        </w:rPr>
        <w:t>Companies</w:t>
      </w:r>
      <w:r w:rsidRPr="00FC3027">
        <w:rPr>
          <w:rFonts w:ascii="Calibri" w:hAnsi="Calibri"/>
          <w:bCs/>
        </w:rPr>
        <w:t xml:space="preserve"> import</w:t>
      </w:r>
      <w:r>
        <w:rPr>
          <w:rFonts w:ascii="Calibri" w:hAnsi="Calibri"/>
          <w:bCs/>
        </w:rPr>
        <w:t>ing</w:t>
      </w:r>
      <w:r w:rsidRPr="00FC3027">
        <w:rPr>
          <w:rFonts w:ascii="Calibri" w:hAnsi="Calibri"/>
          <w:bCs/>
        </w:rPr>
        <w:t xml:space="preserve"> or manufactur</w:t>
      </w:r>
      <w:r>
        <w:rPr>
          <w:rFonts w:ascii="Calibri" w:hAnsi="Calibri"/>
          <w:bCs/>
        </w:rPr>
        <w:t>ing</w:t>
      </w:r>
      <w:r w:rsidRPr="00FC3027">
        <w:rPr>
          <w:rFonts w:ascii="Calibri" w:hAnsi="Calibri"/>
          <w:bCs/>
        </w:rPr>
        <w:t xml:space="preserve"> over a specified threshold of television or computer products </w:t>
      </w:r>
      <w:r>
        <w:rPr>
          <w:rFonts w:ascii="Calibri" w:hAnsi="Calibri"/>
          <w:bCs/>
        </w:rPr>
        <w:t>are liable under the scheme</w:t>
      </w:r>
      <w:r w:rsidRPr="00FC3027">
        <w:rPr>
          <w:rFonts w:ascii="Calibri" w:hAnsi="Calibri"/>
          <w:bCs/>
        </w:rPr>
        <w:t>. In 2012</w:t>
      </w:r>
      <w:r>
        <w:rPr>
          <w:rFonts w:ascii="Calibri" w:hAnsi="Calibri"/>
          <w:bCs/>
        </w:rPr>
        <w:t>–</w:t>
      </w:r>
      <w:r w:rsidRPr="00FC3027">
        <w:rPr>
          <w:rFonts w:ascii="Calibri" w:hAnsi="Calibri"/>
          <w:bCs/>
        </w:rPr>
        <w:t>13, t</w:t>
      </w:r>
      <w:r w:rsidRPr="00FC3027">
        <w:rPr>
          <w:rFonts w:ascii="Calibri" w:hAnsi="Calibri" w:cs="Arial"/>
        </w:rPr>
        <w:t xml:space="preserve">he </w:t>
      </w:r>
      <w:r>
        <w:rPr>
          <w:rFonts w:ascii="Calibri" w:hAnsi="Calibri" w:cs="Arial"/>
        </w:rPr>
        <w:t>s</w:t>
      </w:r>
      <w:r w:rsidRPr="00FC3027">
        <w:rPr>
          <w:rFonts w:ascii="Calibri" w:hAnsi="Calibri" w:cs="Arial"/>
        </w:rPr>
        <w:t xml:space="preserve">cheme </w:t>
      </w:r>
      <w:r>
        <w:rPr>
          <w:rFonts w:ascii="Calibri" w:hAnsi="Calibri" w:cs="Arial"/>
        </w:rPr>
        <w:t>R</w:t>
      </w:r>
      <w:r w:rsidRPr="00FC3027">
        <w:rPr>
          <w:rFonts w:ascii="Calibri" w:hAnsi="Calibri" w:cs="Arial"/>
        </w:rPr>
        <w:t xml:space="preserve">egulations specified liability thresholds for two product classifications, ‘televisions’, and ‘computers, printers and computer products’. These thresholds are: </w:t>
      </w:r>
    </w:p>
    <w:p w:rsidR="00B81105" w:rsidRPr="00FC3027" w:rsidRDefault="001B7976" w:rsidP="00B81105">
      <w:pPr>
        <w:pStyle w:val="ListBullet"/>
        <w:rPr>
          <w:rFonts w:ascii="Calibri" w:hAnsi="Calibri"/>
        </w:rPr>
      </w:pPr>
      <w:r>
        <w:rPr>
          <w:rFonts w:ascii="Calibri" w:hAnsi="Calibri"/>
        </w:rPr>
        <w:t>f</w:t>
      </w:r>
      <w:r w:rsidRPr="00FC3027">
        <w:rPr>
          <w:rFonts w:ascii="Calibri" w:hAnsi="Calibri"/>
        </w:rPr>
        <w:t xml:space="preserve">or televisions: 5,000 units of televisions </w:t>
      </w:r>
    </w:p>
    <w:p w:rsidR="00B81105" w:rsidRPr="00FC3027" w:rsidRDefault="001B7976" w:rsidP="00B81105">
      <w:pPr>
        <w:pStyle w:val="ListBullet"/>
        <w:rPr>
          <w:rFonts w:ascii="Calibri" w:hAnsi="Calibri"/>
        </w:rPr>
      </w:pPr>
      <w:r>
        <w:rPr>
          <w:rFonts w:ascii="Calibri" w:hAnsi="Calibri"/>
        </w:rPr>
        <w:t>f</w:t>
      </w:r>
      <w:r w:rsidRPr="00FC3027">
        <w:rPr>
          <w:rFonts w:ascii="Calibri" w:hAnsi="Calibri"/>
        </w:rPr>
        <w:t>or computers, printers or computer products: 5,000</w:t>
      </w:r>
      <w:r>
        <w:rPr>
          <w:rFonts w:ascii="Calibri" w:hAnsi="Calibri"/>
        </w:rPr>
        <w:t xml:space="preserve"> units of computers or printers,</w:t>
      </w:r>
      <w:r w:rsidRPr="00FC3027">
        <w:rPr>
          <w:rFonts w:ascii="Calibri" w:hAnsi="Calibri"/>
        </w:rPr>
        <w:t xml:space="preserve"> or 15,000 units of computer</w:t>
      </w:r>
      <w:r>
        <w:rPr>
          <w:rFonts w:ascii="Calibri" w:hAnsi="Calibri"/>
        </w:rPr>
        <w:t xml:space="preserve"> parts</w:t>
      </w:r>
      <w:r w:rsidRPr="00FC3027">
        <w:rPr>
          <w:rFonts w:ascii="Calibri" w:hAnsi="Calibri"/>
        </w:rPr>
        <w:t xml:space="preserve"> or peripherals</w:t>
      </w:r>
    </w:p>
    <w:p w:rsidR="00B81105" w:rsidRPr="000D6B7B" w:rsidRDefault="001B7976" w:rsidP="00B81105">
      <w:pPr>
        <w:pStyle w:val="ListBullet"/>
        <w:numPr>
          <w:ilvl w:val="0"/>
          <w:numId w:val="0"/>
        </w:numPr>
        <w:rPr>
          <w:rFonts w:ascii="Calibri" w:hAnsi="Calibri"/>
        </w:rPr>
      </w:pPr>
      <w:r>
        <w:rPr>
          <w:rFonts w:ascii="Calibri" w:hAnsi="Calibri"/>
        </w:rPr>
        <w:t>I</w:t>
      </w:r>
      <w:r w:rsidRPr="00FC3027">
        <w:rPr>
          <w:rFonts w:ascii="Calibri" w:hAnsi="Calibri"/>
        </w:rPr>
        <w:t>mporter</w:t>
      </w:r>
      <w:r>
        <w:rPr>
          <w:rFonts w:ascii="Calibri" w:hAnsi="Calibri"/>
        </w:rPr>
        <w:t>s</w:t>
      </w:r>
      <w:r w:rsidRPr="00FC3027">
        <w:rPr>
          <w:rFonts w:ascii="Calibri" w:hAnsi="Calibri"/>
        </w:rPr>
        <w:t xml:space="preserve"> or manufacturer</w:t>
      </w:r>
      <w:r>
        <w:rPr>
          <w:rFonts w:ascii="Calibri" w:hAnsi="Calibri"/>
        </w:rPr>
        <w:t>s</w:t>
      </w:r>
      <w:r w:rsidRPr="00FC3027">
        <w:rPr>
          <w:rFonts w:ascii="Calibri" w:hAnsi="Calibri"/>
        </w:rPr>
        <w:t xml:space="preserve"> that exceed</w:t>
      </w:r>
      <w:r>
        <w:rPr>
          <w:rFonts w:ascii="Calibri" w:hAnsi="Calibri"/>
        </w:rPr>
        <w:t>ed</w:t>
      </w:r>
      <w:r w:rsidRPr="00FC3027">
        <w:rPr>
          <w:rFonts w:ascii="Calibri" w:hAnsi="Calibri"/>
        </w:rPr>
        <w:t xml:space="preserve"> one of these thresholds </w:t>
      </w:r>
      <w:r>
        <w:rPr>
          <w:rFonts w:ascii="Calibri" w:hAnsi="Calibri"/>
        </w:rPr>
        <w:t xml:space="preserve">were required </w:t>
      </w:r>
      <w:r w:rsidRPr="00FC3027">
        <w:rPr>
          <w:rFonts w:ascii="Calibri" w:hAnsi="Calibri"/>
        </w:rPr>
        <w:t>to join</w:t>
      </w:r>
      <w:r>
        <w:rPr>
          <w:rFonts w:ascii="Calibri" w:hAnsi="Calibri"/>
        </w:rPr>
        <w:t xml:space="preserve"> and fund</w:t>
      </w:r>
      <w:r w:rsidRPr="00FC3027">
        <w:rPr>
          <w:rFonts w:ascii="Calibri" w:hAnsi="Calibri"/>
        </w:rPr>
        <w:t xml:space="preserve"> a</w:t>
      </w:r>
      <w:r>
        <w:rPr>
          <w:rFonts w:ascii="Calibri" w:hAnsi="Calibri"/>
        </w:rPr>
        <w:t>n approved</w:t>
      </w:r>
      <w:r w:rsidRPr="00FC3027">
        <w:rPr>
          <w:rFonts w:ascii="Calibri" w:hAnsi="Calibri"/>
        </w:rPr>
        <w:t xml:space="preserve"> co</w:t>
      </w:r>
      <w:r>
        <w:rPr>
          <w:rFonts w:ascii="Calibri" w:hAnsi="Calibri"/>
        </w:rPr>
        <w:noBreakHyphen/>
      </w:r>
      <w:r w:rsidRPr="00FC3027">
        <w:rPr>
          <w:rFonts w:ascii="Calibri" w:hAnsi="Calibri"/>
        </w:rPr>
        <w:t>regulatory arrangement</w:t>
      </w:r>
      <w:r>
        <w:rPr>
          <w:rFonts w:ascii="Calibri" w:hAnsi="Calibri"/>
        </w:rPr>
        <w:t xml:space="preserve">, which undertook collection and recycling services on their behalf. </w:t>
      </w:r>
      <w:r w:rsidRPr="00FC3027">
        <w:rPr>
          <w:rFonts w:ascii="Calibri" w:hAnsi="Calibri"/>
        </w:rPr>
        <w:t xml:space="preserve"> </w:t>
      </w:r>
      <w:r>
        <w:rPr>
          <w:rFonts w:ascii="Calibri" w:hAnsi="Calibri"/>
        </w:rPr>
        <w:t xml:space="preserve">Liability in 2012–13 was determined by the number of products imported and manufactured in 2011–12. </w:t>
      </w:r>
    </w:p>
    <w:p w:rsidR="00B81105" w:rsidRPr="000D6B7B" w:rsidRDefault="001B7976" w:rsidP="000D6B7B">
      <w:pPr>
        <w:pStyle w:val="ListBullet"/>
        <w:numPr>
          <w:ilvl w:val="0"/>
          <w:numId w:val="0"/>
        </w:numPr>
        <w:rPr>
          <w:rFonts w:ascii="Calibri" w:hAnsi="Calibri"/>
        </w:rPr>
      </w:pPr>
      <w:r w:rsidRPr="000D6B7B">
        <w:rPr>
          <w:rFonts w:ascii="Calibri" w:hAnsi="Calibri"/>
        </w:rPr>
        <w:t xml:space="preserve">A total of </w:t>
      </w:r>
      <w:r>
        <w:rPr>
          <w:rFonts w:ascii="Calibri" w:hAnsi="Calibri"/>
        </w:rPr>
        <w:t>131</w:t>
      </w:r>
      <w:r w:rsidRPr="000D6B7B">
        <w:rPr>
          <w:rFonts w:ascii="Calibri" w:hAnsi="Calibri"/>
        </w:rPr>
        <w:t xml:space="preserve"> companies were identified as liable in 2012–13. </w:t>
      </w:r>
      <w:r>
        <w:rPr>
          <w:rFonts w:ascii="Calibri" w:hAnsi="Calibri"/>
        </w:rPr>
        <w:t xml:space="preserve">These companies imported or manufactured a total of 136,608 tonnes of televisions and computers in 2011–12, which was 95.3 per cent of the total televisions and computers imported or manufactured in Australia that year. </w:t>
      </w:r>
      <w:r w:rsidRPr="000D6B7B">
        <w:rPr>
          <w:rFonts w:ascii="Calibri" w:hAnsi="Calibri"/>
        </w:rPr>
        <w:t>One hundred per cent of these liable importers and manufacturers met their obligations under the scheme to join an approved co-regulatory arrangement in 2012–13.</w:t>
      </w:r>
    </w:p>
    <w:p w:rsidR="00B81105" w:rsidRDefault="00F11599" w:rsidP="00CC2403">
      <w:pPr>
        <w:pStyle w:val="Heading2"/>
      </w:pPr>
    </w:p>
    <w:p w:rsidR="00716434" w:rsidRPr="001F549E" w:rsidRDefault="001B7976" w:rsidP="00CC2403">
      <w:pPr>
        <w:pStyle w:val="Heading2"/>
      </w:pPr>
      <w:bookmarkStart w:id="55" w:name="_Toc256000053"/>
      <w:bookmarkStart w:id="56" w:name="_Toc256000040"/>
      <w:bookmarkStart w:id="57" w:name="_Toc256000027"/>
      <w:bookmarkStart w:id="58" w:name="_Toc256000014"/>
      <w:bookmarkStart w:id="59" w:name="_Toc380491881"/>
      <w:r>
        <w:t>Material recovery</w:t>
      </w:r>
      <w:bookmarkEnd w:id="55"/>
      <w:bookmarkEnd w:id="56"/>
      <w:bookmarkEnd w:id="57"/>
      <w:bookmarkEnd w:id="58"/>
      <w:bookmarkEnd w:id="59"/>
    </w:p>
    <w:p w:rsidR="00D53BF3" w:rsidRDefault="001B7976" w:rsidP="00D53BF3">
      <w:pPr>
        <w:rPr>
          <w:rFonts w:ascii="Calibri" w:hAnsi="Calibri" w:cs="Calibri"/>
        </w:rPr>
      </w:pPr>
      <w:r>
        <w:rPr>
          <w:rFonts w:ascii="Calibri" w:hAnsi="Calibri" w:cs="Calibri"/>
        </w:rPr>
        <w:t>R</w:t>
      </w:r>
      <w:r w:rsidRPr="00D53BF3">
        <w:rPr>
          <w:rFonts w:ascii="Calibri" w:hAnsi="Calibri" w:cs="Calibri"/>
        </w:rPr>
        <w:t xml:space="preserve">ecycling </w:t>
      </w:r>
      <w:r>
        <w:rPr>
          <w:rFonts w:ascii="Calibri" w:hAnsi="Calibri" w:cs="Calibri"/>
        </w:rPr>
        <w:t>processes result in the separation of a</w:t>
      </w:r>
      <w:r w:rsidRPr="00D53BF3">
        <w:rPr>
          <w:rFonts w:ascii="Calibri" w:hAnsi="Calibri" w:cs="Calibri"/>
        </w:rPr>
        <w:t xml:space="preserve"> range of commodities and components that are sent for further processing into useable materials</w:t>
      </w:r>
      <w:r>
        <w:rPr>
          <w:rFonts w:ascii="Calibri" w:hAnsi="Calibri" w:cs="Calibri"/>
        </w:rPr>
        <w:t>. In addition, there are normally s</w:t>
      </w:r>
      <w:r w:rsidRPr="00D53BF3">
        <w:rPr>
          <w:rFonts w:ascii="Calibri" w:hAnsi="Calibri" w:cs="Calibri"/>
        </w:rPr>
        <w:t>mall amount</w:t>
      </w:r>
      <w:r>
        <w:rPr>
          <w:rFonts w:ascii="Calibri" w:hAnsi="Calibri" w:cs="Calibri"/>
        </w:rPr>
        <w:t>s</w:t>
      </w:r>
      <w:r w:rsidRPr="00D53BF3">
        <w:rPr>
          <w:rFonts w:ascii="Calibri" w:hAnsi="Calibri" w:cs="Calibri"/>
        </w:rPr>
        <w:t xml:space="preserve"> of unusable or low-value material</w:t>
      </w:r>
      <w:r>
        <w:rPr>
          <w:rFonts w:ascii="Calibri" w:hAnsi="Calibri" w:cs="Calibri"/>
        </w:rPr>
        <w:t>s are separated</w:t>
      </w:r>
      <w:r w:rsidRPr="00D53BF3">
        <w:rPr>
          <w:rFonts w:ascii="Calibri" w:hAnsi="Calibri" w:cs="Calibri"/>
        </w:rPr>
        <w:t xml:space="preserve"> </w:t>
      </w:r>
      <w:r>
        <w:rPr>
          <w:rFonts w:ascii="Calibri" w:hAnsi="Calibri" w:cs="Calibri"/>
        </w:rPr>
        <w:t>and disposed, often to</w:t>
      </w:r>
      <w:r w:rsidRPr="00D53BF3">
        <w:rPr>
          <w:rFonts w:ascii="Calibri" w:hAnsi="Calibri" w:cs="Calibri"/>
        </w:rPr>
        <w:t xml:space="preserve"> landfill</w:t>
      </w:r>
      <w:r>
        <w:rPr>
          <w:rFonts w:ascii="Calibri" w:hAnsi="Calibri" w:cs="Calibri"/>
        </w:rPr>
        <w:t>. M</w:t>
      </w:r>
      <w:r w:rsidRPr="00D53BF3">
        <w:rPr>
          <w:rFonts w:ascii="Calibri" w:hAnsi="Calibri" w:cs="Calibri"/>
        </w:rPr>
        <w:t>aterial recovery</w:t>
      </w:r>
      <w:r>
        <w:rPr>
          <w:rFonts w:ascii="Calibri" w:hAnsi="Calibri" w:cs="Calibri"/>
        </w:rPr>
        <w:t xml:space="preserve"> </w:t>
      </w:r>
      <w:r w:rsidRPr="00D53BF3">
        <w:rPr>
          <w:rFonts w:ascii="Calibri" w:hAnsi="Calibri" w:cs="Calibri"/>
        </w:rPr>
        <w:t>refers to</w:t>
      </w:r>
      <w:r>
        <w:rPr>
          <w:rFonts w:ascii="Calibri" w:hAnsi="Calibri" w:cs="Calibri"/>
        </w:rPr>
        <w:t xml:space="preserve"> </w:t>
      </w:r>
      <w:r w:rsidRPr="00D53BF3">
        <w:rPr>
          <w:rFonts w:ascii="Calibri" w:hAnsi="Calibri" w:cs="Calibri"/>
        </w:rPr>
        <w:t>the proportion of material that is sent for further processing into useable materials</w:t>
      </w:r>
      <w:r>
        <w:rPr>
          <w:rFonts w:ascii="Calibri" w:hAnsi="Calibri" w:cs="Calibri"/>
        </w:rPr>
        <w:t>.</w:t>
      </w:r>
    </w:p>
    <w:p w:rsidR="00D53BF3" w:rsidRPr="0061706C" w:rsidRDefault="001B7976" w:rsidP="00D53BF3">
      <w:pPr>
        <w:rPr>
          <w:rFonts w:ascii="Calibri" w:hAnsi="Calibri" w:cs="Calibri"/>
        </w:rPr>
      </w:pPr>
      <w:r w:rsidRPr="0061706C">
        <w:rPr>
          <w:rFonts w:ascii="Calibri" w:hAnsi="Calibri" w:cs="Calibri"/>
        </w:rPr>
        <w:t>The Scheme sets a minimum material recovery rate</w:t>
      </w:r>
      <w:r>
        <w:rPr>
          <w:rFonts w:ascii="Calibri" w:hAnsi="Calibri" w:cs="Calibri"/>
        </w:rPr>
        <w:t xml:space="preserve"> of 90 per cent</w:t>
      </w:r>
      <w:r w:rsidRPr="0061706C">
        <w:rPr>
          <w:rFonts w:ascii="Calibri" w:hAnsi="Calibri" w:cs="Calibri"/>
        </w:rPr>
        <w:t>, to be met from 2014</w:t>
      </w:r>
      <w:r>
        <w:rPr>
          <w:rFonts w:ascii="Calibri" w:hAnsi="Calibri" w:cs="Calibri"/>
        </w:rPr>
        <w:t>–</w:t>
      </w:r>
      <w:r w:rsidRPr="0061706C">
        <w:rPr>
          <w:rFonts w:ascii="Calibri" w:hAnsi="Calibri" w:cs="Calibri"/>
        </w:rPr>
        <w:t xml:space="preserve">15, in order to minimise the amount of television and computer material that </w:t>
      </w:r>
      <w:r>
        <w:rPr>
          <w:rFonts w:ascii="Calibri" w:hAnsi="Calibri" w:cs="Calibri"/>
        </w:rPr>
        <w:t>is</w:t>
      </w:r>
      <w:r w:rsidRPr="0061706C">
        <w:rPr>
          <w:rFonts w:ascii="Calibri" w:hAnsi="Calibri" w:cs="Calibri"/>
        </w:rPr>
        <w:t xml:space="preserve"> disposed of to landfill and maximise the recovery of resources. This target comes into effect from July 2014, to provide time for </w:t>
      </w:r>
      <w:r w:rsidRPr="0061706C">
        <w:rPr>
          <w:rFonts w:ascii="Calibri" w:hAnsi="Calibri" w:cs="Calibri"/>
        </w:rPr>
        <w:lastRenderedPageBreak/>
        <w:t xml:space="preserve">consistent measurement and reporting methodologies to be developed and standardised across arrangements and recyclers. </w:t>
      </w:r>
    </w:p>
    <w:p w:rsidR="00A05772" w:rsidRDefault="001B7976" w:rsidP="00C6336F">
      <w:pPr>
        <w:rPr>
          <w:rFonts w:ascii="Calibri" w:hAnsi="Calibri"/>
        </w:rPr>
      </w:pPr>
      <w:r>
        <w:rPr>
          <w:rFonts w:ascii="Calibri" w:hAnsi="Calibri"/>
        </w:rPr>
        <w:t>DHL Supply Chain, ANZRP and E-Cycle Solutions included information on material recovery rates in their 2012–13 reports.</w:t>
      </w:r>
      <w:r w:rsidRPr="0061706C">
        <w:rPr>
          <w:rFonts w:ascii="Calibri" w:hAnsi="Calibri"/>
        </w:rPr>
        <w:t xml:space="preserve"> </w:t>
      </w:r>
      <w:r>
        <w:rPr>
          <w:rFonts w:ascii="Calibri" w:hAnsi="Calibri"/>
        </w:rPr>
        <w:t>Based on this information, i</w:t>
      </w:r>
      <w:r w:rsidRPr="0061706C">
        <w:rPr>
          <w:rFonts w:ascii="Calibri" w:hAnsi="Calibri"/>
        </w:rPr>
        <w:t>n 2012</w:t>
      </w:r>
      <w:r>
        <w:rPr>
          <w:rFonts w:ascii="Calibri" w:hAnsi="Calibri"/>
        </w:rPr>
        <w:softHyphen/>
        <w:t>–</w:t>
      </w:r>
      <w:r w:rsidRPr="0061706C">
        <w:rPr>
          <w:rFonts w:ascii="Calibri" w:hAnsi="Calibri"/>
        </w:rPr>
        <w:t>13, the overall material recovery rate based on co-r</w:t>
      </w:r>
      <w:r>
        <w:rPr>
          <w:rFonts w:ascii="Calibri" w:hAnsi="Calibri"/>
        </w:rPr>
        <w:t>egulatory arrangement reporting</w:t>
      </w:r>
      <w:r w:rsidRPr="0061706C">
        <w:rPr>
          <w:rFonts w:ascii="Calibri" w:hAnsi="Calibri"/>
        </w:rPr>
        <w:t xml:space="preserve"> was approximately </w:t>
      </w:r>
      <w:r w:rsidRPr="00D77D3A">
        <w:rPr>
          <w:rFonts w:ascii="Calibri" w:hAnsi="Calibri"/>
        </w:rPr>
        <w:t>92 per cent</w:t>
      </w:r>
      <w:r>
        <w:rPr>
          <w:rFonts w:ascii="Calibri" w:hAnsi="Calibri"/>
        </w:rPr>
        <w:t>.</w:t>
      </w:r>
      <w:r w:rsidRPr="0061706C">
        <w:rPr>
          <w:rFonts w:ascii="Calibri" w:hAnsi="Calibri"/>
        </w:rPr>
        <w:t xml:space="preserve"> </w:t>
      </w:r>
      <w:r>
        <w:rPr>
          <w:rFonts w:ascii="Calibri" w:hAnsi="Calibri"/>
        </w:rPr>
        <w:t xml:space="preserve">DHL Supply Chain and ANZRP both reported material recovery rates in excess of 90 per cent, while E-Cycle Solutions reported a lower rate. Further information is given in the arrangements’ annual reports, available on the Department’s website. </w:t>
      </w:r>
    </w:p>
    <w:p w:rsidR="000E59F9" w:rsidRDefault="00F11599" w:rsidP="00C6336F">
      <w:pPr>
        <w:rPr>
          <w:rFonts w:ascii="Calibri" w:hAnsi="Calibri" w:cs="Arial"/>
          <w:b/>
          <w:caps/>
          <w:sz w:val="40"/>
          <w:szCs w:val="40"/>
        </w:rPr>
      </w:pPr>
    </w:p>
    <w:p w:rsidR="000E59F9" w:rsidRPr="00F55A1C" w:rsidRDefault="001B7976" w:rsidP="00CC2403">
      <w:pPr>
        <w:pStyle w:val="Heading1"/>
        <w:rPr>
          <w:sz w:val="36"/>
          <w:szCs w:val="36"/>
        </w:rPr>
      </w:pPr>
      <w:bookmarkStart w:id="60" w:name="_Toc256000054"/>
      <w:bookmarkStart w:id="61" w:name="_Toc256000041"/>
      <w:bookmarkStart w:id="62" w:name="_Toc256000028"/>
      <w:bookmarkStart w:id="63" w:name="_Toc256000015"/>
      <w:bookmarkStart w:id="64" w:name="_Toc380491882"/>
      <w:r w:rsidRPr="00F55A1C">
        <w:rPr>
          <w:sz w:val="36"/>
          <w:szCs w:val="36"/>
        </w:rPr>
        <w:t>The scheme’s second target year: 2013–14</w:t>
      </w:r>
      <w:bookmarkEnd w:id="60"/>
      <w:bookmarkEnd w:id="61"/>
      <w:bookmarkEnd w:id="62"/>
      <w:bookmarkEnd w:id="63"/>
      <w:bookmarkEnd w:id="64"/>
    </w:p>
    <w:p w:rsidR="00C472F2" w:rsidRDefault="001B7976" w:rsidP="00145A0D">
      <w:pPr>
        <w:rPr>
          <w:rFonts w:ascii="Calibri" w:hAnsi="Calibri"/>
        </w:rPr>
      </w:pPr>
      <w:r w:rsidRPr="00CB0A5A">
        <w:rPr>
          <w:rFonts w:ascii="Calibri" w:hAnsi="Calibri"/>
        </w:rPr>
        <w:t xml:space="preserve">The National Television and Computer Recycling Scheme </w:t>
      </w:r>
      <w:r>
        <w:rPr>
          <w:rFonts w:ascii="Calibri" w:hAnsi="Calibri"/>
        </w:rPr>
        <w:t>is</w:t>
      </w:r>
      <w:r w:rsidRPr="00CB0A5A">
        <w:rPr>
          <w:rFonts w:ascii="Calibri" w:hAnsi="Calibri"/>
        </w:rPr>
        <w:t xml:space="preserve"> continu</w:t>
      </w:r>
      <w:r>
        <w:rPr>
          <w:rFonts w:ascii="Calibri" w:hAnsi="Calibri"/>
        </w:rPr>
        <w:t>ing</w:t>
      </w:r>
      <w:r w:rsidRPr="00CB0A5A">
        <w:rPr>
          <w:rFonts w:ascii="Calibri" w:hAnsi="Calibri"/>
        </w:rPr>
        <w:t xml:space="preserve"> to roll out across Australia. </w:t>
      </w:r>
      <w:r>
        <w:rPr>
          <w:rFonts w:ascii="Calibri" w:hAnsi="Calibri"/>
        </w:rPr>
        <w:t xml:space="preserve">As indicated under </w:t>
      </w:r>
      <w:r w:rsidRPr="0076368F">
        <w:rPr>
          <w:rFonts w:ascii="Calibri" w:hAnsi="Calibri"/>
          <w:i/>
        </w:rPr>
        <w:t>Provision of e-waste collection services</w:t>
      </w:r>
      <w:r w:rsidRPr="00570918">
        <w:rPr>
          <w:rFonts w:ascii="Calibri" w:hAnsi="Calibri"/>
        </w:rPr>
        <w:t xml:space="preserve"> above,</w:t>
      </w:r>
      <w:r w:rsidRPr="00CB0A5A">
        <w:rPr>
          <w:rFonts w:ascii="Calibri" w:hAnsi="Calibri"/>
        </w:rPr>
        <w:t xml:space="preserve"> three of the five approved co-regulatory arrangements </w:t>
      </w:r>
      <w:r>
        <w:rPr>
          <w:rFonts w:ascii="Calibri" w:hAnsi="Calibri"/>
        </w:rPr>
        <w:t>we</w:t>
      </w:r>
      <w:r w:rsidRPr="00CB0A5A">
        <w:rPr>
          <w:rFonts w:ascii="Calibri" w:hAnsi="Calibri"/>
        </w:rPr>
        <w:t>re required to provide access to recycling services across areas metropolitan, regional and remote Australia, in line with metrics specified in the Regulations</w:t>
      </w:r>
      <w:r>
        <w:rPr>
          <w:rFonts w:ascii="Calibri" w:hAnsi="Calibri"/>
        </w:rPr>
        <w:t>. T</w:t>
      </w:r>
      <w:r w:rsidRPr="00CB0A5A">
        <w:rPr>
          <w:rFonts w:ascii="Calibri" w:hAnsi="Calibri"/>
        </w:rPr>
        <w:t xml:space="preserve">he remaining two arrangements are required to deliver reasonable access within twelve months of their approval. </w:t>
      </w:r>
      <w:r>
        <w:rPr>
          <w:rFonts w:ascii="Calibri" w:hAnsi="Calibri"/>
        </w:rPr>
        <w:t>Following these initial deadlines, each arrangement must continue to provide collection each financial year to communities in metropolitan and regional areas of Australia and every two years to communities in remote areas.</w:t>
      </w:r>
    </w:p>
    <w:p w:rsidR="00D31B84" w:rsidRDefault="001B7976" w:rsidP="00145A0D">
      <w:pPr>
        <w:rPr>
          <w:rFonts w:ascii="Calibri" w:hAnsi="Calibri" w:cs="Arial"/>
          <w:lang w:eastAsia="en-AU"/>
        </w:rPr>
      </w:pPr>
      <w:r>
        <w:rPr>
          <w:rFonts w:ascii="Calibri" w:hAnsi="Calibri"/>
        </w:rPr>
        <w:t xml:space="preserve">Although analysis of import data is not yet finalised, television and computer waste arising for </w:t>
      </w:r>
      <w:r w:rsidRPr="00CB0A5A">
        <w:rPr>
          <w:rFonts w:ascii="Calibri" w:hAnsi="Calibri"/>
        </w:rPr>
        <w:t>2013</w:t>
      </w:r>
      <w:r>
        <w:rPr>
          <w:rFonts w:ascii="Calibri" w:hAnsi="Calibri"/>
        </w:rPr>
        <w:t>–</w:t>
      </w:r>
      <w:r w:rsidRPr="00CB0A5A">
        <w:rPr>
          <w:rFonts w:ascii="Calibri" w:hAnsi="Calibri"/>
        </w:rPr>
        <w:t xml:space="preserve">14 is </w:t>
      </w:r>
      <w:r>
        <w:rPr>
          <w:rFonts w:ascii="Calibri" w:hAnsi="Calibri"/>
        </w:rPr>
        <w:t xml:space="preserve">likely to be around </w:t>
      </w:r>
      <w:r w:rsidRPr="008C641C">
        <w:rPr>
          <w:rFonts w:ascii="Calibri" w:hAnsi="Calibri"/>
        </w:rPr>
        <w:t>131,000</w:t>
      </w:r>
      <w:r>
        <w:rPr>
          <w:rFonts w:ascii="Calibri" w:hAnsi="Calibri"/>
        </w:rPr>
        <w:t xml:space="preserve"> tonnes. </w:t>
      </w:r>
      <w:r>
        <w:rPr>
          <w:rFonts w:ascii="Calibri" w:hAnsi="Calibri" w:cs="Arial"/>
          <w:lang w:eastAsia="en-AU"/>
        </w:rPr>
        <w:t xml:space="preserve">This will be calculated from the average converted weight of the previous three years’ total imports and manufacturing of televisions and computers, multiplied by a scaling factor of 0.9. The total converted weight of all television and computers imported or manufactured in Australia was 159,165 tonnes in 2010–11, 143,324 tonnes in 2011–12 and around 136,000 tonnes in 2012–13. </w:t>
      </w:r>
    </w:p>
    <w:p w:rsidR="0082533B" w:rsidRDefault="001B7976" w:rsidP="00145A0D">
      <w:pPr>
        <w:rPr>
          <w:rFonts w:ascii="Calibri" w:hAnsi="Calibri"/>
        </w:rPr>
      </w:pPr>
      <w:r>
        <w:rPr>
          <w:rFonts w:ascii="Calibri" w:hAnsi="Calibri"/>
        </w:rPr>
        <w:t xml:space="preserve">The scheme target in 2013–14 will be 33 per cent of the total waste arising. Total recycling under the scheme in 2013–14, taking into account the 33 per cent target and the effect on arrangements’ recycling targets of carrying over excess recycling and a recycling shortfall, is expected to be around 44,000 tonnes.  </w:t>
      </w:r>
    </w:p>
    <w:p w:rsidR="001B7C19" w:rsidRPr="00CB0A5A" w:rsidRDefault="001B7976" w:rsidP="00145A0D">
      <w:pPr>
        <w:rPr>
          <w:rFonts w:ascii="Calibri" w:hAnsi="Calibri"/>
        </w:rPr>
      </w:pPr>
      <w:r>
        <w:rPr>
          <w:rFonts w:ascii="Calibri" w:hAnsi="Calibri"/>
        </w:rPr>
        <w:t>Initial data provided by</w:t>
      </w:r>
      <w:r w:rsidRPr="00CB0A5A">
        <w:rPr>
          <w:rFonts w:ascii="Calibri" w:hAnsi="Calibri"/>
        </w:rPr>
        <w:t xml:space="preserve"> co-regulatory arrangements indicates that </w:t>
      </w:r>
      <w:r>
        <w:rPr>
          <w:rFonts w:ascii="Calibri" w:hAnsi="Calibri"/>
        </w:rPr>
        <w:t>between 23,000 and 24,000</w:t>
      </w:r>
      <w:r w:rsidRPr="00CB0A5A">
        <w:rPr>
          <w:rFonts w:ascii="Calibri" w:hAnsi="Calibri"/>
        </w:rPr>
        <w:t xml:space="preserve"> tonnes of </w:t>
      </w:r>
      <w:r>
        <w:rPr>
          <w:rFonts w:ascii="Calibri" w:hAnsi="Calibri"/>
        </w:rPr>
        <w:t>televisions and computers were recycled under the scheme</w:t>
      </w:r>
      <w:r w:rsidRPr="00CB0A5A">
        <w:rPr>
          <w:rFonts w:ascii="Calibri" w:hAnsi="Calibri"/>
        </w:rPr>
        <w:t xml:space="preserve"> in the first </w:t>
      </w:r>
      <w:r>
        <w:rPr>
          <w:rFonts w:ascii="Calibri" w:hAnsi="Calibri"/>
        </w:rPr>
        <w:t>half</w:t>
      </w:r>
      <w:r w:rsidRPr="00CB0A5A">
        <w:rPr>
          <w:rFonts w:ascii="Calibri" w:hAnsi="Calibri"/>
        </w:rPr>
        <w:t xml:space="preserve"> of 2013</w:t>
      </w:r>
      <w:r>
        <w:rPr>
          <w:rFonts w:ascii="Calibri" w:hAnsi="Calibri"/>
        </w:rPr>
        <w:t>–</w:t>
      </w:r>
      <w:r w:rsidRPr="00CB0A5A">
        <w:rPr>
          <w:rFonts w:ascii="Calibri" w:hAnsi="Calibri"/>
        </w:rPr>
        <w:t xml:space="preserve">14, putting the </w:t>
      </w:r>
      <w:r>
        <w:rPr>
          <w:rFonts w:ascii="Calibri" w:hAnsi="Calibri"/>
        </w:rPr>
        <w:t>s</w:t>
      </w:r>
      <w:r w:rsidRPr="00CB0A5A">
        <w:rPr>
          <w:rFonts w:ascii="Calibri" w:hAnsi="Calibri"/>
        </w:rPr>
        <w:t xml:space="preserve">cheme on track to </w:t>
      </w:r>
      <w:r>
        <w:rPr>
          <w:rFonts w:ascii="Calibri" w:hAnsi="Calibri"/>
        </w:rPr>
        <w:t>exceed</w:t>
      </w:r>
      <w:r w:rsidRPr="00CB0A5A">
        <w:rPr>
          <w:rFonts w:ascii="Calibri" w:hAnsi="Calibri"/>
        </w:rPr>
        <w:t xml:space="preserve"> its </w:t>
      </w:r>
      <w:r>
        <w:rPr>
          <w:rFonts w:ascii="Calibri" w:hAnsi="Calibri"/>
        </w:rPr>
        <w:t>overall</w:t>
      </w:r>
      <w:r w:rsidRPr="00CB0A5A">
        <w:rPr>
          <w:rFonts w:ascii="Calibri" w:hAnsi="Calibri"/>
        </w:rPr>
        <w:t xml:space="preserve"> recycling target</w:t>
      </w:r>
      <w:r>
        <w:rPr>
          <w:rFonts w:ascii="Calibri" w:hAnsi="Calibri"/>
        </w:rPr>
        <w:t>, although, as in 2013–14, there is disparity in the performance of arrangements against their individual targets</w:t>
      </w:r>
      <w:r w:rsidRPr="00CB0A5A">
        <w:rPr>
          <w:rFonts w:ascii="Calibri" w:hAnsi="Calibri"/>
        </w:rPr>
        <w:t xml:space="preserve">. </w:t>
      </w:r>
      <w:r>
        <w:rPr>
          <w:rFonts w:ascii="Calibri" w:hAnsi="Calibri"/>
        </w:rPr>
        <w:t>As industry achieves its target over the course of the year, it will be important that this effort is supported by the continuation of recycling by state, territory and local governments of waste televisions and computers falling outside industry’s target under the scheme.</w:t>
      </w:r>
    </w:p>
    <w:p w:rsidR="00145A0D" w:rsidRDefault="00F11599" w:rsidP="003C7142">
      <w:pPr>
        <w:rPr>
          <w:rFonts w:ascii="Calibri" w:hAnsi="Calibri"/>
        </w:rPr>
      </w:pPr>
    </w:p>
    <w:p w:rsidR="006A1CAB" w:rsidRDefault="00F11599" w:rsidP="003C7142">
      <w:pPr>
        <w:rPr>
          <w:rFonts w:ascii="Calibri" w:hAnsi="Calibri"/>
        </w:rPr>
      </w:pPr>
    </w:p>
    <w:p w:rsidR="006A1CAB" w:rsidRDefault="00F11599" w:rsidP="003C7142">
      <w:pPr>
        <w:rPr>
          <w:rFonts w:ascii="Calibri" w:hAnsi="Calibri"/>
        </w:rPr>
      </w:pPr>
    </w:p>
    <w:p w:rsidR="00A267FA" w:rsidRPr="007A252C" w:rsidRDefault="00F11599" w:rsidP="007A252C"/>
    <w:sectPr w:rsidR="00A267FA" w:rsidRPr="007A252C" w:rsidSect="001B7C19">
      <w:pgSz w:w="11906" w:h="16838" w:code="9"/>
      <w:pgMar w:top="1418" w:right="1276" w:bottom="567" w:left="1418" w:header="425"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6520" w:rsidRDefault="00786520" w:rsidP="00786520">
      <w:pPr>
        <w:spacing w:after="0" w:line="240" w:lineRule="auto"/>
      </w:pPr>
      <w:r>
        <w:separator/>
      </w:r>
    </w:p>
  </w:endnote>
  <w:endnote w:type="continuationSeparator" w:id="0">
    <w:p w:rsidR="00786520" w:rsidRDefault="00786520" w:rsidP="007865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43830"/>
      <w:docPartObj>
        <w:docPartGallery w:val="Page Numbers (Bottom of Page)"/>
        <w:docPartUnique/>
      </w:docPartObj>
    </w:sdtPr>
    <w:sdtContent>
      <w:p w:rsidR="001B4C94" w:rsidRDefault="00090FCD">
        <w:pPr>
          <w:pStyle w:val="Footer"/>
          <w:jc w:val="center"/>
        </w:pPr>
        <w:r>
          <w:fldChar w:fldCharType="begin"/>
        </w:r>
        <w:r w:rsidR="001B7976">
          <w:instrText xml:space="preserve"> PAGE   \* MERGEFORMAT </w:instrText>
        </w:r>
        <w:r>
          <w:fldChar w:fldCharType="separate"/>
        </w:r>
        <w:r w:rsidR="00F11599">
          <w:rPr>
            <w:noProof/>
          </w:rPr>
          <w:t>12</w:t>
        </w:r>
        <w:r>
          <w:rPr>
            <w:noProof/>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C94" w:rsidRDefault="001B7976">
    <w:pPr>
      <w:pStyle w:val="Footer"/>
    </w:pPr>
    <w:r>
      <w:rPr>
        <w:noProof/>
        <w:lang w:eastAsia="en-AU"/>
      </w:rPr>
      <w:drawing>
        <wp:anchor distT="0" distB="0" distL="114300" distR="114300" simplePos="0" relativeHeight="251661312" behindDoc="1" locked="0" layoutInCell="1" allowOverlap="1">
          <wp:simplePos x="0" y="0"/>
          <wp:positionH relativeFrom="page">
            <wp:posOffset>76200</wp:posOffset>
          </wp:positionH>
          <wp:positionV relativeFrom="page">
            <wp:posOffset>6515100</wp:posOffset>
          </wp:positionV>
          <wp:extent cx="7448550" cy="2821420"/>
          <wp:effectExtent l="19050" t="0" r="0" b="0"/>
          <wp:wrapNone/>
          <wp:docPr id="2" name="Picture 1" descr="\\pvac01file02\user$\A11944\Profile\Downloads\eadig1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user$\A11944\Profile\Downloads\eadig11773.jpg"/>
                  <pic:cNvPicPr>
                    <a:picLocks noChangeAspect="1" noChangeArrowheads="1"/>
                  </pic:cNvPicPr>
                </pic:nvPicPr>
                <pic:blipFill>
                  <a:blip r:embed="rId1"/>
                  <a:srcRect t="12185" b="8123"/>
                  <a:stretch>
                    <a:fillRect/>
                  </a:stretch>
                </pic:blipFill>
                <pic:spPr bwMode="auto">
                  <a:xfrm>
                    <a:off x="0" y="0"/>
                    <a:ext cx="7448550" cy="2821420"/>
                  </a:xfrm>
                  <a:prstGeom prst="rect">
                    <a:avLst/>
                  </a:prstGeom>
                  <a:noFill/>
                  <a:ln w="9525">
                    <a:noFill/>
                    <a:miter lim="800000"/>
                    <a:headEnd/>
                    <a:tailEnd/>
                  </a:ln>
                </pic:spPr>
              </pic:pic>
            </a:graphicData>
          </a:graphic>
        </wp:anchor>
      </w:drawing>
    </w:r>
    <w:r w:rsidRPr="001E3C58">
      <w:rPr>
        <w:noProof/>
        <w:lang w:eastAsia="en-AU"/>
      </w:rPr>
      <w:drawing>
        <wp:anchor distT="0" distB="0" distL="114300" distR="114300" simplePos="0" relativeHeight="251659264" behindDoc="0" locked="0" layoutInCell="1" allowOverlap="1">
          <wp:simplePos x="0" y="0"/>
          <wp:positionH relativeFrom="page">
            <wp:posOffset>-2092</wp:posOffset>
          </wp:positionH>
          <wp:positionV relativeFrom="page">
            <wp:posOffset>9889262</wp:posOffset>
          </wp:positionV>
          <wp:extent cx="7591936" cy="37310"/>
          <wp:effectExtent l="19050" t="0" r="9014" b="0"/>
          <wp:wrapNone/>
          <wp:docPr id="6" name="Picture 1" descr="C:\Users\a11944\AppData\Local\Microsoft\Windows\Temporary Internet Files\Content.Outlook\DEX22WEH\HR_dotted_line_dark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preferRelativeResize="0">
                    <a:picLocks noChangeAspect="1" noChangeArrowheads="1"/>
                  </pic:cNvPicPr>
                </pic:nvPicPr>
                <pic:blipFill>
                  <a:blip r:embed="rId2"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2476"/>
      <w:docPartObj>
        <w:docPartGallery w:val="Page Numbers (Bottom of Page)"/>
        <w:docPartUnique/>
      </w:docPartObj>
    </w:sdtPr>
    <w:sdtContent>
      <w:p w:rsidR="001B4C94" w:rsidRDefault="00090FCD" w:rsidP="003A7D43">
        <w:pPr>
          <w:pStyle w:val="Footer"/>
          <w:jc w:val="center"/>
        </w:pPr>
        <w:sdt>
          <w:sdtPr>
            <w:id w:val="176660734"/>
            <w:docPartObj>
              <w:docPartGallery w:val="Page Numbers (Bottom of Page)"/>
              <w:docPartUnique/>
            </w:docPartObj>
          </w:sdtPr>
          <w:sdtContent>
            <w:r>
              <w:fldChar w:fldCharType="begin"/>
            </w:r>
            <w:r w:rsidR="001B7976">
              <w:instrText xml:space="preserve"> PAGE   \* MERGEFORMAT </w:instrText>
            </w:r>
            <w:r>
              <w:fldChar w:fldCharType="separate"/>
            </w:r>
            <w:r w:rsidR="00F11599">
              <w:rPr>
                <w:noProof/>
              </w:rPr>
              <w:t>3</w:t>
            </w:r>
            <w:r>
              <w:rPr>
                <w:noProof/>
              </w:rPr>
              <w:fldChar w:fldCharType="end"/>
            </w:r>
          </w:sdtContent>
        </w:sdt>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6520" w:rsidRDefault="00786520" w:rsidP="00786520">
      <w:pPr>
        <w:spacing w:after="0" w:line="240" w:lineRule="auto"/>
      </w:pPr>
      <w:r>
        <w:separator/>
      </w:r>
    </w:p>
  </w:footnote>
  <w:footnote w:type="continuationSeparator" w:id="0">
    <w:p w:rsidR="00786520" w:rsidRDefault="00786520" w:rsidP="007865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C94" w:rsidRDefault="00090FCD" w:rsidP="00E45765">
    <w:pPr>
      <w:pStyle w:val="Classification"/>
    </w:pPr>
    <w:fldSimple w:instr=" DOCPROPERTY SecurityClassification \* MERGEFORMAT ">
      <w:r w:rsidR="001B7976">
        <w:rPr>
          <w:b/>
          <w:bCs/>
          <w:lang w:val="en-US"/>
        </w:rPr>
        <w:t>UNCLASSIFIED</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C94" w:rsidRDefault="00F11599">
    <w:pPr>
      <w:pStyle w:val="Header"/>
    </w:pPr>
  </w:p>
  <w:p w:rsidR="001B4C94" w:rsidRDefault="00F11599">
    <w:pPr>
      <w:pStyle w:val="Header"/>
    </w:pPr>
  </w:p>
  <w:p w:rsidR="001B4C94" w:rsidRDefault="00F11599">
    <w:pPr>
      <w:pStyle w:val="Header"/>
    </w:pPr>
  </w:p>
  <w:p w:rsidR="001B4C94" w:rsidRDefault="00F11599">
    <w:pPr>
      <w:pStyle w:val="Header"/>
    </w:pPr>
  </w:p>
  <w:p w:rsidR="001B4C94" w:rsidRDefault="001B7976">
    <w:pPr>
      <w:pStyle w:val="Header"/>
    </w:pPr>
    <w:r>
      <w:rPr>
        <w:noProof/>
        <w:lang w:eastAsia="en-AU"/>
      </w:rPr>
      <w:drawing>
        <wp:anchor distT="0" distB="0" distL="114300" distR="114300" simplePos="0" relativeHeight="251662336" behindDoc="0" locked="0" layoutInCell="1" allowOverlap="1">
          <wp:simplePos x="0" y="0"/>
          <wp:positionH relativeFrom="column">
            <wp:posOffset>-157480</wp:posOffset>
          </wp:positionH>
          <wp:positionV relativeFrom="paragraph">
            <wp:posOffset>1905</wp:posOffset>
          </wp:positionV>
          <wp:extent cx="3177540" cy="685800"/>
          <wp:effectExtent l="19050" t="0" r="3810" b="0"/>
          <wp:wrapNone/>
          <wp:docPr id="1" name="Picture 0" descr="DSEWPaC-inline_stacked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EWPaC-inline_stacked_blue.png"/>
                  <pic:cNvPicPr/>
                </pic:nvPicPr>
                <pic:blipFill>
                  <a:blip r:embed="rId1"/>
                  <a:stretch>
                    <a:fillRect/>
                  </a:stretch>
                </pic:blipFill>
                <pic:spPr>
                  <a:xfrm>
                    <a:off x="0" y="0"/>
                    <a:ext cx="3177540" cy="68580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C94" w:rsidRDefault="00F1159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CC4A226"/>
    <w:lvl w:ilvl="0">
      <w:start w:val="1"/>
      <w:numFmt w:val="bullet"/>
      <w:lvlText w:val=""/>
      <w:lvlJc w:val="left"/>
      <w:pPr>
        <w:tabs>
          <w:tab w:val="num" w:pos="360"/>
        </w:tabs>
        <w:ind w:left="360" w:hanging="360"/>
      </w:pPr>
      <w:rPr>
        <w:rFonts w:ascii="Symbol" w:hAnsi="Symbol" w:hint="default"/>
      </w:rPr>
    </w:lvl>
  </w:abstractNum>
  <w:abstractNum w:abstractNumId="1">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nsid w:val="1F745BC2"/>
    <w:multiLevelType w:val="multilevel"/>
    <w:tmpl w:val="E5E89F92"/>
    <w:numStyleLink w:val="BulletList"/>
  </w:abstractNum>
  <w:abstractNum w:abstractNumId="3">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65456429"/>
    <w:multiLevelType w:val="multilevel"/>
    <w:tmpl w:val="E898CC72"/>
    <w:numStyleLink w:val="KeyPoints"/>
  </w:abstractNum>
  <w:abstractNum w:abstractNumId="6">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6"/>
  </w:num>
  <w:num w:numId="2">
    <w:abstractNumId w:val="1"/>
  </w:num>
  <w:num w:numId="3">
    <w:abstractNumId w:val="4"/>
  </w:num>
  <w:num w:numId="4">
    <w:abstractNumId w:val="3"/>
  </w:num>
  <w:num w:numId="5">
    <w:abstractNumId w:val="5"/>
  </w:num>
  <w:num w:numId="6">
    <w:abstractNumId w:val="2"/>
  </w:num>
  <w:num w:numId="7">
    <w:abstractNumId w:val="2"/>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attachedTemplate r:id="rId1"/>
  <w:doNotTrackMove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docVars>
    <w:docVar w:name="SecurityClassificationInHeader" w:val="False"/>
  </w:docVars>
  <w:rsids>
    <w:rsidRoot w:val="00786520"/>
    <w:rsid w:val="00090FCD"/>
    <w:rsid w:val="001B7976"/>
    <w:rsid w:val="00786520"/>
    <w:rsid w:val="00F1159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List Continue" w:semiHidden="0" w:unhideWhenUsed="0"/>
    <w:lsdException w:name="Subtitle" w:uiPriority="11"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7A252C"/>
    <w:pPr>
      <w:spacing w:after="200" w:line="276" w:lineRule="auto"/>
    </w:pPr>
    <w:rPr>
      <w:sz w:val="22"/>
      <w:szCs w:val="22"/>
      <w:lang w:eastAsia="en-US"/>
    </w:rPr>
  </w:style>
  <w:style w:type="paragraph" w:styleId="Heading1">
    <w:name w:val="heading 1"/>
    <w:basedOn w:val="Normal"/>
    <w:next w:val="Normal"/>
    <w:link w:val="Heading1Char"/>
    <w:uiPriority w:val="9"/>
    <w:qFormat/>
    <w:rsid w:val="00CC2403"/>
    <w:pPr>
      <w:keepNext/>
      <w:outlineLvl w:val="0"/>
    </w:pPr>
    <w:rPr>
      <w:rFonts w:ascii="Calibri" w:hAnsi="Calibri" w:cs="Arial"/>
      <w:b/>
      <w:caps/>
      <w:sz w:val="40"/>
      <w:szCs w:val="40"/>
    </w:rPr>
  </w:style>
  <w:style w:type="paragraph" w:styleId="Heading2">
    <w:name w:val="heading 2"/>
    <w:basedOn w:val="Normal"/>
    <w:next w:val="Normal"/>
    <w:link w:val="Heading2Char"/>
    <w:uiPriority w:val="9"/>
    <w:qFormat/>
    <w:rsid w:val="00CA743D"/>
    <w:pPr>
      <w:keepNext/>
      <w:outlineLvl w:val="1"/>
    </w:pPr>
    <w:rPr>
      <w:rFonts w:cs="Arial"/>
      <w:b/>
    </w:rPr>
  </w:style>
  <w:style w:type="paragraph" w:styleId="Heading3">
    <w:name w:val="heading 3"/>
    <w:basedOn w:val="Normal"/>
    <w:next w:val="Normal"/>
    <w:link w:val="Heading3Char"/>
    <w:uiPriority w:val="9"/>
    <w:qFormat/>
    <w:rsid w:val="00CA743D"/>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C2403"/>
    <w:rPr>
      <w:rFonts w:ascii="Calibri" w:hAnsi="Calibri" w:cs="Arial"/>
      <w:b/>
      <w:caps/>
      <w:sz w:val="40"/>
      <w:szCs w:val="40"/>
      <w:lang w:eastAsia="en-US"/>
    </w:rPr>
  </w:style>
  <w:style w:type="character" w:customStyle="1" w:styleId="Heading2Char">
    <w:name w:val="Heading 2 Char"/>
    <w:basedOn w:val="DefaultParagraphFont"/>
    <w:link w:val="Heading2"/>
    <w:uiPriority w:val="9"/>
    <w:rsid w:val="00CA743D"/>
    <w:rPr>
      <w:rFonts w:cs="Arial"/>
      <w:b/>
      <w:sz w:val="22"/>
      <w:szCs w:val="22"/>
      <w:lang w:eastAsia="en-US"/>
    </w:rPr>
  </w:style>
  <w:style w:type="character" w:customStyle="1" w:styleId="Heading3Char">
    <w:name w:val="Heading 3 Char"/>
    <w:basedOn w:val="DefaultParagraphFont"/>
    <w:link w:val="Heading3"/>
    <w:uiPriority w:val="9"/>
    <w:rsid w:val="00CA743D"/>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semiHidden/>
    <w:unhideWhenUsed/>
    <w:rsid w:val="007A25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252C"/>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basedOn w:val="Normal"/>
    <w:next w:val="Normal"/>
    <w:uiPriority w:val="35"/>
    <w:unhideWhenUsed/>
    <w:qFormat/>
    <w:rsid w:val="007A252C"/>
    <w:pPr>
      <w:spacing w:after="80"/>
    </w:pPr>
    <w:rPr>
      <w:b/>
      <w:bCs/>
      <w:sz w:val="20"/>
      <w:szCs w:val="18"/>
    </w:rPr>
  </w:style>
  <w:style w:type="paragraph" w:customStyle="1" w:styleId="ReportTitle">
    <w:name w:val="Report Title"/>
    <w:basedOn w:val="Normal"/>
    <w:uiPriority w:val="11"/>
    <w:qFormat/>
    <w:rsid w:val="00F96E05"/>
    <w:rPr>
      <w:b/>
      <w:color w:val="17365D" w:themeColor="text2" w:themeShade="BF"/>
      <w:sz w:val="52"/>
    </w:rPr>
  </w:style>
  <w:style w:type="paragraph" w:customStyle="1" w:styleId="Reportsubtitle">
    <w:name w:val="Report sub title"/>
    <w:basedOn w:val="ReportTitle"/>
    <w:uiPriority w:val="11"/>
    <w:qFormat/>
    <w:rsid w:val="006E1D7B"/>
    <w:rPr>
      <w:b w:val="0"/>
      <w:color w:val="auto"/>
      <w:sz w:val="32"/>
    </w:rPr>
  </w:style>
  <w:style w:type="paragraph" w:styleId="TOCHeading">
    <w:name w:val="TOC Heading"/>
    <w:basedOn w:val="Heading1"/>
    <w:next w:val="Normal"/>
    <w:uiPriority w:val="39"/>
    <w:unhideWhenUsed/>
    <w:qFormat/>
    <w:rsid w:val="00CA743D"/>
    <w:pPr>
      <w:keepLines/>
      <w:spacing w:before="480" w:after="360"/>
      <w:outlineLvl w:val="9"/>
    </w:pPr>
    <w:rPr>
      <w:bCs/>
      <w:szCs w:val="28"/>
      <w:lang w:val="en-US"/>
    </w:rPr>
  </w:style>
  <w:style w:type="paragraph" w:styleId="TOC1">
    <w:name w:val="toc 1"/>
    <w:basedOn w:val="Normal"/>
    <w:next w:val="Normal"/>
    <w:autoRedefine/>
    <w:uiPriority w:val="39"/>
    <w:unhideWhenUsed/>
    <w:rsid w:val="00D5672F"/>
    <w:pPr>
      <w:spacing w:after="100"/>
    </w:pPr>
    <w:rPr>
      <w:b/>
    </w:rPr>
  </w:style>
  <w:style w:type="paragraph" w:styleId="TOC2">
    <w:name w:val="toc 2"/>
    <w:basedOn w:val="Normal"/>
    <w:next w:val="Normal"/>
    <w:autoRedefine/>
    <w:uiPriority w:val="39"/>
    <w:unhideWhenUsed/>
    <w:rsid w:val="00D5672F"/>
    <w:pPr>
      <w:spacing w:after="100"/>
      <w:ind w:left="220"/>
    </w:pPr>
  </w:style>
  <w:style w:type="paragraph" w:styleId="TOC3">
    <w:name w:val="toc 3"/>
    <w:basedOn w:val="Normal"/>
    <w:next w:val="Normal"/>
    <w:autoRedefine/>
    <w:uiPriority w:val="39"/>
    <w:unhideWhenUsed/>
    <w:rsid w:val="00D5672F"/>
    <w:pPr>
      <w:spacing w:after="100"/>
      <w:ind w:left="440"/>
    </w:pPr>
    <w:rPr>
      <w:i/>
    </w:rPr>
  </w:style>
  <w:style w:type="character" w:styleId="Hyperlink">
    <w:name w:val="Hyperlink"/>
    <w:basedOn w:val="DefaultParagraphFont"/>
    <w:uiPriority w:val="99"/>
    <w:unhideWhenUsed/>
    <w:rsid w:val="00D5672F"/>
    <w:rPr>
      <w:color w:val="0000FF" w:themeColor="hyperlink"/>
      <w:u w:val="single"/>
    </w:rPr>
  </w:style>
  <w:style w:type="character" w:styleId="CommentReference">
    <w:name w:val="annotation reference"/>
    <w:basedOn w:val="DefaultParagraphFont"/>
    <w:uiPriority w:val="99"/>
    <w:semiHidden/>
    <w:unhideWhenUsed/>
    <w:rsid w:val="007518BF"/>
    <w:rPr>
      <w:sz w:val="16"/>
      <w:szCs w:val="16"/>
    </w:rPr>
  </w:style>
  <w:style w:type="paragraph" w:styleId="CommentText">
    <w:name w:val="annotation text"/>
    <w:basedOn w:val="Normal"/>
    <w:link w:val="CommentTextChar"/>
    <w:uiPriority w:val="99"/>
    <w:semiHidden/>
    <w:unhideWhenUsed/>
    <w:rsid w:val="007518BF"/>
    <w:pPr>
      <w:spacing w:line="240" w:lineRule="auto"/>
    </w:pPr>
    <w:rPr>
      <w:sz w:val="20"/>
      <w:szCs w:val="20"/>
    </w:rPr>
  </w:style>
  <w:style w:type="character" w:customStyle="1" w:styleId="CommentTextChar">
    <w:name w:val="Comment Text Char"/>
    <w:basedOn w:val="DefaultParagraphFont"/>
    <w:link w:val="CommentText"/>
    <w:uiPriority w:val="99"/>
    <w:semiHidden/>
    <w:rsid w:val="007518BF"/>
    <w:rPr>
      <w:lang w:eastAsia="en-US"/>
    </w:rPr>
  </w:style>
  <w:style w:type="paragraph" w:styleId="NormalWeb">
    <w:name w:val="Normal (Web)"/>
    <w:basedOn w:val="Normal"/>
    <w:uiPriority w:val="99"/>
    <w:unhideWhenUsed/>
    <w:rsid w:val="001964E8"/>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Default">
    <w:name w:val="Default"/>
    <w:rsid w:val="00D53BF3"/>
    <w:pPr>
      <w:autoSpaceDE w:val="0"/>
      <w:autoSpaceDN w:val="0"/>
      <w:adjustRightInd w:val="0"/>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673CFB"/>
    <w:rPr>
      <w:b/>
      <w:bCs/>
    </w:rPr>
  </w:style>
  <w:style w:type="character" w:customStyle="1" w:styleId="CommentSubjectChar">
    <w:name w:val="Comment Subject Char"/>
    <w:basedOn w:val="CommentTextChar"/>
    <w:link w:val="CommentSubject"/>
    <w:uiPriority w:val="99"/>
    <w:semiHidden/>
    <w:rsid w:val="00673CFB"/>
    <w:rPr>
      <w:b/>
      <w:bCs/>
    </w:rPr>
  </w:style>
  <w:style w:type="character" w:styleId="Strong">
    <w:name w:val="Strong"/>
    <w:basedOn w:val="DefaultParagraphFont"/>
    <w:uiPriority w:val="22"/>
    <w:qFormat/>
    <w:rsid w:val="00DA6C4D"/>
    <w:rPr>
      <w:b/>
      <w:bCs/>
      <w:sz w:val="24"/>
      <w:szCs w:val="24"/>
      <w:bdr w:val="nil"/>
      <w:vertAlign w:val="baselin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govt\departmentaltemplates\Departmental%20Templates\Internal%20report%20template.dot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pvac01file01\shared$\EST\TV%20&amp;%20Computer%20Regulator%20Implementation\Communications\110908%20MetaEconomics%20waste%20estimates%20-%20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AU"/>
  <c:chart>
    <c:title>
      <c:tx>
        <c:rich>
          <a:bodyPr/>
          <a:lstStyle/>
          <a:p>
            <a:pPr>
              <a:defRPr/>
            </a:pPr>
            <a:r>
              <a:rPr lang="en-US" sz="1400"/>
              <a:t>Recycling target is a proportion of TV and computer waste generated in that year</a:t>
            </a:r>
          </a:p>
        </c:rich>
      </c:tx>
      <c:layout>
        <c:manualLayout>
          <c:xMode val="edge"/>
          <c:yMode val="edge"/>
          <c:x val="0.10993547470009211"/>
          <c:y val="3.4090909090909095E-2"/>
        </c:manualLayout>
      </c:layout>
    </c:title>
    <c:view3D>
      <c:rAngAx val="1"/>
    </c:view3D>
    <c:plotArea>
      <c:layout/>
      <c:bar3DChart>
        <c:barDir val="col"/>
        <c:grouping val="stacked"/>
        <c:ser>
          <c:idx val="0"/>
          <c:order val="0"/>
          <c:tx>
            <c:strRef>
              <c:f>Sheet1!$G$8</c:f>
              <c:strCache>
                <c:ptCount val="1"/>
                <c:pt idx="0">
                  <c:v>Recycling target amount</c:v>
                </c:pt>
              </c:strCache>
            </c:strRef>
          </c:tx>
          <c:cat>
            <c:strRef>
              <c:f>Sheet1!$B$11:$B$23</c:f>
              <c:strCache>
                <c:ptCount val="13"/>
                <c:pt idx="0">
                  <c:v>2011-12*</c:v>
                </c:pt>
                <c:pt idx="1">
                  <c:v>2012-13</c:v>
                </c:pt>
                <c:pt idx="2">
                  <c:v>2013-14</c:v>
                </c:pt>
                <c:pt idx="3">
                  <c:v>2014-15</c:v>
                </c:pt>
                <c:pt idx="4">
                  <c:v>2015-16</c:v>
                </c:pt>
                <c:pt idx="5">
                  <c:v>2016-17</c:v>
                </c:pt>
                <c:pt idx="6">
                  <c:v>2017-18</c:v>
                </c:pt>
                <c:pt idx="7">
                  <c:v>2018-19</c:v>
                </c:pt>
                <c:pt idx="8">
                  <c:v>2019-20</c:v>
                </c:pt>
                <c:pt idx="9">
                  <c:v>2020-21</c:v>
                </c:pt>
                <c:pt idx="10">
                  <c:v>2021-22</c:v>
                </c:pt>
                <c:pt idx="11">
                  <c:v>2022-23</c:v>
                </c:pt>
                <c:pt idx="12">
                  <c:v>2023-24</c:v>
                </c:pt>
              </c:strCache>
            </c:strRef>
          </c:cat>
          <c:val>
            <c:numRef>
              <c:f>Sheet1!$G$11:$G$23</c:f>
              <c:numCache>
                <c:formatCode>0.0</c:formatCode>
                <c:ptCount val="13"/>
                <c:pt idx="0">
                  <c:v>25</c:v>
                </c:pt>
                <c:pt idx="1">
                  <c:v>54.8</c:v>
                </c:pt>
                <c:pt idx="2">
                  <c:v>64.800000000000011</c:v>
                </c:pt>
                <c:pt idx="3">
                  <c:v>72.900000000000006</c:v>
                </c:pt>
                <c:pt idx="4">
                  <c:v>81.099999999999994</c:v>
                </c:pt>
                <c:pt idx="5">
                  <c:v>92.2</c:v>
                </c:pt>
                <c:pt idx="6">
                  <c:v>116.4</c:v>
                </c:pt>
                <c:pt idx="7">
                  <c:v>143.5</c:v>
                </c:pt>
                <c:pt idx="8">
                  <c:v>173.4</c:v>
                </c:pt>
                <c:pt idx="9">
                  <c:v>206.6</c:v>
                </c:pt>
                <c:pt idx="10">
                  <c:v>243.1</c:v>
                </c:pt>
                <c:pt idx="11">
                  <c:v>258</c:v>
                </c:pt>
                <c:pt idx="12">
                  <c:v>274.39999999999969</c:v>
                </c:pt>
              </c:numCache>
            </c:numRef>
          </c:val>
        </c:ser>
        <c:ser>
          <c:idx val="1"/>
          <c:order val="1"/>
          <c:tx>
            <c:strRef>
              <c:f>Sheet1!$H$8</c:f>
              <c:strCache>
                <c:ptCount val="1"/>
                <c:pt idx="0">
                  <c:v>Remainder of waste</c:v>
                </c:pt>
              </c:strCache>
            </c:strRef>
          </c:tx>
          <c:cat>
            <c:strRef>
              <c:f>Sheet1!$B$11:$B$23</c:f>
              <c:strCache>
                <c:ptCount val="13"/>
                <c:pt idx="0">
                  <c:v>2011-12*</c:v>
                </c:pt>
                <c:pt idx="1">
                  <c:v>2012-13</c:v>
                </c:pt>
                <c:pt idx="2">
                  <c:v>2013-14</c:v>
                </c:pt>
                <c:pt idx="3">
                  <c:v>2014-15</c:v>
                </c:pt>
                <c:pt idx="4">
                  <c:v>2015-16</c:v>
                </c:pt>
                <c:pt idx="5">
                  <c:v>2016-17</c:v>
                </c:pt>
                <c:pt idx="6">
                  <c:v>2017-18</c:v>
                </c:pt>
                <c:pt idx="7">
                  <c:v>2018-19</c:v>
                </c:pt>
                <c:pt idx="8">
                  <c:v>2019-20</c:v>
                </c:pt>
                <c:pt idx="9">
                  <c:v>2020-21</c:v>
                </c:pt>
                <c:pt idx="10">
                  <c:v>2021-22</c:v>
                </c:pt>
                <c:pt idx="11">
                  <c:v>2022-23</c:v>
                </c:pt>
                <c:pt idx="12">
                  <c:v>2023-24</c:v>
                </c:pt>
              </c:strCache>
            </c:strRef>
          </c:cat>
          <c:val>
            <c:numRef>
              <c:f>Sheet1!$H$11:$H$23</c:f>
              <c:numCache>
                <c:formatCode>0.0</c:formatCode>
                <c:ptCount val="13"/>
                <c:pt idx="0">
                  <c:v>121.69999999999999</c:v>
                </c:pt>
                <c:pt idx="1">
                  <c:v>127.80000000000001</c:v>
                </c:pt>
                <c:pt idx="2">
                  <c:v>131.6</c:v>
                </c:pt>
                <c:pt idx="3">
                  <c:v>135.4</c:v>
                </c:pt>
                <c:pt idx="4">
                  <c:v>138.19999999999999</c:v>
                </c:pt>
                <c:pt idx="5">
                  <c:v>138.30000000000001</c:v>
                </c:pt>
                <c:pt idx="6">
                  <c:v>126.1</c:v>
                </c:pt>
                <c:pt idx="7">
                  <c:v>112.69999999999999</c:v>
                </c:pt>
                <c:pt idx="8">
                  <c:v>97.5</c:v>
                </c:pt>
                <c:pt idx="9">
                  <c:v>80.300000000000011</c:v>
                </c:pt>
                <c:pt idx="10">
                  <c:v>60.7</c:v>
                </c:pt>
                <c:pt idx="11">
                  <c:v>64.5</c:v>
                </c:pt>
                <c:pt idx="12">
                  <c:v>68.599999999999994</c:v>
                </c:pt>
              </c:numCache>
            </c:numRef>
          </c:val>
        </c:ser>
        <c:shape val="box"/>
        <c:axId val="76982912"/>
        <c:axId val="77050240"/>
        <c:axId val="0"/>
      </c:bar3DChart>
      <c:catAx>
        <c:axId val="76982912"/>
        <c:scaling>
          <c:orientation val="minMax"/>
        </c:scaling>
        <c:axPos val="b"/>
        <c:tickLblPos val="nextTo"/>
        <c:crossAx val="77050240"/>
        <c:crosses val="autoZero"/>
        <c:auto val="1"/>
        <c:lblAlgn val="ctr"/>
        <c:lblOffset val="100"/>
      </c:catAx>
      <c:valAx>
        <c:axId val="77050240"/>
        <c:scaling>
          <c:orientation val="minMax"/>
        </c:scaling>
        <c:axPos val="l"/>
        <c:majorGridlines/>
        <c:title>
          <c:tx>
            <c:rich>
              <a:bodyPr rot="-5400000" vert="horz"/>
              <a:lstStyle/>
              <a:p>
                <a:pPr>
                  <a:defRPr/>
                </a:pPr>
                <a:r>
                  <a:rPr lang="en-US"/>
                  <a:t>Amount ('000 tonnes)</a:t>
                </a:r>
              </a:p>
            </c:rich>
          </c:tx>
        </c:title>
        <c:numFmt formatCode="0.0" sourceLinked="1"/>
        <c:tickLblPos val="nextTo"/>
        <c:crossAx val="76982912"/>
        <c:crosses val="autoZero"/>
        <c:crossBetween val="between"/>
      </c:valAx>
    </c:plotArea>
    <c:legend>
      <c:legendPos val="r"/>
      <c:layout>
        <c:manualLayout>
          <c:xMode val="edge"/>
          <c:yMode val="edge"/>
          <c:x val="0.20563639409677309"/>
          <c:y val="0.22540563111429301"/>
          <c:w val="0.29919919584520038"/>
          <c:h val="0.15214328322596088"/>
        </c:manualLayout>
      </c:layout>
      <c:overlay val="1"/>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2.03069E-7</cdr:x>
      <cdr:y>0.94319</cdr:y>
    </cdr:from>
    <cdr:to>
      <cdr:x>0.30368</cdr:x>
      <cdr:y>1</cdr:y>
    </cdr:to>
    <cdr:sp macro="" textlink="">
      <cdr:nvSpPr>
        <cdr:cNvPr id="2" name="TextBox 1"/>
        <cdr:cNvSpPr txBox="1"/>
      </cdr:nvSpPr>
      <cdr:spPr>
        <a:xfrm xmlns:a="http://schemas.openxmlformats.org/drawingml/2006/main">
          <a:off x="1" y="3171840"/>
          <a:ext cx="1495426" cy="1904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 no target in 2011-12</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F0323D0758E1CC4DB72F10C84F2E56D5" ma:contentTypeVersion="" ma:contentTypeDescription="PDMS Document Site Content Type" ma:contentTypeScope="" ma:versionID="24b13280df1f3acacb40f9b7a99e128c">
  <xsd:schema xmlns:xsd="http://www.w3.org/2001/XMLSchema" xmlns:xs="http://www.w3.org/2001/XMLSchema" xmlns:p="http://schemas.microsoft.com/office/2006/metadata/properties" xmlns:ns2="0FB01448-0200-4F83-A4BC-991983F52A42" targetNamespace="http://schemas.microsoft.com/office/2006/metadata/properties" ma:root="true" ma:fieldsID="fc005728f4ba8d48099fde2fce07088f" ns2:_="">
    <xsd:import namespace="0FB01448-0200-4F83-A4BC-991983F52A42"/>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01448-0200-4F83-A4BC-991983F52A42"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SecurityClassification xmlns="0FB01448-0200-4F83-A4BC-991983F52A42">UNCLASSIFIED</SecurityClassificat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14D3A-FE8B-43AE-BF11-3FB92E3B3BDB}">
  <ds:schemaRefs/>
</ds:datastoreItem>
</file>

<file path=customXml/itemProps2.xml><?xml version="1.0" encoding="utf-8"?>
<ds:datastoreItem xmlns:ds="http://schemas.openxmlformats.org/officeDocument/2006/customXml" ds:itemID="{9BAD3DB7-147D-407B-B034-A63C38F3EB9D}">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0FB01448-0200-4F83-A4BC-991983F52A42"/>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B5D39E57-FC39-4C66-BEA5-6F17030C41BC}">
  <ds:schemaRefs/>
</ds:datastoreItem>
</file>

<file path=customXml/itemProps4.xml><?xml version="1.0" encoding="utf-8"?>
<ds:datastoreItem xmlns:ds="http://schemas.openxmlformats.org/officeDocument/2006/customXml" ds:itemID="{13898B7E-8F1C-4A07-95FB-F3CE8E7F0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Internal report template</Template>
  <TotalTime>2</TotalTime>
  <Pages>12</Pages>
  <Words>3785</Words>
  <Characters>21577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Blank document</vt:lpstr>
    </vt:vector>
  </TitlesOfParts>
  <Company>DEWHA</Company>
  <LinksUpToDate>false</LinksUpToDate>
  <CharactersWithSpaces>25312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Television and Computer Recycling Scheme Outcomes 2012-13</dc:title>
  <dc:subject>National TV and Computer Recycling Scheme outcomes 2012-13</dc:subject>
  <dc:creator>a15610</dc:creator>
  <dc:description>New version of template.</dc:description>
  <cp:lastModifiedBy>A00870</cp:lastModifiedBy>
  <cp:revision>3</cp:revision>
  <cp:lastPrinted>2014-02-18T02:50:00Z</cp:lastPrinted>
  <dcterms:created xsi:type="dcterms:W3CDTF">2014-03-03T01:57:00Z</dcterms:created>
  <dcterms:modified xsi:type="dcterms:W3CDTF">2014-03-04T04:44:00Z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itionalSecurityInformation">
    <vt:lpwstr/>
  </property>
  <property fmtid="{D5CDD505-2E9C-101B-9397-08002B2CF9AE}" pid="3" name="ClearanceActualDate">
    <vt:lpwstr>28 February 2014</vt:lpwstr>
  </property>
  <property fmtid="{D5CDD505-2E9C-101B-9397-08002B2CF9AE}" pid="4" name="ClearanceDueDate">
    <vt:lpwstr/>
  </property>
  <property fmtid="{D5CDD505-2E9C-101B-9397-08002B2CF9AE}" pid="5" name="ContentTypeId">
    <vt:lpwstr>0x010100266966F133664895A6EE3632470D45F500F0323D0758E1CC4DB72F10C84F2E56D5</vt:lpwstr>
  </property>
  <property fmtid="{D5CDD505-2E9C-101B-9397-08002B2CF9AE}" pid="6" name="Electorates">
    <vt:lpwstr> </vt:lpwstr>
  </property>
  <property fmtid="{D5CDD505-2E9C-101B-9397-08002B2CF9AE}" pid="7" name="FileNumber">
    <vt:lpwstr/>
  </property>
  <property fmtid="{D5CDD505-2E9C-101B-9397-08002B2CF9AE}" pid="8" name="GroupResponsible">
    <vt:lpwstr>Environment Quality Division (EQD)</vt:lpwstr>
  </property>
  <property fmtid="{D5CDD505-2E9C-101B-9397-08002B2CF9AE}" pid="9" name="HandlingProtocol">
    <vt:lpwstr>Standard</vt:lpwstr>
  </property>
  <property fmtid="{D5CDD505-2E9C-101B-9397-08002B2CF9AE}" pid="10" name="IncludeInPackage">
    <vt:bool>true</vt:bool>
  </property>
  <property fmtid="{D5CDD505-2E9C-101B-9397-08002B2CF9AE}" pid="11" name="InformationMinister">
    <vt:lpwstr> </vt:lpwstr>
  </property>
  <property fmtid="{D5CDD505-2E9C-101B-9397-08002B2CF9AE}" pid="12" name="IsPrimary">
    <vt:bool>true</vt:bool>
  </property>
  <property fmtid="{D5CDD505-2E9C-101B-9397-08002B2CF9AE}" pid="13" name="LastClearingOfficer">
    <vt:lpwstr>Bruce Edwards</vt:lpwstr>
  </property>
  <property fmtid="{D5CDD505-2E9C-101B-9397-08002B2CF9AE}" pid="14" name="Ministers">
    <vt:lpwstr>Greg Hunt</vt:lpwstr>
  </property>
  <property fmtid="{D5CDD505-2E9C-101B-9397-08002B2CF9AE}" pid="15" name="PdrId">
    <vt:lpwstr>MS14-000487</vt:lpwstr>
  </property>
  <property fmtid="{D5CDD505-2E9C-101B-9397-08002B2CF9AE}" pid="16" name="Principal">
    <vt:lpwstr>Minister</vt:lpwstr>
  </property>
  <property fmtid="{D5CDD505-2E9C-101B-9397-08002B2CF9AE}" pid="17" name="ReasonForSensitivity">
    <vt:lpwstr/>
  </property>
  <property fmtid="{D5CDD505-2E9C-101B-9397-08002B2CF9AE}" pid="18" name="RegisteredDate">
    <vt:lpwstr>26 February 2014</vt:lpwstr>
  </property>
  <property fmtid="{D5CDD505-2E9C-101B-9397-08002B2CF9AE}" pid="19" name="RequestedAction">
    <vt:lpwstr>For Decision</vt:lpwstr>
  </property>
  <property fmtid="{D5CDD505-2E9C-101B-9397-08002B2CF9AE}" pid="20" name="ResponsibleMinister">
    <vt:lpwstr>Greg Hunt</vt:lpwstr>
  </property>
  <property fmtid="{D5CDD505-2E9C-101B-9397-08002B2CF9AE}" pid="21" name="SecurityClassification">
    <vt:lpwstr>UNCLASSIFIED</vt:lpwstr>
  </property>
  <property fmtid="{D5CDD505-2E9C-101B-9397-08002B2CF9AE}" pid="22" name="SignedDate">
    <vt:lpwstr/>
  </property>
  <property fmtid="{D5CDD505-2E9C-101B-9397-08002B2CF9AE}" pid="23" name="Subject">
    <vt:lpwstr>National TV and Computer Recycling Scheme outcomes 2012-13</vt:lpwstr>
  </property>
  <property fmtid="{D5CDD505-2E9C-101B-9397-08002B2CF9AE}" pid="24" name="TaskSeqNo">
    <vt:lpwstr>13</vt:lpwstr>
  </property>
  <property fmtid="{D5CDD505-2E9C-101B-9397-08002B2CF9AE}" pid="25" name="TemplateSubType">
    <vt:lpwstr>Standard With Letter</vt:lpwstr>
  </property>
  <property fmtid="{D5CDD505-2E9C-101B-9397-08002B2CF9AE}" pid="26" name="TemplateType">
    <vt:lpwstr>Decision Submission</vt:lpwstr>
  </property>
  <property fmtid="{D5CDD505-2E9C-101B-9397-08002B2CF9AE}" pid="27" name="TrustedGroups">
    <vt:lpwstr>Parliamentary Coordinator MS, DLO, Ministerial Staff - Coalition 2013, Business Administrator, Limited Distribution MS</vt:lpwstr>
  </property>
</Properties>
</file>