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EC" w:rsidRPr="00DC4BEC" w:rsidRDefault="00DC4BEC" w:rsidP="000A3ADB">
      <w:pPr>
        <w:pStyle w:val="Heading1"/>
      </w:pPr>
      <w:bookmarkStart w:id="0" w:name="OLE_LINK1"/>
      <w:bookmarkStart w:id="1" w:name="OLE_LINK2"/>
      <w:r w:rsidRPr="00DC4BEC">
        <w:t>Appendix 4</w:t>
      </w:r>
    </w:p>
    <w:p w:rsidR="008B5D46" w:rsidRPr="00DC4BEC" w:rsidRDefault="00022AD4" w:rsidP="000A3ADB">
      <w:pPr>
        <w:pStyle w:val="Heading1"/>
        <w:rPr>
          <w:sz w:val="28"/>
          <w:szCs w:val="28"/>
          <w:u w:val="single"/>
        </w:rPr>
      </w:pPr>
      <w:r w:rsidRPr="00DC4BEC">
        <w:rPr>
          <w:sz w:val="28"/>
          <w:szCs w:val="28"/>
        </w:rPr>
        <w:t>Qualitative Threat</w:t>
      </w:r>
      <w:r w:rsidR="00DA784D" w:rsidRPr="00DC4BEC">
        <w:rPr>
          <w:sz w:val="28"/>
          <w:szCs w:val="28"/>
        </w:rPr>
        <w:t xml:space="preserve"> Assessment </w:t>
      </w:r>
      <w:r w:rsidR="008B5D46" w:rsidRPr="00DC4BEC">
        <w:rPr>
          <w:sz w:val="28"/>
          <w:szCs w:val="28"/>
        </w:rPr>
        <w:t>Methodology</w:t>
      </w:r>
    </w:p>
    <w:bookmarkEnd w:id="0"/>
    <w:bookmarkEnd w:id="1"/>
    <w:p w:rsidR="00260A09" w:rsidRPr="00260A09" w:rsidRDefault="00260A09" w:rsidP="00722E3E">
      <w:pPr>
        <w:pStyle w:val="ListNumber"/>
        <w:numPr>
          <w:ilvl w:val="0"/>
          <w:numId w:val="0"/>
        </w:numPr>
        <w:rPr>
          <w:rFonts w:cs="Arial"/>
          <w:b/>
        </w:rPr>
      </w:pPr>
      <w:r w:rsidRPr="00260A09">
        <w:rPr>
          <w:rFonts w:cs="Arial"/>
          <w:b/>
        </w:rPr>
        <w:t>Introduction</w:t>
      </w:r>
    </w:p>
    <w:p w:rsidR="00B24950" w:rsidRPr="00B711C2" w:rsidRDefault="00852C4F" w:rsidP="00852C4F">
      <w:pPr>
        <w:rPr>
          <w:rFonts w:cs="Arial"/>
        </w:rPr>
      </w:pPr>
      <w:r w:rsidRPr="00B711C2">
        <w:rPr>
          <w:rFonts w:cs="Arial"/>
        </w:rPr>
        <w:t>The objective of th</w:t>
      </w:r>
      <w:r w:rsidR="0061119F" w:rsidRPr="00B711C2">
        <w:rPr>
          <w:rFonts w:cs="Arial"/>
        </w:rPr>
        <w:t>is</w:t>
      </w:r>
      <w:r w:rsidRPr="00B711C2">
        <w:rPr>
          <w:rFonts w:cs="Arial"/>
        </w:rPr>
        <w:t xml:space="preserve"> </w:t>
      </w:r>
      <w:r w:rsidR="00F61063">
        <w:rPr>
          <w:rFonts w:cs="Arial"/>
        </w:rPr>
        <w:t xml:space="preserve">qualitative </w:t>
      </w:r>
      <w:r w:rsidR="00B24950" w:rsidRPr="00B711C2">
        <w:rPr>
          <w:rFonts w:cs="Arial"/>
        </w:rPr>
        <w:t>threat</w:t>
      </w:r>
      <w:r w:rsidRPr="00B711C2">
        <w:rPr>
          <w:rFonts w:cs="Arial"/>
        </w:rPr>
        <w:t xml:space="preserve"> assessment </w:t>
      </w:r>
      <w:r w:rsidR="00EB3E90">
        <w:rPr>
          <w:rFonts w:cs="Arial"/>
        </w:rPr>
        <w:t>methodology</w:t>
      </w:r>
      <w:r w:rsidR="00CE352E" w:rsidRPr="00B711C2">
        <w:rPr>
          <w:rFonts w:cs="Arial"/>
        </w:rPr>
        <w:t xml:space="preserve"> </w:t>
      </w:r>
      <w:r w:rsidRPr="00B711C2">
        <w:rPr>
          <w:rFonts w:cs="Arial"/>
        </w:rPr>
        <w:t>is to</w:t>
      </w:r>
      <w:r w:rsidR="00CE352E" w:rsidRPr="00B711C2">
        <w:rPr>
          <w:rFonts w:cs="Arial"/>
        </w:rPr>
        <w:t xml:space="preserve"> develop a qualitative analysis that provides a general indication of the level of </w:t>
      </w:r>
      <w:r w:rsidR="00B24950" w:rsidRPr="00B711C2">
        <w:rPr>
          <w:rFonts w:cs="Arial"/>
        </w:rPr>
        <w:t>threat</w:t>
      </w:r>
      <w:r w:rsidR="00CE352E" w:rsidRPr="00B711C2">
        <w:rPr>
          <w:rFonts w:cs="Arial"/>
        </w:rPr>
        <w:t xml:space="preserve">(s) the species </w:t>
      </w:r>
      <w:r w:rsidR="00667A22" w:rsidRPr="00B711C2">
        <w:rPr>
          <w:rFonts w:cs="Arial"/>
        </w:rPr>
        <w:t xml:space="preserve">is potentially </w:t>
      </w:r>
      <w:r w:rsidR="00B24950" w:rsidRPr="00B711C2">
        <w:rPr>
          <w:rFonts w:cs="Arial"/>
        </w:rPr>
        <w:t>subject to, based on the likelihood and consequence of the threat if it were to occur,</w:t>
      </w:r>
      <w:r w:rsidR="00667A22" w:rsidRPr="00B711C2">
        <w:rPr>
          <w:rFonts w:cs="Arial"/>
        </w:rPr>
        <w:t xml:space="preserve"> and to provide management recommendations to ameliorate the threats</w:t>
      </w:r>
      <w:r w:rsidR="00B24950" w:rsidRPr="00B711C2">
        <w:rPr>
          <w:rFonts w:cs="Arial"/>
        </w:rPr>
        <w:t>.</w:t>
      </w:r>
    </w:p>
    <w:p w:rsidR="00334C38" w:rsidRDefault="007D0553" w:rsidP="007D0553">
      <w:pPr>
        <w:rPr>
          <w:rFonts w:cs="Arial"/>
        </w:rPr>
      </w:pPr>
      <w:r w:rsidRPr="00B711C2">
        <w:rPr>
          <w:rFonts w:cs="Arial"/>
        </w:rPr>
        <w:t xml:space="preserve">The methodology is based on the principles and procedures of the </w:t>
      </w:r>
      <w:r w:rsidRPr="00F61063">
        <w:rPr>
          <w:rFonts w:cs="Arial"/>
          <w:i/>
        </w:rPr>
        <w:t>Australian/New Zealand Standard for Risk Management ISO 31000:2009</w:t>
      </w:r>
      <w:r w:rsidRPr="00B711C2">
        <w:rPr>
          <w:rFonts w:cs="Arial"/>
        </w:rPr>
        <w:t xml:space="preserve"> (Standards Australia 2009; AZ/NZS 4360:1999) and </w:t>
      </w:r>
      <w:r w:rsidRPr="00F61063">
        <w:rPr>
          <w:rFonts w:cs="Arial"/>
          <w:i/>
        </w:rPr>
        <w:t>HB 203: 2000 Environmental Risk Manag</w:t>
      </w:r>
      <w:r w:rsidR="00EB001B" w:rsidRPr="00F61063">
        <w:rPr>
          <w:rFonts w:cs="Arial"/>
          <w:i/>
        </w:rPr>
        <w:t>ement – Principles and Process</w:t>
      </w:r>
      <w:r w:rsidR="009B136B">
        <w:rPr>
          <w:rFonts w:cs="Arial"/>
          <w:i/>
        </w:rPr>
        <w:t xml:space="preserve"> </w:t>
      </w:r>
      <w:r w:rsidR="009B136B">
        <w:rPr>
          <w:rFonts w:cs="Arial"/>
        </w:rPr>
        <w:t>(Standards Australia 2009)</w:t>
      </w:r>
      <w:r w:rsidR="00EB001B">
        <w:rPr>
          <w:rFonts w:cs="Arial"/>
        </w:rPr>
        <w:t>.</w:t>
      </w:r>
    </w:p>
    <w:p w:rsidR="007D0553" w:rsidRDefault="00211A66" w:rsidP="007D0553">
      <w:pPr>
        <w:rPr>
          <w:rFonts w:cs="Arial"/>
        </w:rPr>
      </w:pPr>
      <w:r w:rsidRPr="00B711C2">
        <w:rPr>
          <w:rFonts w:cs="Arial"/>
        </w:rPr>
        <w:t xml:space="preserve">The </w:t>
      </w:r>
      <w:r w:rsidR="00103622">
        <w:rPr>
          <w:rFonts w:cs="Arial"/>
        </w:rPr>
        <w:t>methodology</w:t>
      </w:r>
      <w:r w:rsidRPr="00B711C2">
        <w:rPr>
          <w:rFonts w:cs="Arial"/>
        </w:rPr>
        <w:t xml:space="preserve"> can use both quantitative and qualitative data and can make use of </w:t>
      </w:r>
      <w:r w:rsidR="00103622">
        <w:rPr>
          <w:rFonts w:cs="Arial"/>
        </w:rPr>
        <w:t xml:space="preserve">limited </w:t>
      </w:r>
      <w:r w:rsidRPr="00B711C2">
        <w:rPr>
          <w:rFonts w:cs="Arial"/>
        </w:rPr>
        <w:t xml:space="preserve">observed, estimated, inferred or suspected declines where applicable. </w:t>
      </w:r>
      <w:r w:rsidR="009A2112">
        <w:rPr>
          <w:rFonts w:cs="Arial"/>
        </w:rPr>
        <w:t>I</w:t>
      </w:r>
      <w:r w:rsidR="009A2112" w:rsidRPr="00B711C2">
        <w:rPr>
          <w:rFonts w:cs="Arial"/>
        </w:rPr>
        <w:t>t relies on the knowledge, experience, judgement and intuition of experts to identify, assess and propose appropriate management of the threats to the species, supported by whatever relevant information is available</w:t>
      </w:r>
      <w:r w:rsidR="00C70C45">
        <w:rPr>
          <w:rFonts w:cs="Arial"/>
        </w:rPr>
        <w:t xml:space="preserve">. </w:t>
      </w:r>
      <w:r w:rsidRPr="00B711C2">
        <w:rPr>
          <w:rFonts w:cs="Arial"/>
        </w:rPr>
        <w:t>The assessment and management recommendations will be based on available information as well as expert judgment where specific information and knowledge about the species is not available. It must be noted that the less information available</w:t>
      </w:r>
      <w:r w:rsidR="00834105">
        <w:rPr>
          <w:rFonts w:cs="Arial"/>
        </w:rPr>
        <w:t>,</w:t>
      </w:r>
      <w:r w:rsidRPr="00B711C2">
        <w:rPr>
          <w:rFonts w:cs="Arial"/>
        </w:rPr>
        <w:t xml:space="preserve"> t</w:t>
      </w:r>
      <w:r w:rsidR="00834105">
        <w:rPr>
          <w:rFonts w:cs="Arial"/>
        </w:rPr>
        <w:t>he</w:t>
      </w:r>
      <w:r w:rsidRPr="00B711C2">
        <w:rPr>
          <w:rFonts w:cs="Arial"/>
        </w:rPr>
        <w:t xml:space="preserve"> less confident the assessor can be in the </w:t>
      </w:r>
      <w:r w:rsidR="00D73281">
        <w:rPr>
          <w:rFonts w:cs="Arial"/>
        </w:rPr>
        <w:t>threat</w:t>
      </w:r>
      <w:r w:rsidRPr="00B711C2">
        <w:rPr>
          <w:rFonts w:cs="Arial"/>
        </w:rPr>
        <w:t xml:space="preserve"> assessment and </w:t>
      </w:r>
      <w:r w:rsidR="00103622">
        <w:rPr>
          <w:rFonts w:cs="Arial"/>
        </w:rPr>
        <w:t xml:space="preserve">management </w:t>
      </w:r>
      <w:r w:rsidR="00EB001B">
        <w:rPr>
          <w:rFonts w:cs="Arial"/>
        </w:rPr>
        <w:t>recommendation decision.</w:t>
      </w:r>
      <w:r w:rsidR="00F61063">
        <w:rPr>
          <w:rFonts w:cs="Arial"/>
        </w:rPr>
        <w:t xml:space="preserve"> </w:t>
      </w:r>
    </w:p>
    <w:p w:rsidR="00F61063" w:rsidRPr="00F61063" w:rsidRDefault="00F61063" w:rsidP="007D0553">
      <w:pPr>
        <w:rPr>
          <w:rFonts w:cs="Arial"/>
          <w:u w:val="single"/>
        </w:rPr>
      </w:pPr>
      <w:r>
        <w:rPr>
          <w:rFonts w:cs="Arial"/>
        </w:rPr>
        <w:t xml:space="preserve">The qualitative threat assessment </w:t>
      </w:r>
      <w:r w:rsidR="00CA6450">
        <w:rPr>
          <w:rFonts w:cs="Arial"/>
        </w:rPr>
        <w:t xml:space="preserve">methodology </w:t>
      </w:r>
      <w:r>
        <w:rPr>
          <w:rFonts w:cs="Arial"/>
        </w:rPr>
        <w:t>template</w:t>
      </w:r>
      <w:r w:rsidR="00247E06">
        <w:rPr>
          <w:rFonts w:cs="Arial"/>
        </w:rPr>
        <w:t xml:space="preserve"> </w:t>
      </w:r>
      <w:r>
        <w:rPr>
          <w:rFonts w:cs="Arial"/>
        </w:rPr>
        <w:t xml:space="preserve">is provided at </w:t>
      </w:r>
      <w:r w:rsidR="00E21DD6">
        <w:rPr>
          <w:rFonts w:cs="Arial"/>
          <w:u w:val="single"/>
        </w:rPr>
        <w:t>Appendix 5</w:t>
      </w:r>
      <w:r w:rsidRPr="00F61063">
        <w:rPr>
          <w:rFonts w:cs="Arial"/>
          <w:u w:val="single"/>
        </w:rPr>
        <w:t>.</w:t>
      </w:r>
    </w:p>
    <w:p w:rsidR="007D0553" w:rsidRPr="00B711C2" w:rsidRDefault="007D0553" w:rsidP="00852C4F">
      <w:pPr>
        <w:rPr>
          <w:rFonts w:cs="Arial"/>
        </w:rPr>
      </w:pPr>
      <w:r w:rsidRPr="00B711C2">
        <w:rPr>
          <w:rFonts w:cs="Arial"/>
        </w:rPr>
        <w:t>The methodology</w:t>
      </w:r>
      <w:r w:rsidR="00722E3E" w:rsidRPr="00B711C2">
        <w:rPr>
          <w:rFonts w:cs="Arial"/>
        </w:rPr>
        <w:t xml:space="preserve"> involve</w:t>
      </w:r>
      <w:r w:rsidRPr="00B711C2">
        <w:rPr>
          <w:rFonts w:cs="Arial"/>
        </w:rPr>
        <w:t>s</w:t>
      </w:r>
      <w:r w:rsidR="00722E3E" w:rsidRPr="00B711C2">
        <w:rPr>
          <w:rFonts w:cs="Arial"/>
        </w:rPr>
        <w:t xml:space="preserve"> </w:t>
      </w:r>
      <w:r w:rsidRPr="00B711C2">
        <w:rPr>
          <w:rFonts w:cs="Arial"/>
        </w:rPr>
        <w:t xml:space="preserve">two </w:t>
      </w:r>
      <w:r w:rsidR="00C876F6">
        <w:rPr>
          <w:rFonts w:cs="Arial"/>
        </w:rPr>
        <w:t>steps</w:t>
      </w:r>
      <w:r w:rsidRPr="00B711C2">
        <w:rPr>
          <w:rFonts w:cs="Arial"/>
        </w:rPr>
        <w:t>:</w:t>
      </w:r>
    </w:p>
    <w:p w:rsidR="007D0553" w:rsidRPr="00B711C2" w:rsidRDefault="007D0553" w:rsidP="00852C4F">
      <w:pPr>
        <w:rPr>
          <w:rFonts w:cs="Arial"/>
        </w:rPr>
      </w:pPr>
      <w:r w:rsidRPr="00B711C2">
        <w:rPr>
          <w:rFonts w:cs="Arial"/>
        </w:rPr>
        <w:t xml:space="preserve">1. </w:t>
      </w:r>
      <w:r w:rsidR="00C876F6">
        <w:rPr>
          <w:rFonts w:cs="Arial"/>
        </w:rPr>
        <w:t>Threat i</w:t>
      </w:r>
      <w:r w:rsidR="00834105">
        <w:rPr>
          <w:rFonts w:cs="Arial"/>
        </w:rPr>
        <w:t>dentification</w:t>
      </w:r>
      <w:r w:rsidR="00C876F6">
        <w:rPr>
          <w:rFonts w:cs="Arial"/>
        </w:rPr>
        <w:t xml:space="preserve"> and assessment</w:t>
      </w:r>
      <w:r w:rsidR="00834105">
        <w:rPr>
          <w:rFonts w:cs="Arial"/>
        </w:rPr>
        <w:t xml:space="preserve">: </w:t>
      </w:r>
      <w:r w:rsidR="00103622">
        <w:rPr>
          <w:rFonts w:cs="Arial"/>
        </w:rPr>
        <w:t>i</w:t>
      </w:r>
      <w:r w:rsidR="009F750D" w:rsidRPr="00B711C2">
        <w:rPr>
          <w:rFonts w:cs="Arial"/>
        </w:rPr>
        <w:t>dentif</w:t>
      </w:r>
      <w:r w:rsidR="00834105">
        <w:rPr>
          <w:rFonts w:cs="Arial"/>
        </w:rPr>
        <w:t xml:space="preserve">ying </w:t>
      </w:r>
      <w:r w:rsidR="009F750D" w:rsidRPr="00B711C2">
        <w:rPr>
          <w:rFonts w:cs="Arial"/>
        </w:rPr>
        <w:t>and character</w:t>
      </w:r>
      <w:r w:rsidR="00834105">
        <w:rPr>
          <w:rFonts w:cs="Arial"/>
        </w:rPr>
        <w:t>ising</w:t>
      </w:r>
      <w:r w:rsidR="009F750D" w:rsidRPr="00B711C2">
        <w:rPr>
          <w:rFonts w:cs="Arial"/>
        </w:rPr>
        <w:t xml:space="preserve"> threats, assessing </w:t>
      </w:r>
      <w:r w:rsidR="00722E3E" w:rsidRPr="00B711C2">
        <w:rPr>
          <w:rFonts w:cs="Arial"/>
        </w:rPr>
        <w:t>t</w:t>
      </w:r>
      <w:r w:rsidR="009F750D" w:rsidRPr="00B711C2">
        <w:rPr>
          <w:rFonts w:cs="Arial"/>
        </w:rPr>
        <w:t xml:space="preserve">he vulnerability </w:t>
      </w:r>
      <w:r w:rsidR="00722E3E" w:rsidRPr="00B711C2">
        <w:rPr>
          <w:rFonts w:cs="Arial"/>
        </w:rPr>
        <w:t xml:space="preserve">of the species </w:t>
      </w:r>
      <w:r w:rsidR="009F750D" w:rsidRPr="00B711C2">
        <w:rPr>
          <w:rFonts w:cs="Arial"/>
        </w:rPr>
        <w:t xml:space="preserve">to </w:t>
      </w:r>
      <w:r w:rsidR="00834105">
        <w:rPr>
          <w:rFonts w:cs="Arial"/>
        </w:rPr>
        <w:t xml:space="preserve">these </w:t>
      </w:r>
      <w:r w:rsidR="009F750D" w:rsidRPr="00B711C2">
        <w:rPr>
          <w:rFonts w:cs="Arial"/>
        </w:rPr>
        <w:t xml:space="preserve">threats and the level of </w:t>
      </w:r>
      <w:r w:rsidR="00722E3E" w:rsidRPr="00B711C2">
        <w:rPr>
          <w:rFonts w:cs="Arial"/>
        </w:rPr>
        <w:t>threat</w:t>
      </w:r>
      <w:r w:rsidR="009F750D" w:rsidRPr="00B711C2">
        <w:rPr>
          <w:rFonts w:cs="Arial"/>
        </w:rPr>
        <w:t xml:space="preserve"> </w:t>
      </w:r>
      <w:r w:rsidR="00722E3E" w:rsidRPr="00B711C2">
        <w:rPr>
          <w:rFonts w:cs="Arial"/>
        </w:rPr>
        <w:t>to the species.</w:t>
      </w:r>
    </w:p>
    <w:p w:rsidR="009F750D" w:rsidRPr="00B711C2" w:rsidRDefault="007D0553" w:rsidP="00852C4F">
      <w:pPr>
        <w:rPr>
          <w:rFonts w:cs="Arial"/>
        </w:rPr>
      </w:pPr>
      <w:r w:rsidRPr="00B711C2">
        <w:rPr>
          <w:rFonts w:cs="Arial"/>
        </w:rPr>
        <w:t xml:space="preserve">2. </w:t>
      </w:r>
      <w:r w:rsidR="00C876F6">
        <w:rPr>
          <w:rFonts w:cs="Arial"/>
        </w:rPr>
        <w:t>Threat management</w:t>
      </w:r>
      <w:r w:rsidR="00834105">
        <w:rPr>
          <w:rFonts w:cs="Arial"/>
        </w:rPr>
        <w:t xml:space="preserve">: </w:t>
      </w:r>
      <w:r w:rsidR="00103622">
        <w:rPr>
          <w:rFonts w:cs="Arial"/>
        </w:rPr>
        <w:t>d</w:t>
      </w:r>
      <w:r w:rsidR="00C876F6">
        <w:rPr>
          <w:rFonts w:cs="Arial"/>
        </w:rPr>
        <w:t xml:space="preserve">efining actions to </w:t>
      </w:r>
      <w:r w:rsidR="00834105">
        <w:rPr>
          <w:rFonts w:cs="Arial"/>
        </w:rPr>
        <w:t>mitigat</w:t>
      </w:r>
      <w:r w:rsidR="00C876F6">
        <w:rPr>
          <w:rFonts w:cs="Arial"/>
        </w:rPr>
        <w:t>e</w:t>
      </w:r>
      <w:r w:rsidR="00834105">
        <w:rPr>
          <w:rFonts w:cs="Arial"/>
        </w:rPr>
        <w:t xml:space="preserve"> </w:t>
      </w:r>
      <w:r w:rsidR="009F750D" w:rsidRPr="00B711C2">
        <w:rPr>
          <w:rFonts w:cs="Arial"/>
        </w:rPr>
        <w:t xml:space="preserve">the threats </w:t>
      </w:r>
      <w:r w:rsidR="00C876F6">
        <w:rPr>
          <w:rFonts w:cs="Arial"/>
        </w:rPr>
        <w:t xml:space="preserve">so as </w:t>
      </w:r>
      <w:r w:rsidR="00A6311A" w:rsidRPr="00B711C2">
        <w:rPr>
          <w:rFonts w:cs="Arial"/>
        </w:rPr>
        <w:t>to prevent the species from be</w:t>
      </w:r>
      <w:r w:rsidR="00834105">
        <w:rPr>
          <w:rFonts w:cs="Arial"/>
        </w:rPr>
        <w:t>com</w:t>
      </w:r>
      <w:r w:rsidR="00A6311A" w:rsidRPr="00B711C2">
        <w:rPr>
          <w:rFonts w:cs="Arial"/>
        </w:rPr>
        <w:t xml:space="preserve">ing threatened. The </w:t>
      </w:r>
      <w:r w:rsidR="00C876F6">
        <w:rPr>
          <w:rFonts w:cs="Arial"/>
        </w:rPr>
        <w:t xml:space="preserve">actions would be assessed on </w:t>
      </w:r>
      <w:r w:rsidR="00722E3E" w:rsidRPr="00B711C2">
        <w:rPr>
          <w:rFonts w:cs="Arial"/>
        </w:rPr>
        <w:t>how effective the</w:t>
      </w:r>
      <w:r w:rsidR="00C876F6">
        <w:rPr>
          <w:rFonts w:cs="Arial"/>
        </w:rPr>
        <w:t>y</w:t>
      </w:r>
      <w:r w:rsidR="00722E3E" w:rsidRPr="00B711C2">
        <w:rPr>
          <w:rFonts w:cs="Arial"/>
        </w:rPr>
        <w:t xml:space="preserve"> would be, how feasible the</w:t>
      </w:r>
      <w:r w:rsidR="00C876F6">
        <w:rPr>
          <w:rFonts w:cs="Arial"/>
        </w:rPr>
        <w:t>y are</w:t>
      </w:r>
      <w:r w:rsidR="00722E3E" w:rsidRPr="00B711C2">
        <w:rPr>
          <w:rFonts w:cs="Arial"/>
        </w:rPr>
        <w:t xml:space="preserve"> and the cost-benefit of performing the action</w:t>
      </w:r>
      <w:r w:rsidR="009F750D" w:rsidRPr="00B711C2">
        <w:rPr>
          <w:rFonts w:cs="Arial"/>
        </w:rPr>
        <w:t>.</w:t>
      </w:r>
    </w:p>
    <w:p w:rsidR="006D12EE" w:rsidRPr="00103622" w:rsidRDefault="00161134" w:rsidP="00932861">
      <w:pPr>
        <w:rPr>
          <w:rFonts w:cs="Arial"/>
        </w:rPr>
      </w:pPr>
      <w:r w:rsidRPr="00B711C2">
        <w:rPr>
          <w:rFonts w:cs="Arial"/>
        </w:rPr>
        <w:t xml:space="preserve">In undertaking this </w:t>
      </w:r>
      <w:r w:rsidR="00334C38">
        <w:rPr>
          <w:rFonts w:cs="Arial"/>
        </w:rPr>
        <w:t>methodology</w:t>
      </w:r>
      <w:r w:rsidRPr="00B711C2">
        <w:rPr>
          <w:rFonts w:cs="Arial"/>
        </w:rPr>
        <w:t xml:space="preserve"> a consultative group method is highly recommended</w:t>
      </w:r>
      <w:r w:rsidR="00103622">
        <w:rPr>
          <w:rFonts w:cs="Arial"/>
        </w:rPr>
        <w:t xml:space="preserve"> to elicit as much knowledge, experience and intuition</w:t>
      </w:r>
      <w:r w:rsidR="00F16D9F">
        <w:rPr>
          <w:rFonts w:cs="Arial"/>
        </w:rPr>
        <w:t xml:space="preserve"> through group discussion and information exchange</w:t>
      </w:r>
      <w:r w:rsidR="00EB001B">
        <w:rPr>
          <w:rFonts w:cs="Arial"/>
        </w:rPr>
        <w:t>.</w:t>
      </w:r>
    </w:p>
    <w:p w:rsidR="007D0553" w:rsidRPr="006D12EE" w:rsidRDefault="008E36AF" w:rsidP="00932861">
      <w:pPr>
        <w:rPr>
          <w:rFonts w:cs="Arial"/>
          <w:b/>
        </w:rPr>
      </w:pPr>
      <w:r w:rsidRPr="008E36AF">
        <w:rPr>
          <w:rFonts w:cs="Arial"/>
          <w:b/>
        </w:rPr>
        <w:t>Step 1 Threat Identification and Assessment</w:t>
      </w:r>
    </w:p>
    <w:p w:rsidR="007D0553" w:rsidRPr="00B711C2" w:rsidRDefault="00C876F6" w:rsidP="007D0553">
      <w:pPr>
        <w:rPr>
          <w:rFonts w:cs="Arial"/>
        </w:rPr>
      </w:pPr>
      <w:r>
        <w:rPr>
          <w:rFonts w:cs="Arial"/>
        </w:rPr>
        <w:t>This step involves the i</w:t>
      </w:r>
      <w:r w:rsidR="007D0553" w:rsidRPr="00B711C2">
        <w:rPr>
          <w:rFonts w:cs="Arial"/>
        </w:rPr>
        <w:t xml:space="preserve">dentification and characterisation of the </w:t>
      </w:r>
      <w:r w:rsidR="00C27865" w:rsidRPr="00B711C2">
        <w:rPr>
          <w:rFonts w:cs="Arial"/>
        </w:rPr>
        <w:t>threats</w:t>
      </w:r>
      <w:r w:rsidR="00984FCD">
        <w:rPr>
          <w:rFonts w:cs="Arial"/>
        </w:rPr>
        <w:t>,</w:t>
      </w:r>
      <w:r w:rsidR="007D0553" w:rsidRPr="00B711C2">
        <w:rPr>
          <w:rFonts w:cs="Arial"/>
        </w:rPr>
        <w:t xml:space="preserve"> assess</w:t>
      </w:r>
      <w:r w:rsidR="00984FCD">
        <w:rPr>
          <w:rFonts w:cs="Arial"/>
        </w:rPr>
        <w:t>ing</w:t>
      </w:r>
      <w:r w:rsidR="007D0553" w:rsidRPr="00B711C2">
        <w:rPr>
          <w:rFonts w:cs="Arial"/>
        </w:rPr>
        <w:t xml:space="preserve"> the vulnerability </w:t>
      </w:r>
      <w:r w:rsidR="00984FCD">
        <w:rPr>
          <w:rFonts w:cs="Arial"/>
        </w:rPr>
        <w:t xml:space="preserve">of the species </w:t>
      </w:r>
      <w:r w:rsidR="007D0553" w:rsidRPr="00B711C2">
        <w:rPr>
          <w:rFonts w:cs="Arial"/>
        </w:rPr>
        <w:t xml:space="preserve">to </w:t>
      </w:r>
      <w:r w:rsidR="00984FCD">
        <w:rPr>
          <w:rFonts w:cs="Arial"/>
        </w:rPr>
        <w:t xml:space="preserve">these </w:t>
      </w:r>
      <w:r w:rsidR="007D0553" w:rsidRPr="00B711C2">
        <w:rPr>
          <w:rFonts w:cs="Arial"/>
        </w:rPr>
        <w:t xml:space="preserve">threats and the determination of the </w:t>
      </w:r>
      <w:r w:rsidR="00211A66" w:rsidRPr="00B711C2">
        <w:rPr>
          <w:rFonts w:cs="Arial"/>
        </w:rPr>
        <w:t xml:space="preserve">level of </w:t>
      </w:r>
      <w:r w:rsidR="00334C38" w:rsidRPr="00B711C2">
        <w:rPr>
          <w:rFonts w:cs="Arial"/>
        </w:rPr>
        <w:t>threat</w:t>
      </w:r>
      <w:r w:rsidR="00103622">
        <w:rPr>
          <w:rFonts w:cs="Arial"/>
        </w:rPr>
        <w:t>. The level of threat is determined by the</w:t>
      </w:r>
      <w:r w:rsidR="007D0553" w:rsidRPr="00B711C2">
        <w:rPr>
          <w:rFonts w:cs="Arial"/>
        </w:rPr>
        <w:t xml:space="preserve"> likelihood and consequence of the </w:t>
      </w:r>
      <w:r w:rsidR="00EB001B">
        <w:rPr>
          <w:rFonts w:cs="Arial"/>
        </w:rPr>
        <w:t>threat to the species.</w:t>
      </w:r>
      <w:r w:rsidR="00FE24D0">
        <w:rPr>
          <w:rFonts w:cs="Arial"/>
        </w:rPr>
        <w:t xml:space="preserve"> Susceptibility </w:t>
      </w:r>
      <w:r w:rsidR="007422B9">
        <w:rPr>
          <w:rFonts w:cs="Arial"/>
        </w:rPr>
        <w:t xml:space="preserve">to threats can be inferred by via biological variables known to affect extinction risks (such as population size, population decline, geographic ranges and number of extent populations (O’Grady et al. 2004; </w:t>
      </w:r>
      <w:r w:rsidR="00B84B60">
        <w:rPr>
          <w:rFonts w:cs="Arial"/>
        </w:rPr>
        <w:t>M</w:t>
      </w:r>
      <w:r w:rsidR="007422B9">
        <w:rPr>
          <w:rFonts w:cs="Arial"/>
        </w:rPr>
        <w:t>ace et al. 2008)</w:t>
      </w:r>
    </w:p>
    <w:p w:rsidR="007D0553" w:rsidRPr="00B711C2" w:rsidRDefault="007D0553" w:rsidP="007D0553">
      <w:pPr>
        <w:rPr>
          <w:rFonts w:cs="Arial"/>
        </w:rPr>
      </w:pPr>
      <w:r w:rsidRPr="00B711C2">
        <w:rPr>
          <w:rFonts w:cs="Arial"/>
        </w:rPr>
        <w:t xml:space="preserve">In the absence of statistical data, the qualitative process estimates the degree of the consequence and likelihood of the threat to the species and assigns a score that is indicative </w:t>
      </w:r>
      <w:r w:rsidRPr="00B711C2">
        <w:rPr>
          <w:rFonts w:cs="Arial"/>
        </w:rPr>
        <w:lastRenderedPageBreak/>
        <w:t xml:space="preserve">of reality. </w:t>
      </w:r>
      <w:r w:rsidR="00211A66" w:rsidRPr="00B711C2">
        <w:rPr>
          <w:rFonts w:cs="Arial"/>
        </w:rPr>
        <w:t xml:space="preserve">The </w:t>
      </w:r>
      <w:r w:rsidR="00C27865" w:rsidRPr="00B711C2">
        <w:rPr>
          <w:rFonts w:cs="Arial"/>
        </w:rPr>
        <w:t xml:space="preserve">process </w:t>
      </w:r>
      <w:r w:rsidR="00CD6C23">
        <w:rPr>
          <w:rFonts w:cs="Arial"/>
        </w:rPr>
        <w:t xml:space="preserve">is </w:t>
      </w:r>
      <w:r w:rsidR="00103622">
        <w:rPr>
          <w:rFonts w:cs="Arial"/>
        </w:rPr>
        <w:t>set out</w:t>
      </w:r>
      <w:r w:rsidR="00CD6C23">
        <w:rPr>
          <w:rFonts w:cs="Arial"/>
        </w:rPr>
        <w:t xml:space="preserve"> in the attached spreadsheet, and </w:t>
      </w:r>
      <w:r w:rsidR="00C27865" w:rsidRPr="00B711C2">
        <w:rPr>
          <w:rFonts w:cs="Arial"/>
        </w:rPr>
        <w:t>includes</w:t>
      </w:r>
      <w:r w:rsidR="00211A66" w:rsidRPr="00B711C2">
        <w:rPr>
          <w:rFonts w:cs="Arial"/>
        </w:rPr>
        <w:t xml:space="preserve"> the following considerations:</w:t>
      </w:r>
    </w:p>
    <w:p w:rsidR="00735BA2" w:rsidRPr="00B711C2" w:rsidRDefault="007D0553" w:rsidP="00CD6C23">
      <w:pPr>
        <w:pStyle w:val="ListNumber"/>
        <w:rPr>
          <w:rFonts w:cs="Arial"/>
        </w:rPr>
      </w:pPr>
      <w:r w:rsidRPr="00334C38">
        <w:rPr>
          <w:rFonts w:cs="Arial"/>
        </w:rPr>
        <w:t xml:space="preserve">Identification of </w:t>
      </w:r>
      <w:r w:rsidR="00CD6C23">
        <w:rPr>
          <w:rFonts w:cs="Arial"/>
        </w:rPr>
        <w:t xml:space="preserve">each </w:t>
      </w:r>
      <w:r w:rsidR="00211A66" w:rsidRPr="00334C38">
        <w:rPr>
          <w:rFonts w:cs="Arial"/>
        </w:rPr>
        <w:t>threat</w:t>
      </w:r>
      <w:r w:rsidRPr="00334C38">
        <w:rPr>
          <w:rFonts w:cs="Arial"/>
        </w:rPr>
        <w:t xml:space="preserve"> </w:t>
      </w:r>
      <w:r w:rsidR="00CD6C23">
        <w:rPr>
          <w:rFonts w:cs="Arial"/>
        </w:rPr>
        <w:t xml:space="preserve">and its </w:t>
      </w:r>
      <w:r w:rsidR="00735BA2" w:rsidRPr="00B711C2">
        <w:rPr>
          <w:rFonts w:cs="Arial"/>
        </w:rPr>
        <w:t xml:space="preserve">magnitude, scale </w:t>
      </w:r>
      <w:r w:rsidR="00713F5A">
        <w:rPr>
          <w:rFonts w:cs="Arial"/>
        </w:rPr>
        <w:t>and sources (Columns 2 and 4 of the spreadsheet)</w:t>
      </w:r>
    </w:p>
    <w:p w:rsidR="007D0553" w:rsidRPr="00334C38" w:rsidRDefault="007D0553" w:rsidP="007D0553">
      <w:pPr>
        <w:pStyle w:val="ListNumber"/>
        <w:rPr>
          <w:rFonts w:cs="Arial"/>
        </w:rPr>
      </w:pPr>
      <w:r w:rsidRPr="00334C38">
        <w:rPr>
          <w:rFonts w:cs="Arial"/>
        </w:rPr>
        <w:t xml:space="preserve">Determination of the impact of </w:t>
      </w:r>
      <w:r w:rsidR="00CD6C23">
        <w:rPr>
          <w:rFonts w:cs="Arial"/>
        </w:rPr>
        <w:t xml:space="preserve">each </w:t>
      </w:r>
      <w:r w:rsidR="00211A66" w:rsidRPr="00334C38">
        <w:rPr>
          <w:rFonts w:cs="Arial"/>
        </w:rPr>
        <w:t>threat</w:t>
      </w:r>
      <w:r w:rsidRPr="00334C38">
        <w:rPr>
          <w:rFonts w:cs="Arial"/>
        </w:rPr>
        <w:t xml:space="preserve"> if it was to occur</w:t>
      </w:r>
      <w:r w:rsidR="00713F5A">
        <w:rPr>
          <w:rFonts w:cs="Arial"/>
        </w:rPr>
        <w:t xml:space="preserve"> (column 3)</w:t>
      </w:r>
    </w:p>
    <w:p w:rsidR="007D0553" w:rsidRPr="00B711C2" w:rsidRDefault="00735BA2" w:rsidP="007D0553">
      <w:pPr>
        <w:pStyle w:val="ListNumber"/>
        <w:rPr>
          <w:rFonts w:cs="Arial"/>
        </w:rPr>
      </w:pPr>
      <w:r>
        <w:rPr>
          <w:rFonts w:cs="Arial"/>
        </w:rPr>
        <w:t>Determination of</w:t>
      </w:r>
      <w:r w:rsidR="007D0553" w:rsidRPr="00B711C2">
        <w:rPr>
          <w:rFonts w:cs="Arial"/>
        </w:rPr>
        <w:t xml:space="preserve"> the inherent </w:t>
      </w:r>
      <w:r w:rsidR="00211A66" w:rsidRPr="00B711C2">
        <w:rPr>
          <w:rFonts w:cs="Arial"/>
        </w:rPr>
        <w:t>threat</w:t>
      </w:r>
      <w:r w:rsidR="007D0553" w:rsidRPr="00B711C2">
        <w:rPr>
          <w:rFonts w:cs="Arial"/>
        </w:rPr>
        <w:t xml:space="preserve"> rating b</w:t>
      </w:r>
      <w:r>
        <w:rPr>
          <w:rFonts w:cs="Arial"/>
        </w:rPr>
        <w:t>ased on consequence and likelihood</w:t>
      </w:r>
      <w:r w:rsidR="00713F5A">
        <w:rPr>
          <w:rFonts w:cs="Arial"/>
        </w:rPr>
        <w:t xml:space="preserve"> (column 6)</w:t>
      </w:r>
    </w:p>
    <w:p w:rsidR="007D0553" w:rsidRPr="00B711C2" w:rsidRDefault="00735BA2" w:rsidP="007D0553">
      <w:pPr>
        <w:pStyle w:val="ListNumber"/>
        <w:rPr>
          <w:rFonts w:cs="Arial"/>
        </w:rPr>
      </w:pPr>
      <w:r>
        <w:rPr>
          <w:rFonts w:cs="Arial"/>
        </w:rPr>
        <w:t>Determination of</w:t>
      </w:r>
      <w:r w:rsidR="007D0553" w:rsidRPr="00B711C2">
        <w:rPr>
          <w:rFonts w:cs="Arial"/>
        </w:rPr>
        <w:t xml:space="preserve"> the existing conservation strategies</w:t>
      </w:r>
      <w:r w:rsidR="00713F5A">
        <w:rPr>
          <w:rFonts w:cs="Arial"/>
        </w:rPr>
        <w:t xml:space="preserve"> (column 7)</w:t>
      </w:r>
    </w:p>
    <w:p w:rsidR="007D0553" w:rsidRPr="00B711C2" w:rsidRDefault="00735BA2" w:rsidP="007D0553">
      <w:pPr>
        <w:pStyle w:val="ListNumber"/>
        <w:rPr>
          <w:rFonts w:cs="Arial"/>
        </w:rPr>
      </w:pPr>
      <w:r>
        <w:rPr>
          <w:rFonts w:cs="Arial"/>
        </w:rPr>
        <w:t xml:space="preserve">Following the determination and application of </w:t>
      </w:r>
      <w:r w:rsidR="00CD6C23">
        <w:rPr>
          <w:rFonts w:cs="Arial"/>
        </w:rPr>
        <w:t xml:space="preserve">existing </w:t>
      </w:r>
      <w:r>
        <w:rPr>
          <w:rFonts w:cs="Arial"/>
        </w:rPr>
        <w:t>conservation strategies</w:t>
      </w:r>
      <w:r w:rsidR="00984FCD">
        <w:rPr>
          <w:rFonts w:cs="Arial"/>
        </w:rPr>
        <w:t>, estimating</w:t>
      </w:r>
      <w:r>
        <w:rPr>
          <w:rFonts w:cs="Arial"/>
        </w:rPr>
        <w:t xml:space="preserve"> </w:t>
      </w:r>
      <w:r w:rsidR="007D0553" w:rsidRPr="00B711C2">
        <w:rPr>
          <w:rFonts w:cs="Arial"/>
        </w:rPr>
        <w:t xml:space="preserve">the residual </w:t>
      </w:r>
      <w:r w:rsidR="00211A66" w:rsidRPr="00B711C2">
        <w:rPr>
          <w:rFonts w:cs="Arial"/>
        </w:rPr>
        <w:t>threat</w:t>
      </w:r>
      <w:r w:rsidR="007D0553" w:rsidRPr="00B711C2">
        <w:rPr>
          <w:rFonts w:cs="Arial"/>
        </w:rPr>
        <w:t xml:space="preserve"> rating</w:t>
      </w:r>
      <w:r w:rsidR="00713F5A">
        <w:rPr>
          <w:rFonts w:cs="Arial"/>
        </w:rPr>
        <w:t xml:space="preserve"> (column 8)</w:t>
      </w:r>
    </w:p>
    <w:p w:rsidR="008B5D46" w:rsidRDefault="0015459D" w:rsidP="008B5D46">
      <w:pPr>
        <w:pStyle w:val="ListNumber"/>
        <w:numPr>
          <w:ilvl w:val="0"/>
          <w:numId w:val="0"/>
        </w:numPr>
        <w:ind w:left="369" w:hanging="369"/>
        <w:rPr>
          <w:rFonts w:cs="Arial"/>
          <w:u w:val="single"/>
        </w:rPr>
      </w:pPr>
      <w:r w:rsidRPr="006D12EE">
        <w:rPr>
          <w:rFonts w:cs="Arial"/>
          <w:u w:val="single"/>
        </w:rPr>
        <w:t>Likelihood Criteria</w:t>
      </w:r>
      <w:r w:rsidR="00713F5A">
        <w:rPr>
          <w:rFonts w:cs="Arial"/>
          <w:u w:val="single"/>
        </w:rPr>
        <w:t xml:space="preserve"> (column 6B)</w:t>
      </w:r>
    </w:p>
    <w:p w:rsidR="00252B9A" w:rsidRDefault="008E36AF">
      <w:pPr>
        <w:pStyle w:val="ListNumber"/>
        <w:numPr>
          <w:ilvl w:val="0"/>
          <w:numId w:val="0"/>
        </w:numPr>
        <w:rPr>
          <w:rFonts w:cs="Arial"/>
        </w:rPr>
      </w:pPr>
      <w:r w:rsidRPr="008E36AF">
        <w:rPr>
          <w:rFonts w:cs="Arial"/>
        </w:rPr>
        <w:t xml:space="preserve">Likelihood is </w:t>
      </w:r>
      <w:r w:rsidR="006D12EE" w:rsidRPr="006D12EE">
        <w:rPr>
          <w:rFonts w:cs="Arial"/>
        </w:rPr>
        <w:t>the chance of an event occurring. In considering likelihood one must include the geographic extent of the threat, the duration of the threat, the magnitude of the threat and the confidence in the prediction of the likelihood. Chance of occurrence</w:t>
      </w:r>
      <w:r w:rsidR="006D12EE">
        <w:rPr>
          <w:rFonts w:cs="Arial"/>
        </w:rPr>
        <w:t xml:space="preserve"> is </w:t>
      </w:r>
      <w:r w:rsidR="006D12EE" w:rsidRPr="006D12EE">
        <w:rPr>
          <w:rFonts w:cs="Arial"/>
        </w:rPr>
        <w:t>generally described in terms of probability or frequency, and can be expressed qualitatively or quantitatively.</w:t>
      </w:r>
    </w:p>
    <w:tbl>
      <w:tblPr>
        <w:tblStyle w:val="TableGrid"/>
        <w:tblW w:w="0" w:type="auto"/>
        <w:tblLook w:val="04A0"/>
      </w:tblPr>
      <w:tblGrid>
        <w:gridCol w:w="739"/>
        <w:gridCol w:w="1344"/>
        <w:gridCol w:w="7345"/>
      </w:tblGrid>
      <w:tr w:rsidR="00415D93" w:rsidRPr="00247E06" w:rsidTr="00E50E7A">
        <w:trPr>
          <w:cnfStyle w:val="100000000000"/>
        </w:trPr>
        <w:tc>
          <w:tcPr>
            <w:tcW w:w="0" w:type="auto"/>
          </w:tcPr>
          <w:p w:rsidR="00415D93" w:rsidRPr="00247E06" w:rsidRDefault="00415D93" w:rsidP="00BC4854">
            <w:pPr>
              <w:rPr>
                <w:rFonts w:cs="Arial"/>
                <w:sz w:val="20"/>
                <w:szCs w:val="20"/>
              </w:rPr>
            </w:pPr>
            <w:r w:rsidRPr="00247E06">
              <w:rPr>
                <w:rFonts w:cs="Arial"/>
                <w:sz w:val="20"/>
                <w:szCs w:val="20"/>
              </w:rPr>
              <w:t>Score</w:t>
            </w:r>
          </w:p>
        </w:tc>
        <w:tc>
          <w:tcPr>
            <w:tcW w:w="0" w:type="auto"/>
          </w:tcPr>
          <w:p w:rsidR="00252B9A" w:rsidRPr="00247E06" w:rsidRDefault="00415D93">
            <w:pPr>
              <w:rPr>
                <w:rFonts w:cs="Arial"/>
                <w:sz w:val="20"/>
                <w:szCs w:val="20"/>
              </w:rPr>
            </w:pPr>
            <w:r w:rsidRPr="00247E06">
              <w:rPr>
                <w:rFonts w:cs="Arial"/>
                <w:sz w:val="20"/>
                <w:szCs w:val="20"/>
              </w:rPr>
              <w:t>Likelihood</w:t>
            </w:r>
          </w:p>
        </w:tc>
        <w:tc>
          <w:tcPr>
            <w:tcW w:w="0" w:type="auto"/>
          </w:tcPr>
          <w:p w:rsidR="00415D93" w:rsidRPr="00247E06" w:rsidRDefault="00415D93" w:rsidP="00BC4854">
            <w:pPr>
              <w:rPr>
                <w:rFonts w:cs="Arial"/>
                <w:sz w:val="20"/>
                <w:szCs w:val="20"/>
              </w:rPr>
            </w:pPr>
            <w:r w:rsidRPr="00247E06">
              <w:rPr>
                <w:rFonts w:cs="Arial"/>
                <w:sz w:val="20"/>
                <w:szCs w:val="20"/>
              </w:rPr>
              <w:t>Description</w:t>
            </w:r>
          </w:p>
        </w:tc>
      </w:tr>
      <w:tr w:rsidR="00415D93" w:rsidRPr="00247E06" w:rsidTr="00E50E7A">
        <w:trPr>
          <w:cnfStyle w:val="000000100000"/>
        </w:trPr>
        <w:tc>
          <w:tcPr>
            <w:tcW w:w="0" w:type="auto"/>
          </w:tcPr>
          <w:p w:rsidR="00415D93" w:rsidRPr="00247E06" w:rsidRDefault="00415D93" w:rsidP="00BC4854">
            <w:pPr>
              <w:rPr>
                <w:rFonts w:cs="Arial"/>
                <w:sz w:val="20"/>
                <w:szCs w:val="20"/>
              </w:rPr>
            </w:pPr>
            <w:r w:rsidRPr="00247E06">
              <w:rPr>
                <w:rFonts w:cs="Arial"/>
                <w:sz w:val="20"/>
                <w:szCs w:val="20"/>
              </w:rPr>
              <w:t>1</w:t>
            </w:r>
          </w:p>
        </w:tc>
        <w:tc>
          <w:tcPr>
            <w:tcW w:w="0" w:type="auto"/>
          </w:tcPr>
          <w:p w:rsidR="00415D93" w:rsidRPr="00247E06" w:rsidRDefault="007011AC" w:rsidP="00BC4854">
            <w:pPr>
              <w:rPr>
                <w:rFonts w:cs="Arial"/>
                <w:sz w:val="20"/>
                <w:szCs w:val="20"/>
              </w:rPr>
            </w:pPr>
            <w:r w:rsidRPr="00247E06">
              <w:rPr>
                <w:rFonts w:cs="Arial"/>
                <w:sz w:val="20"/>
                <w:szCs w:val="20"/>
              </w:rPr>
              <w:t>Rare</w:t>
            </w:r>
          </w:p>
        </w:tc>
        <w:tc>
          <w:tcPr>
            <w:tcW w:w="0" w:type="auto"/>
          </w:tcPr>
          <w:p w:rsidR="00252B9A" w:rsidRPr="00247E06" w:rsidRDefault="00415D93">
            <w:pPr>
              <w:rPr>
                <w:rFonts w:cs="Arial"/>
                <w:sz w:val="20"/>
                <w:szCs w:val="20"/>
              </w:rPr>
            </w:pPr>
            <w:r w:rsidRPr="00247E06">
              <w:rPr>
                <w:rFonts w:cs="Arial"/>
                <w:sz w:val="20"/>
                <w:szCs w:val="20"/>
              </w:rPr>
              <w:t>The outcome is not expected to occur; n</w:t>
            </w:r>
            <w:r w:rsidR="006D12EE" w:rsidRPr="00247E06">
              <w:rPr>
                <w:rFonts w:cs="Arial"/>
                <w:sz w:val="20"/>
                <w:szCs w:val="20"/>
              </w:rPr>
              <w:t xml:space="preserve">o record of occurring </w:t>
            </w:r>
            <w:r w:rsidRPr="00247E06">
              <w:rPr>
                <w:rFonts w:cs="Arial"/>
                <w:sz w:val="20"/>
                <w:szCs w:val="20"/>
              </w:rPr>
              <w:t>but not impossible; may occur in exceptional circumstances</w:t>
            </w:r>
          </w:p>
        </w:tc>
      </w:tr>
      <w:tr w:rsidR="00415D93" w:rsidRPr="00247E06" w:rsidTr="00E50E7A">
        <w:trPr>
          <w:cnfStyle w:val="000000010000"/>
        </w:trPr>
        <w:tc>
          <w:tcPr>
            <w:tcW w:w="0" w:type="auto"/>
          </w:tcPr>
          <w:p w:rsidR="00415D93" w:rsidRPr="00247E06" w:rsidRDefault="00415D93" w:rsidP="00BC4854">
            <w:pPr>
              <w:rPr>
                <w:rFonts w:cs="Arial"/>
                <w:sz w:val="20"/>
                <w:szCs w:val="20"/>
              </w:rPr>
            </w:pPr>
            <w:r w:rsidRPr="00247E06">
              <w:rPr>
                <w:rFonts w:cs="Arial"/>
                <w:sz w:val="20"/>
                <w:szCs w:val="20"/>
              </w:rPr>
              <w:t>2</w:t>
            </w:r>
          </w:p>
        </w:tc>
        <w:tc>
          <w:tcPr>
            <w:tcW w:w="0" w:type="auto"/>
          </w:tcPr>
          <w:p w:rsidR="00415D93" w:rsidRPr="00247E06" w:rsidRDefault="00415D93" w:rsidP="00BC4854">
            <w:pPr>
              <w:rPr>
                <w:rFonts w:cs="Arial"/>
                <w:sz w:val="20"/>
                <w:szCs w:val="20"/>
              </w:rPr>
            </w:pPr>
            <w:r w:rsidRPr="00247E06">
              <w:rPr>
                <w:rFonts w:cs="Arial"/>
                <w:sz w:val="20"/>
                <w:szCs w:val="20"/>
              </w:rPr>
              <w:t>Unlikely</w:t>
            </w:r>
          </w:p>
        </w:tc>
        <w:tc>
          <w:tcPr>
            <w:tcW w:w="0" w:type="auto"/>
          </w:tcPr>
          <w:p w:rsidR="00415D93" w:rsidRPr="00247E06" w:rsidRDefault="00415D93" w:rsidP="00BC4854">
            <w:pPr>
              <w:rPr>
                <w:rFonts w:cs="Arial"/>
                <w:sz w:val="20"/>
                <w:szCs w:val="20"/>
              </w:rPr>
            </w:pPr>
            <w:r w:rsidRPr="00247E06">
              <w:rPr>
                <w:rFonts w:cs="Arial"/>
                <w:sz w:val="20"/>
                <w:szCs w:val="20"/>
              </w:rPr>
              <w:t>The outcome will only occur in a few circumstances; uncommon but know to occur elsewhere</w:t>
            </w:r>
          </w:p>
        </w:tc>
      </w:tr>
      <w:tr w:rsidR="00415D93" w:rsidRPr="00247E06" w:rsidTr="00E50E7A">
        <w:trPr>
          <w:cnfStyle w:val="000000100000"/>
        </w:trPr>
        <w:tc>
          <w:tcPr>
            <w:tcW w:w="0" w:type="auto"/>
          </w:tcPr>
          <w:p w:rsidR="00415D93" w:rsidRPr="00247E06" w:rsidRDefault="00415D93" w:rsidP="00BC4854">
            <w:pPr>
              <w:rPr>
                <w:rFonts w:cs="Arial"/>
                <w:sz w:val="20"/>
                <w:szCs w:val="20"/>
              </w:rPr>
            </w:pPr>
            <w:r w:rsidRPr="00247E06">
              <w:rPr>
                <w:rFonts w:cs="Arial"/>
                <w:sz w:val="20"/>
                <w:szCs w:val="20"/>
              </w:rPr>
              <w:t>3</w:t>
            </w:r>
          </w:p>
        </w:tc>
        <w:tc>
          <w:tcPr>
            <w:tcW w:w="0" w:type="auto"/>
          </w:tcPr>
          <w:p w:rsidR="00415D93" w:rsidRPr="00247E06" w:rsidRDefault="00415D93" w:rsidP="00BC4854">
            <w:pPr>
              <w:rPr>
                <w:rFonts w:cs="Arial"/>
                <w:sz w:val="20"/>
                <w:szCs w:val="20"/>
              </w:rPr>
            </w:pPr>
            <w:r w:rsidRPr="00247E06">
              <w:rPr>
                <w:rFonts w:cs="Arial"/>
                <w:sz w:val="20"/>
                <w:szCs w:val="20"/>
              </w:rPr>
              <w:t>Possible</w:t>
            </w:r>
          </w:p>
        </w:tc>
        <w:tc>
          <w:tcPr>
            <w:tcW w:w="0" w:type="auto"/>
          </w:tcPr>
          <w:p w:rsidR="00415D93" w:rsidRPr="00247E06" w:rsidRDefault="00415D93" w:rsidP="00BC4854">
            <w:pPr>
              <w:rPr>
                <w:rFonts w:cs="Arial"/>
                <w:sz w:val="20"/>
                <w:szCs w:val="20"/>
              </w:rPr>
            </w:pPr>
            <w:r w:rsidRPr="00247E06">
              <w:rPr>
                <w:rFonts w:cs="Arial"/>
                <w:sz w:val="20"/>
                <w:szCs w:val="20"/>
              </w:rPr>
              <w:t>The outcome may occur; some evidence to support it will happen</w:t>
            </w:r>
          </w:p>
        </w:tc>
      </w:tr>
      <w:tr w:rsidR="00415D93" w:rsidRPr="00247E06" w:rsidTr="00E50E7A">
        <w:trPr>
          <w:cnfStyle w:val="000000010000"/>
        </w:trPr>
        <w:tc>
          <w:tcPr>
            <w:tcW w:w="0" w:type="auto"/>
          </w:tcPr>
          <w:p w:rsidR="00415D93" w:rsidRPr="00247E06" w:rsidRDefault="00415D93" w:rsidP="00BC4854">
            <w:pPr>
              <w:rPr>
                <w:rFonts w:cs="Arial"/>
                <w:sz w:val="20"/>
                <w:szCs w:val="20"/>
              </w:rPr>
            </w:pPr>
            <w:r w:rsidRPr="00247E06">
              <w:rPr>
                <w:rFonts w:cs="Arial"/>
                <w:sz w:val="20"/>
                <w:szCs w:val="20"/>
              </w:rPr>
              <w:t>4</w:t>
            </w:r>
          </w:p>
        </w:tc>
        <w:tc>
          <w:tcPr>
            <w:tcW w:w="0" w:type="auto"/>
          </w:tcPr>
          <w:p w:rsidR="00415D93" w:rsidRPr="00247E06" w:rsidRDefault="00415D93" w:rsidP="00BC4854">
            <w:pPr>
              <w:rPr>
                <w:rFonts w:cs="Arial"/>
                <w:sz w:val="20"/>
                <w:szCs w:val="20"/>
              </w:rPr>
            </w:pPr>
            <w:r w:rsidRPr="00247E06">
              <w:rPr>
                <w:rFonts w:cs="Arial"/>
                <w:sz w:val="20"/>
                <w:szCs w:val="20"/>
              </w:rPr>
              <w:t>Likely</w:t>
            </w:r>
          </w:p>
        </w:tc>
        <w:tc>
          <w:tcPr>
            <w:tcW w:w="0" w:type="auto"/>
          </w:tcPr>
          <w:p w:rsidR="00415D93" w:rsidRPr="00247E06" w:rsidRDefault="00415D93" w:rsidP="00415D93">
            <w:pPr>
              <w:rPr>
                <w:rFonts w:cs="Arial"/>
                <w:sz w:val="20"/>
                <w:szCs w:val="20"/>
              </w:rPr>
            </w:pPr>
            <w:r w:rsidRPr="00247E06">
              <w:rPr>
                <w:rFonts w:cs="Arial"/>
                <w:sz w:val="20"/>
                <w:szCs w:val="20"/>
              </w:rPr>
              <w:t>The outcome will occur in most circumstances</w:t>
            </w:r>
          </w:p>
        </w:tc>
      </w:tr>
      <w:tr w:rsidR="00415D93" w:rsidRPr="00247E06" w:rsidTr="00E50E7A">
        <w:trPr>
          <w:cnfStyle w:val="000000100000"/>
        </w:trPr>
        <w:tc>
          <w:tcPr>
            <w:tcW w:w="0" w:type="auto"/>
          </w:tcPr>
          <w:p w:rsidR="00415D93" w:rsidRPr="00247E06" w:rsidRDefault="00415D93" w:rsidP="00BC4854">
            <w:pPr>
              <w:rPr>
                <w:rFonts w:cs="Arial"/>
                <w:sz w:val="20"/>
                <w:szCs w:val="20"/>
              </w:rPr>
            </w:pPr>
            <w:r w:rsidRPr="00247E06">
              <w:rPr>
                <w:rFonts w:cs="Arial"/>
                <w:sz w:val="20"/>
                <w:szCs w:val="20"/>
              </w:rPr>
              <w:t>5</w:t>
            </w:r>
          </w:p>
        </w:tc>
        <w:tc>
          <w:tcPr>
            <w:tcW w:w="0" w:type="auto"/>
          </w:tcPr>
          <w:p w:rsidR="00415D93" w:rsidRPr="00247E06" w:rsidRDefault="007011AC" w:rsidP="00415D93">
            <w:pPr>
              <w:rPr>
                <w:rFonts w:cs="Arial"/>
                <w:sz w:val="20"/>
                <w:szCs w:val="20"/>
              </w:rPr>
            </w:pPr>
            <w:r w:rsidRPr="00247E06">
              <w:rPr>
                <w:rFonts w:cs="Arial"/>
                <w:sz w:val="20"/>
                <w:szCs w:val="20"/>
              </w:rPr>
              <w:t>Almost certain</w:t>
            </w:r>
          </w:p>
        </w:tc>
        <w:tc>
          <w:tcPr>
            <w:tcW w:w="0" w:type="auto"/>
          </w:tcPr>
          <w:p w:rsidR="00415D93" w:rsidRPr="00247E06" w:rsidRDefault="00415D93" w:rsidP="00BC4854">
            <w:pPr>
              <w:rPr>
                <w:rFonts w:cs="Arial"/>
                <w:sz w:val="20"/>
                <w:szCs w:val="20"/>
              </w:rPr>
            </w:pPr>
            <w:r w:rsidRPr="00247E06">
              <w:rPr>
                <w:rFonts w:cs="Arial"/>
                <w:sz w:val="20"/>
                <w:szCs w:val="20"/>
              </w:rPr>
              <w:t>The outcome is expected to occur</w:t>
            </w:r>
          </w:p>
        </w:tc>
      </w:tr>
    </w:tbl>
    <w:p w:rsidR="006D12EE" w:rsidRDefault="006D12EE" w:rsidP="00BC4854">
      <w:pPr>
        <w:rPr>
          <w:rFonts w:cs="Arial"/>
          <w:sz w:val="18"/>
          <w:szCs w:val="18"/>
          <w:vertAlign w:val="superscript"/>
        </w:rPr>
      </w:pPr>
    </w:p>
    <w:p w:rsidR="00BC4854" w:rsidRPr="00B711C2" w:rsidRDefault="00BC4854" w:rsidP="00BC4854">
      <w:pPr>
        <w:rPr>
          <w:rFonts w:cs="Arial"/>
          <w:u w:val="single"/>
        </w:rPr>
      </w:pPr>
      <w:r w:rsidRPr="00B711C2">
        <w:rPr>
          <w:rFonts w:cs="Arial"/>
          <w:u w:val="single"/>
        </w:rPr>
        <w:t>Consequence Criteria</w:t>
      </w:r>
      <w:r w:rsidR="00713F5A">
        <w:rPr>
          <w:rFonts w:cs="Arial"/>
          <w:u w:val="single"/>
        </w:rPr>
        <w:t xml:space="preserve"> (column 6A)</w:t>
      </w:r>
    </w:p>
    <w:p w:rsidR="00BC4854" w:rsidRDefault="006D12EE" w:rsidP="00BC4854">
      <w:pPr>
        <w:rPr>
          <w:rFonts w:cs="Arial"/>
        </w:rPr>
      </w:pPr>
      <w:r>
        <w:rPr>
          <w:rFonts w:cs="Arial"/>
        </w:rPr>
        <w:t xml:space="preserve">Consequence is </w:t>
      </w:r>
      <w:r w:rsidRPr="006D12EE">
        <w:rPr>
          <w:rFonts w:cs="Arial"/>
        </w:rPr>
        <w:t>the impact or magnitude of the effect if the threat occurs</w:t>
      </w:r>
      <w:r w:rsidR="00AB1B98">
        <w:rPr>
          <w:rFonts w:cs="Arial"/>
        </w:rPr>
        <w:t>, the i</w:t>
      </w:r>
      <w:r w:rsidRPr="006D12EE">
        <w:rPr>
          <w:rFonts w:cs="Arial"/>
        </w:rPr>
        <w:t xml:space="preserve">mpact that will occur if the threat is realised. </w:t>
      </w:r>
      <w:r w:rsidR="00BC4854" w:rsidRPr="00B711C2">
        <w:rPr>
          <w:rFonts w:cs="Arial"/>
        </w:rPr>
        <w:t>Th</w:t>
      </w:r>
      <w:r w:rsidR="00AB1B98">
        <w:rPr>
          <w:rFonts w:cs="Arial"/>
        </w:rPr>
        <w:t xml:space="preserve">ese criteria provide a </w:t>
      </w:r>
      <w:r w:rsidR="00BC4854" w:rsidRPr="00B711C2">
        <w:rPr>
          <w:rFonts w:cs="Arial"/>
        </w:rPr>
        <w:t>general</w:t>
      </w:r>
      <w:r w:rsidR="00AB1B98">
        <w:rPr>
          <w:rFonts w:cs="Arial"/>
        </w:rPr>
        <w:t xml:space="preserve"> framework for </w:t>
      </w:r>
      <w:r w:rsidR="00BC4854" w:rsidRPr="00B711C2">
        <w:rPr>
          <w:rFonts w:cs="Arial"/>
        </w:rPr>
        <w:t xml:space="preserve">assessing </w:t>
      </w:r>
      <w:r w:rsidR="00AB1B98">
        <w:rPr>
          <w:rFonts w:cs="Arial"/>
        </w:rPr>
        <w:t xml:space="preserve">the particular impacts identified for the </w:t>
      </w:r>
      <w:r w:rsidR="00BC4854" w:rsidRPr="00B711C2">
        <w:rPr>
          <w:rFonts w:cs="Arial"/>
        </w:rPr>
        <w:t>species</w:t>
      </w:r>
      <w:r w:rsidR="00E50E7A">
        <w:rPr>
          <w:rFonts w:cs="Arial"/>
        </w:rPr>
        <w:t xml:space="preserve"> </w:t>
      </w:r>
      <w:r w:rsidR="00AB1B98">
        <w:rPr>
          <w:rFonts w:cs="Arial"/>
        </w:rPr>
        <w:t>being considered.</w:t>
      </w:r>
      <w:r w:rsidR="00BC4854" w:rsidRPr="00B711C2">
        <w:rPr>
          <w:rFonts w:cs="Arial"/>
        </w:rPr>
        <w:t xml:space="preserve"> The</w:t>
      </w:r>
      <w:r w:rsidR="00AB1B98">
        <w:rPr>
          <w:rFonts w:cs="Arial"/>
        </w:rPr>
        <w:t xml:space="preserve">y draw on the </w:t>
      </w:r>
      <w:r w:rsidR="00415D93" w:rsidRPr="00B711C2">
        <w:rPr>
          <w:rFonts w:cs="Arial"/>
        </w:rPr>
        <w:t>T</w:t>
      </w:r>
      <w:r w:rsidR="00CA6450">
        <w:rPr>
          <w:rFonts w:cs="Arial"/>
        </w:rPr>
        <w:t>hreatened Species Scientific Committee</w:t>
      </w:r>
      <w:r w:rsidR="00415D93" w:rsidRPr="00B711C2">
        <w:rPr>
          <w:rFonts w:cs="Arial"/>
        </w:rPr>
        <w:t xml:space="preserve"> listing criteria and the </w:t>
      </w:r>
      <w:r w:rsidR="00AB1B98">
        <w:rPr>
          <w:rFonts w:cs="Arial"/>
        </w:rPr>
        <w:t xml:space="preserve">Department’s </w:t>
      </w:r>
      <w:r w:rsidR="00BC4854" w:rsidRPr="00B711C2">
        <w:rPr>
          <w:rFonts w:cs="Arial"/>
        </w:rPr>
        <w:t>‘significant impact criteria’ for listed</w:t>
      </w:r>
      <w:r w:rsidR="00EB001B">
        <w:rPr>
          <w:rFonts w:cs="Arial"/>
        </w:rPr>
        <w:t xml:space="preserve"> threatened species (DoE 2013).</w:t>
      </w:r>
    </w:p>
    <w:p w:rsidR="00247E06" w:rsidRDefault="002C0C4C">
      <w:pPr>
        <w:pStyle w:val="ListBullet"/>
        <w:numPr>
          <w:ilvl w:val="0"/>
          <w:numId w:val="0"/>
        </w:numPr>
      </w:pPr>
      <w:r>
        <w:t>In the examples provided t</w:t>
      </w:r>
      <w:r w:rsidR="00AB1B98" w:rsidRPr="00B711C2">
        <w:t xml:space="preserve">he worst case approach was used to assess the consequence of each </w:t>
      </w:r>
      <w:r w:rsidRPr="00B711C2">
        <w:t>threat</w:t>
      </w:r>
      <w:r>
        <w:t>, which</w:t>
      </w:r>
      <w:r w:rsidR="00AB1B98" w:rsidRPr="00B711C2">
        <w:t xml:space="preserve"> is if the threat was to actually occur what effect it would have to this species for each criterion. Expert opinion </w:t>
      </w:r>
      <w:r w:rsidR="00AF2ADA">
        <w:t xml:space="preserve">should </w:t>
      </w:r>
      <w:r w:rsidR="00AB1B98" w:rsidRPr="00B711C2">
        <w:t>be the basis for determining the levels of effect from threats to species. No weighting was applied so that no greater importance is placed on one crite</w:t>
      </w:r>
      <w:r w:rsidR="00EB001B">
        <w:t>ria or combination of criteria.</w:t>
      </w:r>
    </w:p>
    <w:p w:rsidR="00247E06" w:rsidRDefault="00247E06">
      <w:pPr>
        <w:pStyle w:val="ListBullet"/>
        <w:numPr>
          <w:ilvl w:val="0"/>
          <w:numId w:val="0"/>
        </w:numPr>
        <w:sectPr w:rsidR="00247E06" w:rsidSect="00B50E76">
          <w:headerReference w:type="even" r:id="rId7"/>
          <w:headerReference w:type="default" r:id="rId8"/>
          <w:footerReference w:type="even" r:id="rId9"/>
          <w:footerReference w:type="default" r:id="rId10"/>
          <w:headerReference w:type="first" r:id="rId11"/>
          <w:footerReference w:type="first" r:id="rId12"/>
          <w:pgSz w:w="11906" w:h="16838"/>
          <w:pgMar w:top="1418" w:right="1276" w:bottom="567" w:left="1418" w:header="425" w:footer="425" w:gutter="0"/>
          <w:pgNumType w:start="1"/>
          <w:cols w:space="708"/>
          <w:titlePg/>
          <w:docGrid w:linePitch="360"/>
        </w:sectPr>
      </w:pPr>
    </w:p>
    <w:tbl>
      <w:tblPr>
        <w:tblStyle w:val="TableGrid"/>
        <w:tblW w:w="15559" w:type="dxa"/>
        <w:tblLook w:val="04A0"/>
      </w:tblPr>
      <w:tblGrid>
        <w:gridCol w:w="2239"/>
        <w:gridCol w:w="2797"/>
        <w:gridCol w:w="2305"/>
        <w:gridCol w:w="2297"/>
        <w:gridCol w:w="2988"/>
        <w:gridCol w:w="2933"/>
      </w:tblGrid>
      <w:tr w:rsidR="00BC4854" w:rsidRPr="00E50E7A" w:rsidTr="00DC4BEC">
        <w:trPr>
          <w:cnfStyle w:val="100000000000"/>
          <w:trHeight w:val="572"/>
        </w:trPr>
        <w:tc>
          <w:tcPr>
            <w:tcW w:w="0" w:type="auto"/>
          </w:tcPr>
          <w:p w:rsidR="00252B9A" w:rsidRPr="00247E06" w:rsidRDefault="00BC4854">
            <w:pPr>
              <w:rPr>
                <w:rFonts w:cs="Arial"/>
                <w:sz w:val="20"/>
                <w:szCs w:val="20"/>
              </w:rPr>
            </w:pPr>
            <w:r w:rsidRPr="00247E06">
              <w:rPr>
                <w:rFonts w:cs="Arial"/>
                <w:sz w:val="20"/>
                <w:szCs w:val="20"/>
              </w:rPr>
              <w:lastRenderedPageBreak/>
              <w:t>Consequence</w:t>
            </w:r>
          </w:p>
        </w:tc>
        <w:tc>
          <w:tcPr>
            <w:tcW w:w="0" w:type="auto"/>
          </w:tcPr>
          <w:p w:rsidR="00BC4854" w:rsidRPr="00247E06" w:rsidRDefault="007011AC" w:rsidP="00DC4BEC">
            <w:pPr>
              <w:spacing w:after="120"/>
              <w:jc w:val="center"/>
              <w:rPr>
                <w:rFonts w:cs="Arial"/>
                <w:sz w:val="20"/>
                <w:szCs w:val="20"/>
              </w:rPr>
            </w:pPr>
            <w:r w:rsidRPr="00247E06">
              <w:rPr>
                <w:rFonts w:cs="Arial"/>
                <w:sz w:val="20"/>
                <w:szCs w:val="20"/>
              </w:rPr>
              <w:t>Insignificant</w:t>
            </w:r>
          </w:p>
          <w:p w:rsidR="00BC4854" w:rsidRPr="00247E06" w:rsidRDefault="00BC4854" w:rsidP="00DC4BEC">
            <w:pPr>
              <w:spacing w:after="120"/>
              <w:jc w:val="center"/>
              <w:rPr>
                <w:rFonts w:cs="Arial"/>
                <w:sz w:val="20"/>
                <w:szCs w:val="20"/>
              </w:rPr>
            </w:pPr>
            <w:r w:rsidRPr="00247E06">
              <w:rPr>
                <w:rFonts w:cs="Arial"/>
                <w:sz w:val="20"/>
                <w:szCs w:val="20"/>
              </w:rPr>
              <w:t>1</w:t>
            </w:r>
          </w:p>
        </w:tc>
        <w:tc>
          <w:tcPr>
            <w:tcW w:w="0" w:type="auto"/>
          </w:tcPr>
          <w:p w:rsidR="00BC4854" w:rsidRPr="00247E06" w:rsidRDefault="00BC4854" w:rsidP="00DC4BEC">
            <w:pPr>
              <w:spacing w:after="120"/>
              <w:jc w:val="center"/>
              <w:rPr>
                <w:rFonts w:cs="Arial"/>
                <w:sz w:val="20"/>
                <w:szCs w:val="20"/>
              </w:rPr>
            </w:pPr>
            <w:r w:rsidRPr="00247E06">
              <w:rPr>
                <w:rFonts w:cs="Arial"/>
                <w:sz w:val="20"/>
                <w:szCs w:val="20"/>
              </w:rPr>
              <w:t>Minor</w:t>
            </w:r>
          </w:p>
          <w:p w:rsidR="00BC4854" w:rsidRPr="00247E06" w:rsidRDefault="00BC4854" w:rsidP="00DC4BEC">
            <w:pPr>
              <w:spacing w:after="120"/>
              <w:jc w:val="center"/>
              <w:rPr>
                <w:rFonts w:cs="Arial"/>
                <w:sz w:val="20"/>
                <w:szCs w:val="20"/>
              </w:rPr>
            </w:pPr>
            <w:r w:rsidRPr="00247E06">
              <w:rPr>
                <w:rFonts w:cs="Arial"/>
                <w:sz w:val="20"/>
                <w:szCs w:val="20"/>
              </w:rPr>
              <w:t>2</w:t>
            </w:r>
          </w:p>
        </w:tc>
        <w:tc>
          <w:tcPr>
            <w:tcW w:w="0" w:type="auto"/>
          </w:tcPr>
          <w:p w:rsidR="00BC4854" w:rsidRPr="00247E06" w:rsidRDefault="00BC4854" w:rsidP="00DC4BEC">
            <w:pPr>
              <w:spacing w:after="120"/>
              <w:jc w:val="center"/>
              <w:rPr>
                <w:rFonts w:cs="Arial"/>
                <w:sz w:val="20"/>
                <w:szCs w:val="20"/>
              </w:rPr>
            </w:pPr>
            <w:r w:rsidRPr="00247E06">
              <w:rPr>
                <w:rFonts w:cs="Arial"/>
                <w:sz w:val="20"/>
                <w:szCs w:val="20"/>
              </w:rPr>
              <w:t>Moderate</w:t>
            </w:r>
          </w:p>
          <w:p w:rsidR="00BC4854" w:rsidRPr="00247E06" w:rsidRDefault="00BC4854" w:rsidP="00DC4BEC">
            <w:pPr>
              <w:spacing w:after="120"/>
              <w:jc w:val="center"/>
              <w:rPr>
                <w:rFonts w:cs="Arial"/>
                <w:sz w:val="20"/>
                <w:szCs w:val="20"/>
              </w:rPr>
            </w:pPr>
            <w:r w:rsidRPr="00247E06">
              <w:rPr>
                <w:rFonts w:cs="Arial"/>
                <w:sz w:val="20"/>
                <w:szCs w:val="20"/>
              </w:rPr>
              <w:t>3</w:t>
            </w:r>
          </w:p>
        </w:tc>
        <w:tc>
          <w:tcPr>
            <w:tcW w:w="0" w:type="auto"/>
          </w:tcPr>
          <w:p w:rsidR="00BC4854" w:rsidRPr="00247E06" w:rsidRDefault="00BC4854" w:rsidP="00DC4BEC">
            <w:pPr>
              <w:spacing w:after="120"/>
              <w:jc w:val="center"/>
              <w:rPr>
                <w:rFonts w:cs="Arial"/>
                <w:sz w:val="20"/>
                <w:szCs w:val="20"/>
              </w:rPr>
            </w:pPr>
            <w:r w:rsidRPr="00247E06">
              <w:rPr>
                <w:rFonts w:cs="Arial"/>
                <w:sz w:val="20"/>
                <w:szCs w:val="20"/>
              </w:rPr>
              <w:t>Major</w:t>
            </w:r>
          </w:p>
          <w:p w:rsidR="00BC4854" w:rsidRPr="00247E06" w:rsidRDefault="00BC4854" w:rsidP="00DC4BEC">
            <w:pPr>
              <w:spacing w:after="120"/>
              <w:jc w:val="center"/>
              <w:rPr>
                <w:rFonts w:cs="Arial"/>
                <w:sz w:val="20"/>
                <w:szCs w:val="20"/>
              </w:rPr>
            </w:pPr>
            <w:r w:rsidRPr="00247E06">
              <w:rPr>
                <w:rFonts w:cs="Arial"/>
                <w:sz w:val="20"/>
                <w:szCs w:val="20"/>
              </w:rPr>
              <w:t>4</w:t>
            </w:r>
          </w:p>
        </w:tc>
        <w:tc>
          <w:tcPr>
            <w:tcW w:w="2933" w:type="dxa"/>
          </w:tcPr>
          <w:p w:rsidR="00BC4854" w:rsidRPr="00247E06" w:rsidRDefault="007011AC" w:rsidP="00DC4BEC">
            <w:pPr>
              <w:spacing w:after="120"/>
              <w:jc w:val="center"/>
              <w:rPr>
                <w:rFonts w:cs="Arial"/>
                <w:sz w:val="20"/>
                <w:szCs w:val="20"/>
              </w:rPr>
            </w:pPr>
            <w:r w:rsidRPr="00247E06">
              <w:rPr>
                <w:rFonts w:cs="Arial"/>
                <w:sz w:val="20"/>
                <w:szCs w:val="20"/>
              </w:rPr>
              <w:t>Critical</w:t>
            </w:r>
            <w:r w:rsidR="00BC4854" w:rsidRPr="00247E06">
              <w:rPr>
                <w:rFonts w:cs="Arial"/>
                <w:sz w:val="20"/>
                <w:szCs w:val="20"/>
              </w:rPr>
              <w:t xml:space="preserve"> </w:t>
            </w:r>
          </w:p>
          <w:p w:rsidR="00BC4854" w:rsidRPr="00247E06" w:rsidRDefault="00BC4854" w:rsidP="00DC4BEC">
            <w:pPr>
              <w:spacing w:after="120"/>
              <w:jc w:val="center"/>
              <w:rPr>
                <w:rFonts w:cs="Arial"/>
                <w:sz w:val="20"/>
                <w:szCs w:val="20"/>
              </w:rPr>
            </w:pPr>
            <w:r w:rsidRPr="00247E06">
              <w:rPr>
                <w:rFonts w:cs="Arial"/>
                <w:sz w:val="20"/>
                <w:szCs w:val="20"/>
              </w:rPr>
              <w:t>5</w:t>
            </w:r>
          </w:p>
        </w:tc>
      </w:tr>
      <w:tr w:rsidR="00BC4854" w:rsidRPr="00E50E7A" w:rsidTr="00DC4BEC">
        <w:trPr>
          <w:cnfStyle w:val="000000100000"/>
        </w:trPr>
        <w:tc>
          <w:tcPr>
            <w:tcW w:w="0" w:type="auto"/>
          </w:tcPr>
          <w:p w:rsidR="00BC4854" w:rsidRPr="00247E06" w:rsidRDefault="00BC4854" w:rsidP="00C27865">
            <w:pPr>
              <w:rPr>
                <w:rFonts w:cs="Arial"/>
                <w:sz w:val="20"/>
                <w:szCs w:val="20"/>
              </w:rPr>
            </w:pPr>
            <w:r w:rsidRPr="00247E06">
              <w:rPr>
                <w:rFonts w:cs="Arial"/>
                <w:sz w:val="20"/>
                <w:szCs w:val="20"/>
              </w:rPr>
              <w:t>Impact on population</w:t>
            </w:r>
            <w:r w:rsidR="00C27865" w:rsidRPr="00247E06">
              <w:rPr>
                <w:rFonts w:cs="Arial"/>
                <w:sz w:val="20"/>
                <w:szCs w:val="20"/>
                <w:vertAlign w:val="superscript"/>
              </w:rPr>
              <w:t>3</w:t>
            </w:r>
          </w:p>
        </w:tc>
        <w:tc>
          <w:tcPr>
            <w:tcW w:w="0" w:type="auto"/>
          </w:tcPr>
          <w:p w:rsidR="00BC4854" w:rsidRPr="00247E06" w:rsidRDefault="00BC4854" w:rsidP="00BC4854">
            <w:pPr>
              <w:rPr>
                <w:rFonts w:cs="Arial"/>
                <w:sz w:val="20"/>
                <w:szCs w:val="20"/>
              </w:rPr>
            </w:pPr>
            <w:r w:rsidRPr="00247E06">
              <w:rPr>
                <w:rFonts w:cs="Arial"/>
                <w:sz w:val="20"/>
                <w:szCs w:val="20"/>
              </w:rPr>
              <w:t>Minimal impact on local population numbers</w:t>
            </w:r>
            <w:r w:rsidR="00B571ED" w:rsidRPr="00247E06">
              <w:rPr>
                <w:rFonts w:cs="Arial"/>
                <w:sz w:val="20"/>
                <w:szCs w:val="20"/>
              </w:rPr>
              <w:t xml:space="preserve">; area affected negligible compared to total population; </w:t>
            </w:r>
            <w:r w:rsidR="00981CEE" w:rsidRPr="00247E06">
              <w:rPr>
                <w:rFonts w:cs="Arial"/>
                <w:sz w:val="20"/>
                <w:szCs w:val="20"/>
              </w:rPr>
              <w:t>minimal or acceptable impact on population size</w:t>
            </w:r>
          </w:p>
        </w:tc>
        <w:tc>
          <w:tcPr>
            <w:tcW w:w="0" w:type="auto"/>
          </w:tcPr>
          <w:p w:rsidR="00BC4854" w:rsidRPr="00247E06" w:rsidRDefault="00BC4854" w:rsidP="00BC4854">
            <w:pPr>
              <w:rPr>
                <w:rFonts w:cs="Arial"/>
                <w:sz w:val="20"/>
                <w:szCs w:val="20"/>
              </w:rPr>
            </w:pPr>
            <w:r w:rsidRPr="00247E06">
              <w:rPr>
                <w:rFonts w:cs="Arial"/>
                <w:sz w:val="20"/>
                <w:szCs w:val="20"/>
              </w:rPr>
              <w:t>Minor impact on local population numbers. Population in other locations not impacted</w:t>
            </w:r>
          </w:p>
        </w:tc>
        <w:tc>
          <w:tcPr>
            <w:tcW w:w="0" w:type="auto"/>
          </w:tcPr>
          <w:p w:rsidR="00BC4854" w:rsidRPr="00247E06" w:rsidRDefault="00BC4854" w:rsidP="00BC4854">
            <w:pPr>
              <w:rPr>
                <w:rFonts w:cs="Arial"/>
                <w:sz w:val="20"/>
                <w:szCs w:val="20"/>
              </w:rPr>
            </w:pPr>
            <w:r w:rsidRPr="00247E06">
              <w:rPr>
                <w:rFonts w:cs="Arial"/>
                <w:sz w:val="20"/>
                <w:szCs w:val="20"/>
              </w:rPr>
              <w:t>Moderate impact on local population numbers. Some impacts on populations in other locations</w:t>
            </w:r>
            <w:r w:rsidR="00981CEE" w:rsidRPr="00247E06">
              <w:rPr>
                <w:rFonts w:cs="Arial"/>
                <w:sz w:val="20"/>
                <w:szCs w:val="20"/>
              </w:rPr>
              <w:t>; moderate and/or short term effects</w:t>
            </w:r>
          </w:p>
        </w:tc>
        <w:tc>
          <w:tcPr>
            <w:tcW w:w="0" w:type="auto"/>
          </w:tcPr>
          <w:p w:rsidR="00BC4854" w:rsidRPr="00247E06" w:rsidRDefault="00BC4854" w:rsidP="00BC4854">
            <w:pPr>
              <w:rPr>
                <w:rFonts w:cs="Arial"/>
                <w:sz w:val="20"/>
                <w:szCs w:val="20"/>
              </w:rPr>
            </w:pPr>
            <w:r w:rsidRPr="00247E06">
              <w:rPr>
                <w:rFonts w:cs="Arial"/>
                <w:sz w:val="20"/>
                <w:szCs w:val="20"/>
              </w:rPr>
              <w:t>Major population reduction or loss of local population</w:t>
            </w:r>
            <w:r w:rsidR="00F25965" w:rsidRPr="00247E06">
              <w:rPr>
                <w:rFonts w:cs="Arial"/>
                <w:sz w:val="20"/>
                <w:szCs w:val="20"/>
              </w:rPr>
              <w:t>; recovery measure in years to decades; serious and significant impact on species</w:t>
            </w:r>
          </w:p>
        </w:tc>
        <w:tc>
          <w:tcPr>
            <w:tcW w:w="2933" w:type="dxa"/>
          </w:tcPr>
          <w:p w:rsidR="00BC4854" w:rsidRPr="00247E06" w:rsidRDefault="00BC4854" w:rsidP="00BC4854">
            <w:pPr>
              <w:rPr>
                <w:rFonts w:cs="Arial"/>
                <w:sz w:val="20"/>
                <w:szCs w:val="20"/>
              </w:rPr>
            </w:pPr>
            <w:r w:rsidRPr="00247E06">
              <w:rPr>
                <w:rFonts w:cs="Arial"/>
                <w:sz w:val="20"/>
                <w:szCs w:val="20"/>
              </w:rPr>
              <w:t>Population reduction which may results in species extinction</w:t>
            </w:r>
            <w:r w:rsidR="00F25965" w:rsidRPr="00247E06">
              <w:rPr>
                <w:rFonts w:cs="Arial"/>
                <w:sz w:val="20"/>
                <w:szCs w:val="20"/>
              </w:rPr>
              <w:t>; recovery period is greater than decades; very significant and serious impact on high value species</w:t>
            </w:r>
          </w:p>
        </w:tc>
      </w:tr>
      <w:tr w:rsidR="00BC4854" w:rsidRPr="00E50E7A" w:rsidTr="00DC4BEC">
        <w:trPr>
          <w:cnfStyle w:val="000000010000"/>
        </w:trPr>
        <w:tc>
          <w:tcPr>
            <w:tcW w:w="0" w:type="auto"/>
          </w:tcPr>
          <w:p w:rsidR="00BC4854" w:rsidRPr="00247E06" w:rsidRDefault="00BC4854" w:rsidP="00C27865">
            <w:pPr>
              <w:rPr>
                <w:rFonts w:cs="Arial"/>
                <w:sz w:val="20"/>
                <w:szCs w:val="20"/>
              </w:rPr>
            </w:pPr>
            <w:r w:rsidRPr="00247E06">
              <w:rPr>
                <w:rFonts w:cs="Arial"/>
                <w:sz w:val="20"/>
                <w:szCs w:val="20"/>
              </w:rPr>
              <w:t>Fragmentation of habitat/loss of habitat connectivity/reduce the areas of occupancy</w:t>
            </w:r>
            <w:r w:rsidR="00C27865" w:rsidRPr="00247E06">
              <w:rPr>
                <w:rFonts w:cs="Arial"/>
                <w:sz w:val="20"/>
                <w:szCs w:val="20"/>
                <w:vertAlign w:val="superscript"/>
              </w:rPr>
              <w:t>4</w:t>
            </w:r>
          </w:p>
        </w:tc>
        <w:tc>
          <w:tcPr>
            <w:tcW w:w="0" w:type="auto"/>
          </w:tcPr>
          <w:p w:rsidR="00BC4854" w:rsidRPr="00247E06" w:rsidRDefault="00BC4854" w:rsidP="00BC4854">
            <w:pPr>
              <w:rPr>
                <w:rFonts w:cs="Arial"/>
                <w:sz w:val="20"/>
                <w:szCs w:val="20"/>
              </w:rPr>
            </w:pPr>
            <w:r w:rsidRPr="00247E06">
              <w:rPr>
                <w:rFonts w:cs="Arial"/>
                <w:sz w:val="20"/>
                <w:szCs w:val="20"/>
              </w:rPr>
              <w:t>Minimal losses of local habitat only, recovery likely in a relatively short period of time</w:t>
            </w:r>
            <w:r w:rsidR="00981CEE" w:rsidRPr="00247E06">
              <w:rPr>
                <w:rFonts w:cs="Arial"/>
                <w:sz w:val="20"/>
                <w:szCs w:val="20"/>
              </w:rPr>
              <w:t>; threats are covered by current management or legislation</w:t>
            </w:r>
          </w:p>
        </w:tc>
        <w:tc>
          <w:tcPr>
            <w:tcW w:w="0" w:type="auto"/>
          </w:tcPr>
          <w:p w:rsidR="00BC4854" w:rsidRPr="00247E06" w:rsidRDefault="00BC4854" w:rsidP="00BC4854">
            <w:pPr>
              <w:rPr>
                <w:rFonts w:cs="Arial"/>
                <w:sz w:val="20"/>
                <w:szCs w:val="20"/>
              </w:rPr>
            </w:pPr>
            <w:r w:rsidRPr="00247E06">
              <w:rPr>
                <w:rFonts w:cs="Arial"/>
                <w:sz w:val="20"/>
                <w:szCs w:val="20"/>
              </w:rPr>
              <w:t>Minor losses of local habitat requiring recovery over short term</w:t>
            </w:r>
          </w:p>
        </w:tc>
        <w:tc>
          <w:tcPr>
            <w:tcW w:w="0" w:type="auto"/>
          </w:tcPr>
          <w:p w:rsidR="00BC4854" w:rsidRPr="00247E06" w:rsidRDefault="00BC4854" w:rsidP="00BC4854">
            <w:pPr>
              <w:rPr>
                <w:rFonts w:cs="Arial"/>
                <w:sz w:val="20"/>
                <w:szCs w:val="20"/>
              </w:rPr>
            </w:pPr>
            <w:r w:rsidRPr="00247E06">
              <w:rPr>
                <w:rFonts w:cs="Arial"/>
                <w:sz w:val="20"/>
                <w:szCs w:val="20"/>
              </w:rPr>
              <w:t>Moderate loss of local habitat requiring recovery over a short to medium term and resulting in loss of connectivity between habitats at a local scale</w:t>
            </w:r>
          </w:p>
        </w:tc>
        <w:tc>
          <w:tcPr>
            <w:tcW w:w="0" w:type="auto"/>
          </w:tcPr>
          <w:p w:rsidR="00BC4854" w:rsidRPr="00247E06" w:rsidRDefault="00BC4854" w:rsidP="00BC4854">
            <w:pPr>
              <w:rPr>
                <w:rFonts w:cs="Arial"/>
                <w:sz w:val="20"/>
                <w:szCs w:val="20"/>
              </w:rPr>
            </w:pPr>
            <w:r w:rsidRPr="00247E06">
              <w:rPr>
                <w:rFonts w:cs="Arial"/>
                <w:sz w:val="20"/>
                <w:szCs w:val="20"/>
              </w:rPr>
              <w:t xml:space="preserve">Loss of local habitat with no potential for recovery, or partial loss of habitat across large areas and/or with limited potential for recovery in the medium to long term. Results in a net reduction in connectivity over a large area </w:t>
            </w:r>
          </w:p>
        </w:tc>
        <w:tc>
          <w:tcPr>
            <w:tcW w:w="2933" w:type="dxa"/>
          </w:tcPr>
          <w:p w:rsidR="00BC4854" w:rsidRPr="00247E06" w:rsidRDefault="00BC4854" w:rsidP="00BC4854">
            <w:pPr>
              <w:rPr>
                <w:rFonts w:cs="Arial"/>
                <w:sz w:val="20"/>
                <w:szCs w:val="20"/>
              </w:rPr>
            </w:pPr>
            <w:r w:rsidRPr="00247E06">
              <w:rPr>
                <w:rFonts w:cs="Arial"/>
                <w:sz w:val="20"/>
                <w:szCs w:val="20"/>
              </w:rPr>
              <w:t>Complete loss of local habitat with no potential for recovery and loss of habitat in other locations with limited potential for recovery in the long term resulting in a significant impact on habitat connectivity over a large area</w:t>
            </w:r>
          </w:p>
        </w:tc>
      </w:tr>
      <w:tr w:rsidR="00BC4854" w:rsidRPr="00E50E7A" w:rsidTr="00DC4BEC">
        <w:trPr>
          <w:cnfStyle w:val="000000100000"/>
        </w:trPr>
        <w:tc>
          <w:tcPr>
            <w:tcW w:w="0" w:type="auto"/>
          </w:tcPr>
          <w:p w:rsidR="00BC4854" w:rsidRPr="00247E06" w:rsidRDefault="00BC4854" w:rsidP="00C27865">
            <w:pPr>
              <w:rPr>
                <w:rFonts w:cs="Arial"/>
                <w:sz w:val="20"/>
                <w:szCs w:val="20"/>
              </w:rPr>
            </w:pPr>
            <w:r w:rsidRPr="00247E06">
              <w:rPr>
                <w:rFonts w:cs="Arial"/>
                <w:sz w:val="20"/>
                <w:szCs w:val="20"/>
              </w:rPr>
              <w:t>Impact on the habitat critical to the survival of the species</w:t>
            </w:r>
            <w:r w:rsidR="00C27865" w:rsidRPr="00247E06">
              <w:rPr>
                <w:rFonts w:cs="Arial"/>
                <w:sz w:val="20"/>
                <w:szCs w:val="20"/>
                <w:vertAlign w:val="superscript"/>
              </w:rPr>
              <w:t>5</w:t>
            </w:r>
            <w:r w:rsidRPr="00247E06">
              <w:rPr>
                <w:rFonts w:cs="Arial"/>
                <w:sz w:val="20"/>
                <w:szCs w:val="20"/>
              </w:rPr>
              <w:t xml:space="preserve"> </w:t>
            </w:r>
          </w:p>
        </w:tc>
        <w:tc>
          <w:tcPr>
            <w:tcW w:w="0" w:type="auto"/>
          </w:tcPr>
          <w:p w:rsidR="00BC4854" w:rsidRPr="00247E06" w:rsidRDefault="00BC4854" w:rsidP="00BC4854">
            <w:pPr>
              <w:rPr>
                <w:rFonts w:cs="Arial"/>
                <w:sz w:val="20"/>
                <w:szCs w:val="20"/>
              </w:rPr>
            </w:pPr>
            <w:r w:rsidRPr="00247E06">
              <w:rPr>
                <w:rFonts w:cs="Arial"/>
                <w:sz w:val="20"/>
                <w:szCs w:val="20"/>
              </w:rPr>
              <w:t>Minimal modification,  destruction, removal ore decrease of local habitat only, recovery likely in a relatively short period of time</w:t>
            </w:r>
            <w:r w:rsidR="00B571ED" w:rsidRPr="00247E06">
              <w:rPr>
                <w:rFonts w:cs="Arial"/>
                <w:sz w:val="20"/>
                <w:szCs w:val="20"/>
              </w:rPr>
              <w:t xml:space="preserve">; </w:t>
            </w:r>
            <w:r w:rsidR="000020F9" w:rsidRPr="00247E06">
              <w:rPr>
                <w:rFonts w:cs="Arial"/>
                <w:sz w:val="20"/>
                <w:szCs w:val="20"/>
              </w:rPr>
              <w:t>insignificant</w:t>
            </w:r>
            <w:r w:rsidR="00B571ED" w:rsidRPr="00247E06">
              <w:rPr>
                <w:rFonts w:cs="Arial"/>
                <w:sz w:val="20"/>
                <w:szCs w:val="20"/>
              </w:rPr>
              <w:t xml:space="preserve"> impact to </w:t>
            </w:r>
            <w:r w:rsidR="000020F9" w:rsidRPr="00247E06">
              <w:rPr>
                <w:rFonts w:cs="Arial"/>
                <w:sz w:val="20"/>
                <w:szCs w:val="20"/>
              </w:rPr>
              <w:t>habitat</w:t>
            </w:r>
            <w:r w:rsidR="00B571ED" w:rsidRPr="00247E06">
              <w:rPr>
                <w:rFonts w:cs="Arial"/>
                <w:sz w:val="20"/>
                <w:szCs w:val="20"/>
              </w:rPr>
              <w:t xml:space="preserve"> or threat activity only</w:t>
            </w:r>
            <w:r w:rsidR="000020F9" w:rsidRPr="00247E06">
              <w:rPr>
                <w:rFonts w:cs="Arial"/>
                <w:sz w:val="20"/>
                <w:szCs w:val="20"/>
              </w:rPr>
              <w:t xml:space="preserve"> </w:t>
            </w:r>
            <w:r w:rsidR="00B571ED" w:rsidRPr="00247E06">
              <w:rPr>
                <w:rFonts w:cs="Arial"/>
                <w:sz w:val="20"/>
                <w:szCs w:val="20"/>
              </w:rPr>
              <w:t>occurs in a very small areas of habitat</w:t>
            </w:r>
            <w:r w:rsidR="000020F9" w:rsidRPr="00247E06">
              <w:rPr>
                <w:rFonts w:cs="Arial"/>
                <w:sz w:val="20"/>
                <w:szCs w:val="20"/>
              </w:rPr>
              <w:t>; limited damage to minimal area of low significance</w:t>
            </w:r>
            <w:r w:rsidR="00981CEE" w:rsidRPr="00247E06">
              <w:rPr>
                <w:rFonts w:cs="Arial"/>
                <w:sz w:val="20"/>
                <w:szCs w:val="20"/>
              </w:rPr>
              <w:t>; minor effects on physical environment</w:t>
            </w:r>
          </w:p>
        </w:tc>
        <w:tc>
          <w:tcPr>
            <w:tcW w:w="0" w:type="auto"/>
          </w:tcPr>
          <w:p w:rsidR="00BC4854" w:rsidRPr="00247E06" w:rsidRDefault="00BC4854" w:rsidP="00BC4854">
            <w:pPr>
              <w:rPr>
                <w:rFonts w:cs="Arial"/>
                <w:sz w:val="20"/>
                <w:szCs w:val="20"/>
              </w:rPr>
            </w:pPr>
            <w:r w:rsidRPr="00247E06">
              <w:rPr>
                <w:rFonts w:cs="Arial"/>
                <w:sz w:val="20"/>
                <w:szCs w:val="20"/>
              </w:rPr>
              <w:t>Minor modification, destruction, removal ore decrease of local habitat requiring recovery over short term</w:t>
            </w:r>
          </w:p>
        </w:tc>
        <w:tc>
          <w:tcPr>
            <w:tcW w:w="0" w:type="auto"/>
          </w:tcPr>
          <w:p w:rsidR="00BC4854" w:rsidRPr="00247E06" w:rsidRDefault="00BC4854" w:rsidP="00BC4854">
            <w:pPr>
              <w:rPr>
                <w:rFonts w:cs="Arial"/>
                <w:sz w:val="20"/>
                <w:szCs w:val="20"/>
              </w:rPr>
            </w:pPr>
            <w:r w:rsidRPr="00247E06">
              <w:rPr>
                <w:rFonts w:cs="Arial"/>
                <w:sz w:val="20"/>
                <w:szCs w:val="20"/>
              </w:rPr>
              <w:t>Moderate modification, destruction, removal ore decrease of local habitat requiring recovery over a short to medium term and resulting in loss of connectivity between habitats at a local scale</w:t>
            </w:r>
          </w:p>
        </w:tc>
        <w:tc>
          <w:tcPr>
            <w:tcW w:w="0" w:type="auto"/>
          </w:tcPr>
          <w:p w:rsidR="00BC4854" w:rsidRPr="00247E06" w:rsidRDefault="00BC4854" w:rsidP="00BC4854">
            <w:pPr>
              <w:rPr>
                <w:rFonts w:cs="Arial"/>
                <w:sz w:val="20"/>
                <w:szCs w:val="20"/>
              </w:rPr>
            </w:pPr>
            <w:r w:rsidRPr="00247E06">
              <w:rPr>
                <w:rFonts w:cs="Arial"/>
                <w:sz w:val="20"/>
                <w:szCs w:val="20"/>
              </w:rPr>
              <w:t>Modification, destruction, removal or loss of local habitat with no potential for recovery, or partial loss of habitat across large areas and/or with limited potential for recovery in the medium to long term. Results in a net reduction in connectivity over a large area</w:t>
            </w:r>
            <w:r w:rsidR="001641EC" w:rsidRPr="00247E06">
              <w:rPr>
                <w:rFonts w:cs="Arial"/>
                <w:sz w:val="20"/>
                <w:szCs w:val="20"/>
              </w:rPr>
              <w:t>; habitat is affected which may endanger the species and habitat long term survival – 70-90% habitat affected or removed; 30% fragile habitat</w:t>
            </w:r>
            <w:r w:rsidRPr="00247E06">
              <w:rPr>
                <w:rFonts w:cs="Arial"/>
                <w:sz w:val="20"/>
                <w:szCs w:val="20"/>
              </w:rPr>
              <w:t xml:space="preserve"> </w:t>
            </w:r>
            <w:r w:rsidR="001641EC" w:rsidRPr="00247E06">
              <w:rPr>
                <w:rFonts w:cs="Arial"/>
                <w:sz w:val="20"/>
                <w:szCs w:val="20"/>
              </w:rPr>
              <w:t>affected or removed; 10-20% critical habitat affected or removed;</w:t>
            </w:r>
          </w:p>
        </w:tc>
        <w:tc>
          <w:tcPr>
            <w:tcW w:w="2933" w:type="dxa"/>
          </w:tcPr>
          <w:p w:rsidR="00BC4854" w:rsidRPr="00247E06" w:rsidRDefault="00BC4854" w:rsidP="00BC4854">
            <w:pPr>
              <w:rPr>
                <w:rFonts w:cs="Arial"/>
                <w:sz w:val="20"/>
                <w:szCs w:val="20"/>
              </w:rPr>
            </w:pPr>
            <w:r w:rsidRPr="00247E06">
              <w:rPr>
                <w:rFonts w:cs="Arial"/>
                <w:sz w:val="20"/>
                <w:szCs w:val="20"/>
              </w:rPr>
              <w:t>Significant impact resulting in the removal, destruction, fragmentation and degradation of habitat</w:t>
            </w:r>
            <w:r w:rsidR="001641EC" w:rsidRPr="00247E06">
              <w:rPr>
                <w:rFonts w:cs="Arial"/>
                <w:sz w:val="20"/>
                <w:szCs w:val="20"/>
              </w:rPr>
              <w:t>; the entire habitat is in danger of being affected or removed, that &gt;90% habitat, &gt;50% fragile habitat</w:t>
            </w:r>
            <w:r w:rsidRPr="00247E06">
              <w:rPr>
                <w:rFonts w:cs="Arial"/>
                <w:sz w:val="20"/>
                <w:szCs w:val="20"/>
              </w:rPr>
              <w:t xml:space="preserve"> </w:t>
            </w:r>
            <w:r w:rsidR="001641EC" w:rsidRPr="00247E06">
              <w:rPr>
                <w:rFonts w:cs="Arial"/>
                <w:sz w:val="20"/>
                <w:szCs w:val="20"/>
              </w:rPr>
              <w:t>, and &gt;30% critical habitat</w:t>
            </w:r>
          </w:p>
        </w:tc>
      </w:tr>
      <w:tr w:rsidR="00BC4854" w:rsidRPr="00E50E7A" w:rsidTr="00DC4BEC">
        <w:trPr>
          <w:cnfStyle w:val="000000010000"/>
        </w:trPr>
        <w:tc>
          <w:tcPr>
            <w:tcW w:w="0" w:type="auto"/>
          </w:tcPr>
          <w:p w:rsidR="00BC4854" w:rsidRPr="00247E06" w:rsidRDefault="00BC4854" w:rsidP="00C27865">
            <w:pPr>
              <w:rPr>
                <w:rFonts w:cs="Arial"/>
                <w:sz w:val="20"/>
                <w:szCs w:val="20"/>
              </w:rPr>
            </w:pPr>
            <w:r w:rsidRPr="00247E06">
              <w:rPr>
                <w:rFonts w:cs="Arial"/>
                <w:sz w:val="20"/>
                <w:szCs w:val="20"/>
              </w:rPr>
              <w:t>Disruption to breeding cycle</w:t>
            </w:r>
            <w:r w:rsidR="00C27865" w:rsidRPr="00247E06">
              <w:rPr>
                <w:rFonts w:cs="Arial"/>
                <w:sz w:val="20"/>
                <w:szCs w:val="20"/>
                <w:vertAlign w:val="superscript"/>
              </w:rPr>
              <w:t>6</w:t>
            </w:r>
          </w:p>
        </w:tc>
        <w:tc>
          <w:tcPr>
            <w:tcW w:w="0" w:type="auto"/>
          </w:tcPr>
          <w:p w:rsidR="00BC4854" w:rsidRPr="00247E06" w:rsidRDefault="00BC4854" w:rsidP="00BC4854">
            <w:pPr>
              <w:rPr>
                <w:rFonts w:cs="Arial"/>
                <w:sz w:val="20"/>
                <w:szCs w:val="20"/>
              </w:rPr>
            </w:pPr>
            <w:r w:rsidRPr="00247E06">
              <w:rPr>
                <w:rFonts w:cs="Arial"/>
                <w:sz w:val="20"/>
                <w:szCs w:val="20"/>
              </w:rPr>
              <w:t>Minimal impact on any aspect of the breeding cycle</w:t>
            </w:r>
            <w:r w:rsidR="00981CEE" w:rsidRPr="00247E06">
              <w:rPr>
                <w:rFonts w:cs="Arial"/>
                <w:sz w:val="20"/>
                <w:szCs w:val="20"/>
              </w:rPr>
              <w:t xml:space="preserve">; </w:t>
            </w:r>
          </w:p>
        </w:tc>
        <w:tc>
          <w:tcPr>
            <w:tcW w:w="0" w:type="auto"/>
          </w:tcPr>
          <w:p w:rsidR="00BC4854" w:rsidRPr="00247E06" w:rsidRDefault="00BC4854" w:rsidP="00BC4854">
            <w:pPr>
              <w:rPr>
                <w:rFonts w:cs="Arial"/>
                <w:sz w:val="20"/>
                <w:szCs w:val="20"/>
              </w:rPr>
            </w:pPr>
            <w:r w:rsidRPr="00247E06">
              <w:rPr>
                <w:rFonts w:cs="Arial"/>
                <w:sz w:val="20"/>
                <w:szCs w:val="20"/>
              </w:rPr>
              <w:t>Minor disruption to the breeding cycle</w:t>
            </w:r>
          </w:p>
        </w:tc>
        <w:tc>
          <w:tcPr>
            <w:tcW w:w="0" w:type="auto"/>
          </w:tcPr>
          <w:p w:rsidR="00BC4854" w:rsidRPr="00247E06" w:rsidRDefault="00BC4854" w:rsidP="00BC4854">
            <w:pPr>
              <w:rPr>
                <w:rFonts w:cs="Arial"/>
                <w:sz w:val="20"/>
                <w:szCs w:val="20"/>
              </w:rPr>
            </w:pPr>
            <w:r w:rsidRPr="00247E06">
              <w:rPr>
                <w:rFonts w:cs="Arial"/>
                <w:sz w:val="20"/>
                <w:szCs w:val="20"/>
              </w:rPr>
              <w:t>Moderate disruption to breeding cycle resulting in modification of behaviour both within the direct impact zone and at nearby locations</w:t>
            </w:r>
            <w:r w:rsidR="00981CEE" w:rsidRPr="00247E06">
              <w:rPr>
                <w:rFonts w:cs="Arial"/>
                <w:sz w:val="20"/>
                <w:szCs w:val="20"/>
              </w:rPr>
              <w:t>; long term recruitment and/or population dynamics are not adversely impacted</w:t>
            </w:r>
          </w:p>
        </w:tc>
        <w:tc>
          <w:tcPr>
            <w:tcW w:w="0" w:type="auto"/>
          </w:tcPr>
          <w:p w:rsidR="00BC4854" w:rsidRPr="00247E06" w:rsidRDefault="00BC4854" w:rsidP="00BC4854">
            <w:pPr>
              <w:rPr>
                <w:rFonts w:cs="Arial"/>
                <w:sz w:val="20"/>
                <w:szCs w:val="20"/>
              </w:rPr>
            </w:pPr>
            <w:r w:rsidRPr="00247E06">
              <w:rPr>
                <w:rFonts w:cs="Arial"/>
                <w:sz w:val="20"/>
                <w:szCs w:val="20"/>
              </w:rPr>
              <w:t>Direct impacts on breeding cycle resulting in a net decline in size of the population</w:t>
            </w:r>
            <w:r w:rsidR="001641EC" w:rsidRPr="00247E06">
              <w:rPr>
                <w:rFonts w:cs="Arial"/>
                <w:sz w:val="20"/>
                <w:szCs w:val="20"/>
              </w:rPr>
              <w:t>; the is limited information to judge the impact</w:t>
            </w:r>
          </w:p>
        </w:tc>
        <w:tc>
          <w:tcPr>
            <w:tcW w:w="2933" w:type="dxa"/>
          </w:tcPr>
          <w:p w:rsidR="00BC4854" w:rsidRPr="00247E06" w:rsidRDefault="00BC4854" w:rsidP="00BC4854">
            <w:pPr>
              <w:rPr>
                <w:rFonts w:cs="Arial"/>
                <w:sz w:val="20"/>
                <w:szCs w:val="20"/>
              </w:rPr>
            </w:pPr>
            <w:r w:rsidRPr="00247E06">
              <w:rPr>
                <w:rFonts w:cs="Arial"/>
                <w:sz w:val="20"/>
                <w:szCs w:val="20"/>
              </w:rPr>
              <w:t>Complete disruption of breeding cycles over several seasons with significant population decline and possible extinction</w:t>
            </w:r>
          </w:p>
        </w:tc>
      </w:tr>
      <w:tr w:rsidR="00BC4854" w:rsidRPr="00E50E7A" w:rsidTr="00DC4BEC">
        <w:trPr>
          <w:cnfStyle w:val="000000100000"/>
        </w:trPr>
        <w:tc>
          <w:tcPr>
            <w:tcW w:w="0" w:type="auto"/>
          </w:tcPr>
          <w:p w:rsidR="00BC4854" w:rsidRPr="00247E06" w:rsidRDefault="00BC4854" w:rsidP="00C27865">
            <w:pPr>
              <w:rPr>
                <w:rFonts w:cs="Arial"/>
                <w:sz w:val="20"/>
                <w:szCs w:val="20"/>
              </w:rPr>
            </w:pPr>
            <w:r w:rsidRPr="00247E06">
              <w:rPr>
                <w:rFonts w:cs="Arial"/>
                <w:sz w:val="20"/>
                <w:szCs w:val="20"/>
              </w:rPr>
              <w:t>Impact of invasive species and/or disease</w:t>
            </w:r>
            <w:r w:rsidR="00C27865" w:rsidRPr="00247E06">
              <w:rPr>
                <w:rFonts w:cs="Arial"/>
                <w:sz w:val="20"/>
                <w:szCs w:val="20"/>
                <w:vertAlign w:val="superscript"/>
              </w:rPr>
              <w:t>7</w:t>
            </w:r>
          </w:p>
        </w:tc>
        <w:tc>
          <w:tcPr>
            <w:tcW w:w="0" w:type="auto"/>
          </w:tcPr>
          <w:p w:rsidR="00BC4854" w:rsidRPr="00247E06" w:rsidRDefault="00BC4854" w:rsidP="00BC4854">
            <w:pPr>
              <w:rPr>
                <w:rFonts w:cs="Arial"/>
                <w:sz w:val="20"/>
                <w:szCs w:val="20"/>
              </w:rPr>
            </w:pPr>
            <w:r w:rsidRPr="00247E06">
              <w:rPr>
                <w:rFonts w:cs="Arial"/>
                <w:sz w:val="20"/>
                <w:szCs w:val="20"/>
              </w:rPr>
              <w:t>Minimal impact on local population numbers or habitat quality</w:t>
            </w:r>
          </w:p>
        </w:tc>
        <w:tc>
          <w:tcPr>
            <w:tcW w:w="0" w:type="auto"/>
          </w:tcPr>
          <w:p w:rsidR="00BC4854" w:rsidRPr="00247E06" w:rsidRDefault="00BC4854" w:rsidP="00BC4854">
            <w:pPr>
              <w:rPr>
                <w:rFonts w:cs="Arial"/>
                <w:sz w:val="20"/>
                <w:szCs w:val="20"/>
              </w:rPr>
            </w:pPr>
            <w:r w:rsidRPr="00247E06">
              <w:rPr>
                <w:rFonts w:cs="Arial"/>
                <w:sz w:val="20"/>
                <w:szCs w:val="20"/>
              </w:rPr>
              <w:t>Minor impact on local population numbers or habitat quality. Population in other locations not impacted</w:t>
            </w:r>
          </w:p>
        </w:tc>
        <w:tc>
          <w:tcPr>
            <w:tcW w:w="0" w:type="auto"/>
          </w:tcPr>
          <w:p w:rsidR="00BC4854" w:rsidRPr="00247E06" w:rsidRDefault="00BC4854" w:rsidP="00BC4854">
            <w:pPr>
              <w:rPr>
                <w:rFonts w:cs="Arial"/>
                <w:sz w:val="20"/>
                <w:szCs w:val="20"/>
              </w:rPr>
            </w:pPr>
            <w:r w:rsidRPr="00247E06">
              <w:rPr>
                <w:rFonts w:cs="Arial"/>
                <w:sz w:val="20"/>
                <w:szCs w:val="20"/>
              </w:rPr>
              <w:t>Moderate impact on local population numbers or habitat quality. Some impacts on populations in other locations</w:t>
            </w:r>
          </w:p>
        </w:tc>
        <w:tc>
          <w:tcPr>
            <w:tcW w:w="0" w:type="auto"/>
          </w:tcPr>
          <w:p w:rsidR="00BC4854" w:rsidRPr="00247E06" w:rsidRDefault="00BC4854" w:rsidP="00BC4854">
            <w:pPr>
              <w:rPr>
                <w:rFonts w:cs="Arial"/>
                <w:sz w:val="20"/>
                <w:szCs w:val="20"/>
              </w:rPr>
            </w:pPr>
            <w:r w:rsidRPr="00247E06">
              <w:rPr>
                <w:rFonts w:cs="Arial"/>
                <w:sz w:val="20"/>
                <w:szCs w:val="20"/>
              </w:rPr>
              <w:t>Major population reduction or loss of local population or loss of habitat quality</w:t>
            </w:r>
          </w:p>
        </w:tc>
        <w:tc>
          <w:tcPr>
            <w:tcW w:w="2933" w:type="dxa"/>
          </w:tcPr>
          <w:p w:rsidR="00BC4854" w:rsidRPr="00247E06" w:rsidRDefault="00BC4854" w:rsidP="00BC4854">
            <w:pPr>
              <w:rPr>
                <w:rFonts w:cs="Arial"/>
                <w:sz w:val="20"/>
                <w:szCs w:val="20"/>
              </w:rPr>
            </w:pPr>
            <w:r w:rsidRPr="00247E06">
              <w:rPr>
                <w:rFonts w:cs="Arial"/>
                <w:sz w:val="20"/>
                <w:szCs w:val="20"/>
              </w:rPr>
              <w:t xml:space="preserve">Population reduction which may results in species extinction loss of critical habitat extent or quality </w:t>
            </w:r>
          </w:p>
        </w:tc>
      </w:tr>
      <w:tr w:rsidR="00BC4854" w:rsidRPr="00E50E7A" w:rsidTr="00DC4BEC">
        <w:trPr>
          <w:cnfStyle w:val="000000010000"/>
        </w:trPr>
        <w:tc>
          <w:tcPr>
            <w:tcW w:w="0" w:type="auto"/>
          </w:tcPr>
          <w:p w:rsidR="00BC4854" w:rsidRPr="00247E06" w:rsidRDefault="00BC4854" w:rsidP="00BC4854">
            <w:pPr>
              <w:rPr>
                <w:rFonts w:cs="Arial"/>
                <w:sz w:val="20"/>
                <w:szCs w:val="20"/>
              </w:rPr>
            </w:pPr>
            <w:r w:rsidRPr="00247E06">
              <w:rPr>
                <w:rFonts w:cs="Arial"/>
                <w:sz w:val="20"/>
                <w:szCs w:val="20"/>
              </w:rPr>
              <w:t>Interaction with species migration</w:t>
            </w:r>
          </w:p>
        </w:tc>
        <w:tc>
          <w:tcPr>
            <w:tcW w:w="0" w:type="auto"/>
          </w:tcPr>
          <w:p w:rsidR="00BC4854" w:rsidRPr="00247E06" w:rsidRDefault="00BC4854" w:rsidP="00BC4854">
            <w:pPr>
              <w:rPr>
                <w:rFonts w:cs="Arial"/>
                <w:sz w:val="20"/>
                <w:szCs w:val="20"/>
              </w:rPr>
            </w:pPr>
            <w:r w:rsidRPr="00247E06">
              <w:rPr>
                <w:rFonts w:cs="Arial"/>
                <w:sz w:val="20"/>
                <w:szCs w:val="20"/>
              </w:rPr>
              <w:t>Minimal impact on species migratory patterns</w:t>
            </w:r>
          </w:p>
        </w:tc>
        <w:tc>
          <w:tcPr>
            <w:tcW w:w="0" w:type="auto"/>
          </w:tcPr>
          <w:p w:rsidR="00BC4854" w:rsidRPr="00247E06" w:rsidRDefault="00BC4854" w:rsidP="00BC4854">
            <w:pPr>
              <w:rPr>
                <w:rFonts w:cs="Arial"/>
                <w:sz w:val="20"/>
                <w:szCs w:val="20"/>
              </w:rPr>
            </w:pPr>
            <w:r w:rsidRPr="00247E06">
              <w:rPr>
                <w:rFonts w:cs="Arial"/>
                <w:sz w:val="20"/>
                <w:szCs w:val="20"/>
              </w:rPr>
              <w:t>Results in minor behavioural modification on a local scale or impacts to physical conditions of animal interfering with migration for the short term only. Unlikely to negatively impact on the overall success of migration</w:t>
            </w:r>
          </w:p>
        </w:tc>
        <w:tc>
          <w:tcPr>
            <w:tcW w:w="0" w:type="auto"/>
          </w:tcPr>
          <w:p w:rsidR="00BC4854" w:rsidRPr="00247E06" w:rsidRDefault="00BC4854" w:rsidP="00BC4854">
            <w:pPr>
              <w:rPr>
                <w:rFonts w:cs="Arial"/>
                <w:sz w:val="20"/>
                <w:szCs w:val="20"/>
              </w:rPr>
            </w:pPr>
            <w:r w:rsidRPr="00247E06">
              <w:rPr>
                <w:rFonts w:cs="Arial"/>
                <w:sz w:val="20"/>
                <w:szCs w:val="20"/>
              </w:rPr>
              <w:t>Results in modification of behaviour or animal conditions such that there is potential for medium term impacts, with some possibility of individuals failing to complete migration</w:t>
            </w:r>
          </w:p>
        </w:tc>
        <w:tc>
          <w:tcPr>
            <w:tcW w:w="0" w:type="auto"/>
          </w:tcPr>
          <w:p w:rsidR="00BC4854" w:rsidRPr="00247E06" w:rsidRDefault="00BC4854" w:rsidP="00BC4854">
            <w:pPr>
              <w:rPr>
                <w:rFonts w:cs="Arial"/>
                <w:sz w:val="20"/>
                <w:szCs w:val="20"/>
              </w:rPr>
            </w:pPr>
            <w:r w:rsidRPr="00247E06">
              <w:rPr>
                <w:rFonts w:cs="Arial"/>
                <w:sz w:val="20"/>
                <w:szCs w:val="20"/>
              </w:rPr>
              <w:t>Results in modification of behaviour or animal condition such that there is potential for medium to long term impacts, both locally and in nearby locations, with some individuals failing to complete migration</w:t>
            </w:r>
          </w:p>
        </w:tc>
        <w:tc>
          <w:tcPr>
            <w:tcW w:w="2933" w:type="dxa"/>
          </w:tcPr>
          <w:p w:rsidR="00BC4854" w:rsidRPr="00247E06" w:rsidRDefault="00BC4854" w:rsidP="00BC4854">
            <w:pPr>
              <w:rPr>
                <w:rFonts w:cs="Arial"/>
                <w:sz w:val="20"/>
                <w:szCs w:val="20"/>
              </w:rPr>
            </w:pPr>
            <w:r w:rsidRPr="00247E06">
              <w:rPr>
                <w:rFonts w:cs="Arial"/>
                <w:sz w:val="20"/>
                <w:szCs w:val="20"/>
              </w:rPr>
              <w:t>Significant impact resulting in either complete failure, or failure of majority of individuals, to complete migration in that cycle</w:t>
            </w:r>
          </w:p>
        </w:tc>
      </w:tr>
    </w:tbl>
    <w:p w:rsidR="00BC4854" w:rsidRPr="004B066C" w:rsidRDefault="00C27865" w:rsidP="00BC4854">
      <w:pPr>
        <w:rPr>
          <w:rFonts w:cs="Arial"/>
          <w:sz w:val="18"/>
          <w:szCs w:val="18"/>
        </w:rPr>
      </w:pPr>
      <w:r w:rsidRPr="004B066C">
        <w:rPr>
          <w:rFonts w:cs="Arial"/>
          <w:sz w:val="18"/>
          <w:szCs w:val="18"/>
          <w:vertAlign w:val="superscript"/>
        </w:rPr>
        <w:t>3</w:t>
      </w:r>
      <w:r w:rsidR="00BC4854" w:rsidRPr="004B066C">
        <w:rPr>
          <w:rFonts w:cs="Arial"/>
          <w:sz w:val="18"/>
          <w:szCs w:val="18"/>
          <w:vertAlign w:val="superscript"/>
        </w:rPr>
        <w:t xml:space="preserve"> </w:t>
      </w:r>
      <w:r w:rsidR="00BC4854" w:rsidRPr="004B066C">
        <w:rPr>
          <w:rFonts w:cs="Arial"/>
          <w:sz w:val="18"/>
          <w:szCs w:val="18"/>
        </w:rPr>
        <w:t>Refers to the proportional changes to the numbers of individuals; change in the size of the population</w:t>
      </w:r>
    </w:p>
    <w:p w:rsidR="00BC4854" w:rsidRPr="004B066C" w:rsidRDefault="00C27865" w:rsidP="00BC4854">
      <w:pPr>
        <w:rPr>
          <w:rFonts w:cs="Arial"/>
          <w:sz w:val="18"/>
          <w:szCs w:val="18"/>
        </w:rPr>
      </w:pPr>
      <w:r w:rsidRPr="004B066C">
        <w:rPr>
          <w:rFonts w:cs="Arial"/>
          <w:sz w:val="18"/>
          <w:szCs w:val="18"/>
          <w:vertAlign w:val="superscript"/>
        </w:rPr>
        <w:t>4</w:t>
      </w:r>
      <w:r w:rsidR="00BC4854" w:rsidRPr="004B066C">
        <w:rPr>
          <w:rFonts w:cs="Arial"/>
          <w:sz w:val="18"/>
          <w:szCs w:val="18"/>
        </w:rPr>
        <w:t xml:space="preserve"> Refers to the physical destruction of the species habitat and/or chemical or physical barriers</w:t>
      </w:r>
    </w:p>
    <w:p w:rsidR="00BC4854" w:rsidRPr="004B066C" w:rsidRDefault="00C27865" w:rsidP="00BC4854">
      <w:pPr>
        <w:rPr>
          <w:rFonts w:cs="Arial"/>
          <w:sz w:val="18"/>
          <w:szCs w:val="18"/>
        </w:rPr>
      </w:pPr>
      <w:r w:rsidRPr="004B066C">
        <w:rPr>
          <w:rFonts w:cs="Arial"/>
          <w:sz w:val="18"/>
          <w:szCs w:val="18"/>
          <w:vertAlign w:val="superscript"/>
        </w:rPr>
        <w:t>5</w:t>
      </w:r>
      <w:r w:rsidR="00BC4854" w:rsidRPr="004B066C">
        <w:rPr>
          <w:rFonts w:cs="Arial"/>
          <w:sz w:val="18"/>
          <w:szCs w:val="18"/>
        </w:rPr>
        <w:t xml:space="preserve">Refers to species habitat resource includes modify, destroy, isolate or decrease the availability or quality of habitat </w:t>
      </w:r>
    </w:p>
    <w:p w:rsidR="00BC4854" w:rsidRPr="004B066C" w:rsidRDefault="00C27865" w:rsidP="00BC4854">
      <w:pPr>
        <w:rPr>
          <w:rFonts w:cs="Arial"/>
          <w:sz w:val="18"/>
          <w:szCs w:val="18"/>
        </w:rPr>
      </w:pPr>
      <w:r w:rsidRPr="004B066C">
        <w:rPr>
          <w:rFonts w:cs="Arial"/>
          <w:sz w:val="18"/>
          <w:szCs w:val="18"/>
          <w:vertAlign w:val="superscript"/>
        </w:rPr>
        <w:t>6</w:t>
      </w:r>
      <w:r w:rsidR="00BC4854" w:rsidRPr="004B066C">
        <w:rPr>
          <w:rFonts w:cs="Arial"/>
          <w:sz w:val="18"/>
          <w:szCs w:val="18"/>
        </w:rPr>
        <w:t xml:space="preserve">Breeding cycle including activities associated with breeding (mating, gestation, </w:t>
      </w:r>
      <w:proofErr w:type="gramStart"/>
      <w:r w:rsidR="00BC4854" w:rsidRPr="004B066C">
        <w:rPr>
          <w:rFonts w:cs="Arial"/>
          <w:sz w:val="18"/>
          <w:szCs w:val="18"/>
        </w:rPr>
        <w:t>nesting</w:t>
      </w:r>
      <w:proofErr w:type="gramEnd"/>
      <w:r w:rsidR="00BC4854" w:rsidRPr="004B066C">
        <w:rPr>
          <w:rFonts w:cs="Arial"/>
          <w:sz w:val="18"/>
          <w:szCs w:val="18"/>
        </w:rPr>
        <w:t>). Assessment assumes that the species is present in the affected area during the breeding cycle</w:t>
      </w:r>
    </w:p>
    <w:p w:rsidR="00BC4854" w:rsidRPr="004B066C" w:rsidRDefault="00C27865" w:rsidP="00BC4854">
      <w:pPr>
        <w:rPr>
          <w:rFonts w:cs="Arial"/>
          <w:sz w:val="18"/>
          <w:szCs w:val="18"/>
        </w:rPr>
      </w:pPr>
      <w:r w:rsidRPr="004B066C">
        <w:rPr>
          <w:rFonts w:cs="Arial"/>
          <w:sz w:val="18"/>
          <w:szCs w:val="18"/>
          <w:vertAlign w:val="superscript"/>
        </w:rPr>
        <w:t>7</w:t>
      </w:r>
      <w:r w:rsidR="00BC4854" w:rsidRPr="004B066C">
        <w:rPr>
          <w:rFonts w:cs="Arial"/>
          <w:sz w:val="18"/>
          <w:szCs w:val="18"/>
        </w:rPr>
        <w:t>Refers to the invasive species that is harmful to the species becoming established in the species habitat and introduced disease that may cause the species to decline</w:t>
      </w:r>
    </w:p>
    <w:p w:rsidR="00247E06" w:rsidRDefault="00247E06" w:rsidP="0071294A">
      <w:pPr>
        <w:spacing w:after="0" w:line="240" w:lineRule="auto"/>
        <w:rPr>
          <w:rFonts w:cs="Arial"/>
        </w:rPr>
        <w:sectPr w:rsidR="00247E06" w:rsidSect="00DC4BEC">
          <w:pgSz w:w="16838" w:h="11906" w:orient="landscape"/>
          <w:pgMar w:top="1418" w:right="1418" w:bottom="1135" w:left="567" w:header="425" w:footer="425" w:gutter="0"/>
          <w:pgNumType w:start="1"/>
          <w:cols w:space="708"/>
          <w:titlePg/>
          <w:docGrid w:linePitch="360"/>
        </w:sectPr>
      </w:pPr>
    </w:p>
    <w:p w:rsidR="0071294A" w:rsidRPr="00B711C2" w:rsidRDefault="0071294A" w:rsidP="0071294A">
      <w:pPr>
        <w:spacing w:after="0" w:line="240" w:lineRule="auto"/>
        <w:rPr>
          <w:rFonts w:cs="Arial"/>
        </w:rPr>
      </w:pPr>
    </w:p>
    <w:p w:rsidR="00BC4854" w:rsidRPr="00B711C2" w:rsidRDefault="00C27865" w:rsidP="00BC4854">
      <w:pPr>
        <w:rPr>
          <w:rFonts w:cs="Arial"/>
          <w:u w:val="single"/>
        </w:rPr>
      </w:pPr>
      <w:r w:rsidRPr="00B711C2">
        <w:rPr>
          <w:rFonts w:cs="Arial"/>
          <w:u w:val="single"/>
        </w:rPr>
        <w:t>Level of threat</w:t>
      </w:r>
      <w:r w:rsidR="00713F5A">
        <w:rPr>
          <w:rFonts w:cs="Arial"/>
          <w:u w:val="single"/>
        </w:rPr>
        <w:t xml:space="preserve"> (column 6C)</w:t>
      </w:r>
    </w:p>
    <w:p w:rsidR="00667287" w:rsidRDefault="00AF2ADA" w:rsidP="00BC4854">
      <w:pPr>
        <w:rPr>
          <w:rFonts w:cs="Arial"/>
        </w:rPr>
      </w:pPr>
      <w:r>
        <w:rPr>
          <w:rFonts w:cs="Arial"/>
        </w:rPr>
        <w:t xml:space="preserve">The </w:t>
      </w:r>
      <w:r w:rsidR="002C0C4C">
        <w:rPr>
          <w:rFonts w:cs="Arial"/>
        </w:rPr>
        <w:t>l</w:t>
      </w:r>
      <w:r>
        <w:rPr>
          <w:rFonts w:cs="Arial"/>
        </w:rPr>
        <w:t xml:space="preserve">ikelihood and </w:t>
      </w:r>
      <w:r w:rsidR="002C0C4C">
        <w:rPr>
          <w:rFonts w:cs="Arial"/>
        </w:rPr>
        <w:t>c</w:t>
      </w:r>
      <w:r>
        <w:rPr>
          <w:rFonts w:cs="Arial"/>
        </w:rPr>
        <w:t xml:space="preserve">onsequence </w:t>
      </w:r>
      <w:r w:rsidR="002C0C4C">
        <w:rPr>
          <w:rFonts w:cs="Arial"/>
        </w:rPr>
        <w:t>c</w:t>
      </w:r>
      <w:r>
        <w:rPr>
          <w:rFonts w:cs="Arial"/>
        </w:rPr>
        <w:t>riteria are combined in a matrix t</w:t>
      </w:r>
      <w:r w:rsidR="002C0C4C">
        <w:rPr>
          <w:rFonts w:cs="Arial"/>
        </w:rPr>
        <w:t>o identify the level of threat.</w:t>
      </w:r>
      <w:r>
        <w:rPr>
          <w:rFonts w:cs="Arial"/>
        </w:rPr>
        <w:t xml:space="preserve"> </w:t>
      </w:r>
      <w:r w:rsidR="00667287">
        <w:rPr>
          <w:rFonts w:cs="Arial"/>
        </w:rPr>
        <w:t>The format of this matrix is based on th</w:t>
      </w:r>
      <w:r w:rsidR="00EB001B">
        <w:rPr>
          <w:rFonts w:cs="Arial"/>
        </w:rPr>
        <w:t>e Department’s risk framework.</w:t>
      </w:r>
    </w:p>
    <w:p w:rsidR="00BC4854" w:rsidRPr="00B711C2" w:rsidRDefault="00BC4854" w:rsidP="00BC4854">
      <w:pPr>
        <w:rPr>
          <w:rFonts w:cs="Arial"/>
        </w:rPr>
      </w:pPr>
      <w:r w:rsidRPr="00B711C2">
        <w:rPr>
          <w:rFonts w:cs="Arial"/>
        </w:rPr>
        <w:t xml:space="preserve">The matrix is a qualitative measure of the likelihood that the current threats and/or activities will lead to detrimental effects </w:t>
      </w:r>
      <w:r w:rsidR="001B6E32" w:rsidRPr="00B711C2">
        <w:rPr>
          <w:rFonts w:cs="Arial"/>
        </w:rPr>
        <w:t xml:space="preserve">(consequence) </w:t>
      </w:r>
      <w:r w:rsidRPr="00B711C2">
        <w:rPr>
          <w:rFonts w:cs="Arial"/>
        </w:rPr>
        <w:t xml:space="preserve">on major ecological processes, biodiversity loss, </w:t>
      </w:r>
      <w:proofErr w:type="gramStart"/>
      <w:r w:rsidRPr="00B711C2">
        <w:rPr>
          <w:rFonts w:cs="Arial"/>
        </w:rPr>
        <w:t>long</w:t>
      </w:r>
      <w:proofErr w:type="gramEnd"/>
      <w:r w:rsidRPr="00B711C2">
        <w:rPr>
          <w:rFonts w:cs="Arial"/>
        </w:rPr>
        <w:t xml:space="preserve"> term degradation of habitats, ecologically unsustainable impacts on species, population of a spe</w:t>
      </w:r>
      <w:r w:rsidR="00EB001B">
        <w:rPr>
          <w:rFonts w:cs="Arial"/>
        </w:rPr>
        <w:t>cies or assemblages of species.</w:t>
      </w:r>
    </w:p>
    <w:p w:rsidR="00BC4854" w:rsidRDefault="00AF2ADA" w:rsidP="00BC4854">
      <w:pPr>
        <w:rPr>
          <w:rFonts w:cs="Arial"/>
        </w:rPr>
      </w:pPr>
      <w:r>
        <w:rPr>
          <w:rFonts w:cs="Arial"/>
        </w:rPr>
        <w:t xml:space="preserve">Threat </w:t>
      </w:r>
      <w:r w:rsidR="002C0C4C">
        <w:rPr>
          <w:rFonts w:cs="Arial"/>
        </w:rPr>
        <w:t>l</w:t>
      </w:r>
      <w:r w:rsidR="00BC4854" w:rsidRPr="00B711C2">
        <w:rPr>
          <w:rFonts w:cs="Arial"/>
        </w:rPr>
        <w:t xml:space="preserve">evel of high or </w:t>
      </w:r>
      <w:r w:rsidR="00BA5CBE">
        <w:rPr>
          <w:rFonts w:cs="Arial"/>
        </w:rPr>
        <w:t>severe</w:t>
      </w:r>
      <w:r w:rsidR="00BA5CBE" w:rsidRPr="00B711C2">
        <w:rPr>
          <w:rFonts w:cs="Arial"/>
        </w:rPr>
        <w:t xml:space="preserve"> </w:t>
      </w:r>
      <w:r w:rsidR="00BC4854" w:rsidRPr="00B711C2">
        <w:rPr>
          <w:rFonts w:cs="Arial"/>
        </w:rPr>
        <w:t xml:space="preserve">is </w:t>
      </w:r>
      <w:r w:rsidR="00BA5CBE">
        <w:rPr>
          <w:rFonts w:cs="Arial"/>
        </w:rPr>
        <w:t xml:space="preserve">considered </w:t>
      </w:r>
      <w:r w:rsidR="00BC4854" w:rsidRPr="00B711C2">
        <w:rPr>
          <w:rFonts w:cs="Arial"/>
        </w:rPr>
        <w:t xml:space="preserve">to have the potential for unacceptable impact </w:t>
      </w:r>
      <w:r w:rsidR="00EB001B">
        <w:rPr>
          <w:rFonts w:cs="Arial"/>
        </w:rPr>
        <w:t>(serious or irreversible harm).</w:t>
      </w:r>
    </w:p>
    <w:p w:rsidR="009203B4" w:rsidRPr="009203B4" w:rsidRDefault="009203B4" w:rsidP="00BC4854">
      <w:pPr>
        <w:rPr>
          <w:rFonts w:cs="Arial"/>
          <w:b/>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9203B4">
        <w:rPr>
          <w:rFonts w:cs="Arial"/>
          <w:b/>
          <w:u w:val="single"/>
        </w:rPr>
        <w:t>Consequence</w:t>
      </w:r>
    </w:p>
    <w:tbl>
      <w:tblPr>
        <w:tblW w:w="8852" w:type="dxa"/>
        <w:tblInd w:w="108" w:type="dxa"/>
        <w:tblLook w:val="04A0"/>
      </w:tblPr>
      <w:tblGrid>
        <w:gridCol w:w="1576"/>
        <w:gridCol w:w="1496"/>
        <w:gridCol w:w="1512"/>
        <w:gridCol w:w="1236"/>
        <w:gridCol w:w="1376"/>
        <w:gridCol w:w="999"/>
        <w:gridCol w:w="962"/>
      </w:tblGrid>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C50258" w:rsidRDefault="00C50258">
            <w:pPr>
              <w:rPr>
                <w:rFonts w:cs="Arial"/>
              </w:rPr>
            </w:pP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auto" w:fill="auto"/>
            <w:noWrap/>
            <w:vAlign w:val="bottom"/>
            <w:hideMark/>
          </w:tcPr>
          <w:p w:rsidR="00C50258" w:rsidRPr="00C50258" w:rsidRDefault="00C50258">
            <w:pPr>
              <w:jc w:val="center"/>
              <w:rPr>
                <w:rFonts w:cs="Arial"/>
                <w:b/>
                <w:bCs/>
              </w:rPr>
            </w:pPr>
            <w:r w:rsidRPr="00C50258">
              <w:rPr>
                <w:rFonts w:cs="Arial"/>
                <w:b/>
                <w:bCs/>
              </w:rPr>
              <w:t>Insignificant</w:t>
            </w:r>
          </w:p>
        </w:tc>
        <w:tc>
          <w:tcPr>
            <w:tcW w:w="1236" w:type="dxa"/>
            <w:tcBorders>
              <w:top w:val="nil"/>
              <w:left w:val="nil"/>
              <w:bottom w:val="nil"/>
              <w:right w:val="nil"/>
            </w:tcBorders>
            <w:shd w:val="clear" w:color="auto" w:fill="auto"/>
            <w:noWrap/>
            <w:vAlign w:val="bottom"/>
            <w:hideMark/>
          </w:tcPr>
          <w:p w:rsidR="00C50258" w:rsidRPr="00C50258" w:rsidRDefault="00C50258">
            <w:pPr>
              <w:jc w:val="center"/>
              <w:rPr>
                <w:rFonts w:cs="Arial"/>
                <w:b/>
                <w:bCs/>
              </w:rPr>
            </w:pPr>
            <w:r w:rsidRPr="00C50258">
              <w:rPr>
                <w:rFonts w:cs="Arial"/>
                <w:b/>
                <w:bCs/>
              </w:rPr>
              <w:t>Minor</w:t>
            </w:r>
          </w:p>
        </w:tc>
        <w:tc>
          <w:tcPr>
            <w:tcW w:w="1376" w:type="dxa"/>
            <w:tcBorders>
              <w:top w:val="nil"/>
              <w:left w:val="nil"/>
              <w:bottom w:val="nil"/>
              <w:right w:val="nil"/>
            </w:tcBorders>
            <w:shd w:val="clear" w:color="auto" w:fill="auto"/>
            <w:noWrap/>
            <w:vAlign w:val="bottom"/>
            <w:hideMark/>
          </w:tcPr>
          <w:p w:rsidR="00C50258" w:rsidRPr="00C50258" w:rsidRDefault="00C50258">
            <w:pPr>
              <w:jc w:val="center"/>
              <w:rPr>
                <w:rFonts w:cs="Arial"/>
                <w:b/>
                <w:bCs/>
              </w:rPr>
            </w:pPr>
            <w:r w:rsidRPr="00C50258">
              <w:rPr>
                <w:rFonts w:cs="Arial"/>
                <w:b/>
                <w:bCs/>
              </w:rPr>
              <w:t>Moderate</w:t>
            </w:r>
          </w:p>
        </w:tc>
        <w:tc>
          <w:tcPr>
            <w:tcW w:w="956" w:type="dxa"/>
            <w:tcBorders>
              <w:top w:val="nil"/>
              <w:left w:val="nil"/>
              <w:bottom w:val="nil"/>
              <w:right w:val="nil"/>
            </w:tcBorders>
            <w:shd w:val="clear" w:color="auto" w:fill="auto"/>
            <w:noWrap/>
            <w:vAlign w:val="bottom"/>
            <w:hideMark/>
          </w:tcPr>
          <w:p w:rsidR="00C50258" w:rsidRPr="00C50258" w:rsidRDefault="00C50258">
            <w:pPr>
              <w:jc w:val="center"/>
              <w:rPr>
                <w:rFonts w:cs="Arial"/>
                <w:b/>
                <w:bCs/>
              </w:rPr>
            </w:pPr>
            <w:r w:rsidRPr="00C50258">
              <w:rPr>
                <w:rFonts w:cs="Arial"/>
                <w:b/>
                <w:bCs/>
              </w:rPr>
              <w:t>Major</w:t>
            </w:r>
          </w:p>
        </w:tc>
        <w:tc>
          <w:tcPr>
            <w:tcW w:w="956" w:type="dxa"/>
            <w:tcBorders>
              <w:top w:val="nil"/>
              <w:left w:val="nil"/>
              <w:bottom w:val="nil"/>
              <w:right w:val="nil"/>
            </w:tcBorders>
            <w:shd w:val="clear" w:color="auto" w:fill="auto"/>
            <w:noWrap/>
            <w:vAlign w:val="bottom"/>
            <w:hideMark/>
          </w:tcPr>
          <w:p w:rsidR="00C50258" w:rsidRPr="00C50258" w:rsidRDefault="00C50258">
            <w:pPr>
              <w:jc w:val="center"/>
              <w:rPr>
                <w:rFonts w:cs="Arial"/>
                <w:b/>
                <w:bCs/>
              </w:rPr>
            </w:pPr>
            <w:r w:rsidRPr="00C50258">
              <w:rPr>
                <w:rFonts w:cs="Arial"/>
                <w:b/>
                <w:bCs/>
              </w:rPr>
              <w:t>Critical</w:t>
            </w:r>
          </w:p>
        </w:tc>
      </w:tr>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9203B4" w:rsidRDefault="009203B4">
            <w:pPr>
              <w:rPr>
                <w:rFonts w:cs="Arial"/>
                <w:b/>
                <w:u w:val="single"/>
              </w:rPr>
            </w:pPr>
            <w:r w:rsidRPr="009203B4">
              <w:rPr>
                <w:rFonts w:cs="Arial"/>
                <w:b/>
                <w:u w:val="single"/>
              </w:rPr>
              <w:t>Likelihood</w:t>
            </w: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3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37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95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95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r>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C50258" w:rsidRDefault="00C50258">
            <w:pPr>
              <w:rPr>
                <w:rFonts w:cs="Arial"/>
                <w:b/>
                <w:bCs/>
              </w:rPr>
            </w:pPr>
            <w:r w:rsidRPr="00C50258">
              <w:rPr>
                <w:rFonts w:cs="Arial"/>
                <w:b/>
                <w:bCs/>
              </w:rPr>
              <w:t>Almost Certain</w:t>
            </w: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236" w:type="dxa"/>
            <w:tcBorders>
              <w:top w:val="nil"/>
              <w:left w:val="nil"/>
              <w:bottom w:val="nil"/>
              <w:right w:val="nil"/>
            </w:tcBorders>
            <w:shd w:val="clear" w:color="000000" w:fill="FFCC00"/>
            <w:noWrap/>
            <w:vAlign w:val="bottom"/>
            <w:hideMark/>
          </w:tcPr>
          <w:p w:rsidR="00C50258" w:rsidRPr="00C50258" w:rsidRDefault="00810193">
            <w:pPr>
              <w:jc w:val="center"/>
              <w:rPr>
                <w:rFonts w:cs="Arial"/>
              </w:rPr>
            </w:pPr>
            <w:r>
              <w:rPr>
                <w:rFonts w:cs="Arial"/>
              </w:rPr>
              <w:t>Medium</w:t>
            </w:r>
          </w:p>
        </w:tc>
        <w:tc>
          <w:tcPr>
            <w:tcW w:w="1376" w:type="dxa"/>
            <w:tcBorders>
              <w:top w:val="nil"/>
              <w:left w:val="nil"/>
              <w:bottom w:val="nil"/>
              <w:right w:val="nil"/>
            </w:tcBorders>
            <w:shd w:val="clear" w:color="000000" w:fill="FF9900"/>
            <w:noWrap/>
            <w:vAlign w:val="bottom"/>
            <w:hideMark/>
          </w:tcPr>
          <w:p w:rsidR="00C50258" w:rsidRPr="00C50258" w:rsidRDefault="00810193">
            <w:pPr>
              <w:jc w:val="center"/>
              <w:rPr>
                <w:rFonts w:cs="Arial"/>
              </w:rPr>
            </w:pPr>
            <w:r>
              <w:rPr>
                <w:rFonts w:cs="Arial"/>
              </w:rPr>
              <w:t>High</w:t>
            </w:r>
          </w:p>
        </w:tc>
        <w:tc>
          <w:tcPr>
            <w:tcW w:w="956" w:type="dxa"/>
            <w:tcBorders>
              <w:top w:val="nil"/>
              <w:left w:val="nil"/>
              <w:bottom w:val="nil"/>
              <w:right w:val="nil"/>
            </w:tcBorders>
            <w:shd w:val="clear" w:color="000000" w:fill="FF0000"/>
            <w:noWrap/>
            <w:vAlign w:val="bottom"/>
            <w:hideMark/>
          </w:tcPr>
          <w:p w:rsidR="00C50258" w:rsidRPr="00C50258" w:rsidRDefault="00810193">
            <w:pPr>
              <w:jc w:val="center"/>
              <w:rPr>
                <w:rFonts w:cs="Arial"/>
              </w:rPr>
            </w:pPr>
            <w:r>
              <w:rPr>
                <w:rFonts w:cs="Arial"/>
              </w:rPr>
              <w:t>Severe</w:t>
            </w:r>
          </w:p>
        </w:tc>
        <w:tc>
          <w:tcPr>
            <w:tcW w:w="956" w:type="dxa"/>
            <w:tcBorders>
              <w:top w:val="nil"/>
              <w:left w:val="nil"/>
              <w:bottom w:val="nil"/>
              <w:right w:val="nil"/>
            </w:tcBorders>
            <w:shd w:val="clear" w:color="000000" w:fill="FF0000"/>
            <w:noWrap/>
            <w:vAlign w:val="bottom"/>
            <w:hideMark/>
          </w:tcPr>
          <w:p w:rsidR="00C50258" w:rsidRPr="00C50258" w:rsidRDefault="00810193">
            <w:pPr>
              <w:jc w:val="center"/>
              <w:rPr>
                <w:rFonts w:cs="Arial"/>
              </w:rPr>
            </w:pPr>
            <w:r>
              <w:rPr>
                <w:rFonts w:cs="Arial"/>
              </w:rPr>
              <w:t>Severe</w:t>
            </w:r>
          </w:p>
        </w:tc>
      </w:tr>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C50258" w:rsidRDefault="00C50258">
            <w:pPr>
              <w:rPr>
                <w:rFonts w:cs="Arial"/>
                <w:b/>
                <w:bCs/>
              </w:rPr>
            </w:pPr>
            <w:r w:rsidRPr="00C50258">
              <w:rPr>
                <w:rFonts w:cs="Arial"/>
                <w:b/>
                <w:bCs/>
              </w:rPr>
              <w:t>Likely</w:t>
            </w: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236" w:type="dxa"/>
            <w:tcBorders>
              <w:top w:val="nil"/>
              <w:left w:val="nil"/>
              <w:bottom w:val="nil"/>
              <w:right w:val="nil"/>
            </w:tcBorders>
            <w:shd w:val="clear" w:color="000000" w:fill="FFCC00"/>
            <w:noWrap/>
            <w:vAlign w:val="bottom"/>
            <w:hideMark/>
          </w:tcPr>
          <w:p w:rsidR="00C50258" w:rsidRPr="00C50258" w:rsidRDefault="00810193">
            <w:pPr>
              <w:jc w:val="center"/>
              <w:rPr>
                <w:rFonts w:cs="Arial"/>
              </w:rPr>
            </w:pPr>
            <w:r>
              <w:rPr>
                <w:rFonts w:cs="Arial"/>
              </w:rPr>
              <w:t>Medium</w:t>
            </w:r>
          </w:p>
        </w:tc>
        <w:tc>
          <w:tcPr>
            <w:tcW w:w="1376" w:type="dxa"/>
            <w:tcBorders>
              <w:top w:val="nil"/>
              <w:left w:val="nil"/>
              <w:bottom w:val="nil"/>
              <w:right w:val="nil"/>
            </w:tcBorders>
            <w:shd w:val="clear" w:color="000000" w:fill="FFCC00"/>
            <w:noWrap/>
            <w:vAlign w:val="bottom"/>
            <w:hideMark/>
          </w:tcPr>
          <w:p w:rsidR="00C50258" w:rsidRPr="00C50258" w:rsidRDefault="00810193">
            <w:pPr>
              <w:jc w:val="center"/>
              <w:rPr>
                <w:rFonts w:cs="Arial"/>
              </w:rPr>
            </w:pPr>
            <w:r>
              <w:rPr>
                <w:rFonts w:cs="Arial"/>
              </w:rPr>
              <w:t>Medium</w:t>
            </w:r>
          </w:p>
        </w:tc>
        <w:tc>
          <w:tcPr>
            <w:tcW w:w="956" w:type="dxa"/>
            <w:tcBorders>
              <w:top w:val="nil"/>
              <w:left w:val="nil"/>
              <w:bottom w:val="nil"/>
              <w:right w:val="nil"/>
            </w:tcBorders>
            <w:shd w:val="clear" w:color="000000" w:fill="FF9900"/>
            <w:noWrap/>
            <w:vAlign w:val="bottom"/>
            <w:hideMark/>
          </w:tcPr>
          <w:p w:rsidR="00C50258" w:rsidRPr="00C50258" w:rsidRDefault="00810193">
            <w:pPr>
              <w:jc w:val="center"/>
              <w:rPr>
                <w:rFonts w:cs="Arial"/>
              </w:rPr>
            </w:pPr>
            <w:r>
              <w:rPr>
                <w:rFonts w:cs="Arial"/>
              </w:rPr>
              <w:t>High</w:t>
            </w:r>
          </w:p>
        </w:tc>
        <w:tc>
          <w:tcPr>
            <w:tcW w:w="956" w:type="dxa"/>
            <w:tcBorders>
              <w:top w:val="nil"/>
              <w:left w:val="nil"/>
              <w:bottom w:val="nil"/>
              <w:right w:val="nil"/>
            </w:tcBorders>
            <w:shd w:val="clear" w:color="000000" w:fill="FF0000"/>
            <w:noWrap/>
            <w:vAlign w:val="bottom"/>
            <w:hideMark/>
          </w:tcPr>
          <w:p w:rsidR="00C50258" w:rsidRPr="00C50258" w:rsidRDefault="00810193">
            <w:pPr>
              <w:jc w:val="center"/>
              <w:rPr>
                <w:rFonts w:cs="Arial"/>
              </w:rPr>
            </w:pPr>
            <w:r>
              <w:rPr>
                <w:rFonts w:cs="Arial"/>
              </w:rPr>
              <w:t>Severe</w:t>
            </w:r>
          </w:p>
        </w:tc>
      </w:tr>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C50258" w:rsidRDefault="00C50258">
            <w:pPr>
              <w:rPr>
                <w:rFonts w:cs="Arial"/>
                <w:b/>
                <w:bCs/>
              </w:rPr>
            </w:pPr>
            <w:r w:rsidRPr="00C50258">
              <w:rPr>
                <w:rFonts w:cs="Arial"/>
                <w:b/>
                <w:bCs/>
              </w:rPr>
              <w:t>Possible</w:t>
            </w: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23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376" w:type="dxa"/>
            <w:tcBorders>
              <w:top w:val="nil"/>
              <w:left w:val="nil"/>
              <w:bottom w:val="nil"/>
              <w:right w:val="nil"/>
            </w:tcBorders>
            <w:shd w:val="clear" w:color="000000" w:fill="FFCC00"/>
            <w:noWrap/>
            <w:vAlign w:val="bottom"/>
            <w:hideMark/>
          </w:tcPr>
          <w:p w:rsidR="00C50258" w:rsidRPr="00C50258" w:rsidRDefault="00810193">
            <w:pPr>
              <w:jc w:val="center"/>
              <w:rPr>
                <w:rFonts w:cs="Arial"/>
              </w:rPr>
            </w:pPr>
            <w:r>
              <w:rPr>
                <w:rFonts w:cs="Arial"/>
              </w:rPr>
              <w:t>Medium</w:t>
            </w:r>
          </w:p>
        </w:tc>
        <w:tc>
          <w:tcPr>
            <w:tcW w:w="956" w:type="dxa"/>
            <w:tcBorders>
              <w:top w:val="nil"/>
              <w:left w:val="nil"/>
              <w:bottom w:val="nil"/>
              <w:right w:val="nil"/>
            </w:tcBorders>
            <w:shd w:val="clear" w:color="000000" w:fill="FF9900"/>
            <w:noWrap/>
            <w:vAlign w:val="bottom"/>
            <w:hideMark/>
          </w:tcPr>
          <w:p w:rsidR="00C50258" w:rsidRPr="00C50258" w:rsidRDefault="00810193">
            <w:pPr>
              <w:jc w:val="center"/>
              <w:rPr>
                <w:rFonts w:cs="Arial"/>
              </w:rPr>
            </w:pPr>
            <w:r>
              <w:rPr>
                <w:rFonts w:cs="Arial"/>
              </w:rPr>
              <w:t>High</w:t>
            </w:r>
          </w:p>
        </w:tc>
        <w:tc>
          <w:tcPr>
            <w:tcW w:w="956" w:type="dxa"/>
            <w:tcBorders>
              <w:top w:val="nil"/>
              <w:left w:val="nil"/>
              <w:bottom w:val="nil"/>
              <w:right w:val="nil"/>
            </w:tcBorders>
            <w:shd w:val="clear" w:color="000000" w:fill="FF0000"/>
            <w:noWrap/>
            <w:vAlign w:val="bottom"/>
            <w:hideMark/>
          </w:tcPr>
          <w:p w:rsidR="00C50258" w:rsidRPr="00C50258" w:rsidRDefault="00810193">
            <w:pPr>
              <w:jc w:val="center"/>
              <w:rPr>
                <w:rFonts w:cs="Arial"/>
              </w:rPr>
            </w:pPr>
            <w:r>
              <w:rPr>
                <w:rFonts w:cs="Arial"/>
              </w:rPr>
              <w:t>Severe</w:t>
            </w:r>
          </w:p>
        </w:tc>
      </w:tr>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C50258" w:rsidRDefault="00C50258">
            <w:pPr>
              <w:rPr>
                <w:rFonts w:cs="Arial"/>
                <w:b/>
                <w:bCs/>
              </w:rPr>
            </w:pPr>
            <w:r w:rsidRPr="00C50258">
              <w:rPr>
                <w:rFonts w:cs="Arial"/>
                <w:b/>
                <w:bCs/>
              </w:rPr>
              <w:t>Unlikely</w:t>
            </w: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23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37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956" w:type="dxa"/>
            <w:tcBorders>
              <w:top w:val="nil"/>
              <w:left w:val="nil"/>
              <w:bottom w:val="nil"/>
              <w:right w:val="nil"/>
            </w:tcBorders>
            <w:shd w:val="clear" w:color="000000" w:fill="FFCC00"/>
            <w:noWrap/>
            <w:vAlign w:val="bottom"/>
            <w:hideMark/>
          </w:tcPr>
          <w:p w:rsidR="00C50258" w:rsidRPr="00C50258" w:rsidRDefault="00810193">
            <w:pPr>
              <w:jc w:val="center"/>
              <w:rPr>
                <w:rFonts w:cs="Arial"/>
              </w:rPr>
            </w:pPr>
            <w:r>
              <w:rPr>
                <w:rFonts w:cs="Arial"/>
              </w:rPr>
              <w:t>Medium</w:t>
            </w:r>
          </w:p>
        </w:tc>
        <w:tc>
          <w:tcPr>
            <w:tcW w:w="956" w:type="dxa"/>
            <w:tcBorders>
              <w:top w:val="nil"/>
              <w:left w:val="nil"/>
              <w:bottom w:val="nil"/>
              <w:right w:val="nil"/>
            </w:tcBorders>
            <w:shd w:val="clear" w:color="000000" w:fill="FF9900"/>
            <w:noWrap/>
            <w:vAlign w:val="bottom"/>
            <w:hideMark/>
          </w:tcPr>
          <w:p w:rsidR="00C50258" w:rsidRPr="00C50258" w:rsidRDefault="00810193">
            <w:pPr>
              <w:jc w:val="center"/>
              <w:rPr>
                <w:rFonts w:cs="Arial"/>
              </w:rPr>
            </w:pPr>
            <w:r>
              <w:rPr>
                <w:rFonts w:cs="Arial"/>
              </w:rPr>
              <w:t>High</w:t>
            </w:r>
          </w:p>
        </w:tc>
      </w:tr>
      <w:tr w:rsidR="00C50258" w:rsidRPr="00C50258" w:rsidTr="00C50258">
        <w:trPr>
          <w:trHeight w:val="255"/>
        </w:trPr>
        <w:tc>
          <w:tcPr>
            <w:tcW w:w="1576" w:type="dxa"/>
            <w:tcBorders>
              <w:top w:val="nil"/>
              <w:left w:val="nil"/>
              <w:bottom w:val="nil"/>
              <w:right w:val="nil"/>
            </w:tcBorders>
            <w:shd w:val="clear" w:color="auto" w:fill="auto"/>
            <w:noWrap/>
            <w:vAlign w:val="bottom"/>
            <w:hideMark/>
          </w:tcPr>
          <w:p w:rsidR="00C50258" w:rsidRPr="00C50258" w:rsidRDefault="00C50258">
            <w:pPr>
              <w:rPr>
                <w:rFonts w:cs="Arial"/>
                <w:b/>
                <w:bCs/>
              </w:rPr>
            </w:pPr>
            <w:r w:rsidRPr="00C50258">
              <w:rPr>
                <w:rFonts w:cs="Arial"/>
                <w:b/>
                <w:bCs/>
              </w:rPr>
              <w:t>Rare</w:t>
            </w:r>
          </w:p>
        </w:tc>
        <w:tc>
          <w:tcPr>
            <w:tcW w:w="1496" w:type="dxa"/>
            <w:tcBorders>
              <w:top w:val="nil"/>
              <w:left w:val="nil"/>
              <w:bottom w:val="nil"/>
              <w:right w:val="nil"/>
            </w:tcBorders>
            <w:shd w:val="clear" w:color="auto" w:fill="auto"/>
            <w:noWrap/>
            <w:vAlign w:val="bottom"/>
            <w:hideMark/>
          </w:tcPr>
          <w:p w:rsidR="00C50258" w:rsidRPr="00C50258" w:rsidRDefault="00C50258">
            <w:pPr>
              <w:jc w:val="center"/>
              <w:rPr>
                <w:rFonts w:cs="Arial"/>
              </w:rPr>
            </w:pPr>
          </w:p>
        </w:tc>
        <w:tc>
          <w:tcPr>
            <w:tcW w:w="125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23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1376" w:type="dxa"/>
            <w:tcBorders>
              <w:top w:val="nil"/>
              <w:left w:val="nil"/>
              <w:bottom w:val="nil"/>
              <w:right w:val="nil"/>
            </w:tcBorders>
            <w:shd w:val="clear" w:color="000000" w:fill="99CC00"/>
            <w:noWrap/>
            <w:vAlign w:val="bottom"/>
            <w:hideMark/>
          </w:tcPr>
          <w:p w:rsidR="00C50258" w:rsidRPr="00C50258" w:rsidRDefault="00810193">
            <w:pPr>
              <w:jc w:val="center"/>
              <w:rPr>
                <w:rFonts w:cs="Arial"/>
              </w:rPr>
            </w:pPr>
            <w:r>
              <w:rPr>
                <w:rFonts w:cs="Arial"/>
              </w:rPr>
              <w:t>Low</w:t>
            </w:r>
          </w:p>
        </w:tc>
        <w:tc>
          <w:tcPr>
            <w:tcW w:w="956" w:type="dxa"/>
            <w:tcBorders>
              <w:top w:val="nil"/>
              <w:left w:val="nil"/>
              <w:bottom w:val="nil"/>
              <w:right w:val="nil"/>
            </w:tcBorders>
            <w:shd w:val="clear" w:color="000000" w:fill="FFCC00"/>
            <w:noWrap/>
            <w:vAlign w:val="bottom"/>
            <w:hideMark/>
          </w:tcPr>
          <w:p w:rsidR="00C50258" w:rsidRPr="00C50258" w:rsidRDefault="00810193">
            <w:pPr>
              <w:jc w:val="center"/>
              <w:rPr>
                <w:rFonts w:cs="Arial"/>
              </w:rPr>
            </w:pPr>
            <w:r>
              <w:rPr>
                <w:rFonts w:cs="Arial"/>
              </w:rPr>
              <w:t>Medium</w:t>
            </w:r>
          </w:p>
        </w:tc>
        <w:tc>
          <w:tcPr>
            <w:tcW w:w="956" w:type="dxa"/>
            <w:tcBorders>
              <w:top w:val="nil"/>
              <w:left w:val="nil"/>
              <w:bottom w:val="nil"/>
              <w:right w:val="nil"/>
            </w:tcBorders>
            <w:shd w:val="clear" w:color="000000" w:fill="FF9900"/>
            <w:noWrap/>
            <w:vAlign w:val="bottom"/>
            <w:hideMark/>
          </w:tcPr>
          <w:p w:rsidR="00C50258" w:rsidRPr="00C50258" w:rsidRDefault="00810193">
            <w:pPr>
              <w:jc w:val="center"/>
              <w:rPr>
                <w:rFonts w:cs="Arial"/>
              </w:rPr>
            </w:pPr>
            <w:r>
              <w:rPr>
                <w:rFonts w:cs="Arial"/>
              </w:rPr>
              <w:t>High</w:t>
            </w:r>
          </w:p>
        </w:tc>
      </w:tr>
    </w:tbl>
    <w:p w:rsidR="00252B9A" w:rsidRDefault="00252B9A">
      <w:pPr>
        <w:rPr>
          <w:rFonts w:cs="Arial"/>
        </w:rPr>
      </w:pPr>
    </w:p>
    <w:p w:rsidR="009640F5" w:rsidRPr="002F119B" w:rsidRDefault="009203B4" w:rsidP="00B571ED">
      <w:pPr>
        <w:spacing w:after="0" w:line="240" w:lineRule="auto"/>
        <w:rPr>
          <w:rFonts w:cs="Arial"/>
          <w:u w:val="single"/>
        </w:rPr>
      </w:pPr>
      <w:r w:rsidRPr="002F119B">
        <w:rPr>
          <w:rFonts w:cs="Arial"/>
          <w:u w:val="single"/>
        </w:rPr>
        <w:t xml:space="preserve">Assessment </w:t>
      </w:r>
      <w:r w:rsidR="002F119B" w:rsidRPr="002F119B">
        <w:rPr>
          <w:rFonts w:cs="Arial"/>
          <w:u w:val="single"/>
        </w:rPr>
        <w:t xml:space="preserve">of existing </w:t>
      </w:r>
      <w:r w:rsidR="00810193">
        <w:rPr>
          <w:rFonts w:cs="Arial"/>
          <w:u w:val="single"/>
        </w:rPr>
        <w:t>conservation management strategies</w:t>
      </w:r>
      <w:r w:rsidR="00DE36D9">
        <w:rPr>
          <w:rFonts w:cs="Arial"/>
          <w:u w:val="single"/>
        </w:rPr>
        <w:t xml:space="preserve"> (column 7)</w:t>
      </w:r>
    </w:p>
    <w:p w:rsidR="009203B4" w:rsidRDefault="009203B4" w:rsidP="00B571ED">
      <w:pPr>
        <w:spacing w:after="0" w:line="240" w:lineRule="auto"/>
        <w:rPr>
          <w:rFonts w:cs="Arial"/>
          <w:b/>
        </w:rPr>
      </w:pPr>
    </w:p>
    <w:p w:rsidR="00DE36D9" w:rsidRPr="00DE36D9" w:rsidRDefault="001C4BD3" w:rsidP="00B571ED">
      <w:pPr>
        <w:spacing w:after="0" w:line="240" w:lineRule="auto"/>
        <w:rPr>
          <w:rFonts w:cs="Arial"/>
        </w:rPr>
      </w:pPr>
      <w:r>
        <w:rPr>
          <w:rFonts w:cs="Arial"/>
        </w:rPr>
        <w:t>The next step is to d</w:t>
      </w:r>
      <w:r w:rsidR="008E36AF" w:rsidRPr="008E36AF">
        <w:rPr>
          <w:rFonts w:cs="Arial"/>
        </w:rPr>
        <w:t xml:space="preserve">ocument existing </w:t>
      </w:r>
      <w:r w:rsidR="00810193">
        <w:rPr>
          <w:rFonts w:cs="Arial"/>
        </w:rPr>
        <w:t xml:space="preserve">conservation </w:t>
      </w:r>
      <w:r w:rsidR="008E36AF" w:rsidRPr="008E36AF">
        <w:rPr>
          <w:rFonts w:cs="Arial"/>
        </w:rPr>
        <w:t xml:space="preserve">management </w:t>
      </w:r>
      <w:r w:rsidR="00810193">
        <w:rPr>
          <w:rFonts w:cs="Arial"/>
        </w:rPr>
        <w:t>strategies</w:t>
      </w:r>
      <w:r>
        <w:rPr>
          <w:rFonts w:cs="Arial"/>
        </w:rPr>
        <w:t xml:space="preserve"> (column 7A). </w:t>
      </w:r>
      <w:r w:rsidR="008E36AF" w:rsidRPr="008E36AF">
        <w:rPr>
          <w:rFonts w:cs="Arial"/>
        </w:rPr>
        <w:t xml:space="preserve">These are the measures in place now that </w:t>
      </w:r>
      <w:r w:rsidR="004D610A">
        <w:rPr>
          <w:rFonts w:cs="Arial"/>
        </w:rPr>
        <w:t xml:space="preserve">eliminate, </w:t>
      </w:r>
      <w:r w:rsidR="008E36AF" w:rsidRPr="008E36AF">
        <w:rPr>
          <w:rFonts w:cs="Arial"/>
        </w:rPr>
        <w:t xml:space="preserve">minimise or </w:t>
      </w:r>
      <w:r w:rsidR="00810193">
        <w:rPr>
          <w:rFonts w:cs="Arial"/>
        </w:rPr>
        <w:t>reduce</w:t>
      </w:r>
      <w:r w:rsidR="008E36AF" w:rsidRPr="008E36AF">
        <w:rPr>
          <w:rFonts w:cs="Arial"/>
        </w:rPr>
        <w:t xml:space="preserve"> the im</w:t>
      </w:r>
      <w:r>
        <w:rPr>
          <w:rFonts w:cs="Arial"/>
        </w:rPr>
        <w:t xml:space="preserve">pact of each potential </w:t>
      </w:r>
      <w:r w:rsidR="00EB001B">
        <w:rPr>
          <w:rFonts w:cs="Arial"/>
        </w:rPr>
        <w:t>threat.</w:t>
      </w:r>
    </w:p>
    <w:p w:rsidR="00DE36D9" w:rsidRPr="00DE36D9" w:rsidRDefault="00DE36D9" w:rsidP="00B571ED">
      <w:pPr>
        <w:spacing w:after="0" w:line="240" w:lineRule="auto"/>
        <w:rPr>
          <w:rFonts w:cs="Arial"/>
        </w:rPr>
      </w:pPr>
    </w:p>
    <w:p w:rsidR="00DE36D9" w:rsidRPr="00DE36D9" w:rsidRDefault="001C4BD3" w:rsidP="00B571ED">
      <w:pPr>
        <w:spacing w:after="0" w:line="240" w:lineRule="auto"/>
        <w:rPr>
          <w:rFonts w:cs="Arial"/>
        </w:rPr>
      </w:pPr>
      <w:r>
        <w:rPr>
          <w:rFonts w:cs="Arial"/>
        </w:rPr>
        <w:t>E</w:t>
      </w:r>
      <w:r w:rsidR="008E36AF" w:rsidRPr="008E36AF">
        <w:rPr>
          <w:rFonts w:cs="Arial"/>
        </w:rPr>
        <w:t xml:space="preserve">ach of these management controls </w:t>
      </w:r>
      <w:r>
        <w:rPr>
          <w:rFonts w:cs="Arial"/>
        </w:rPr>
        <w:t xml:space="preserve">is rated </w:t>
      </w:r>
      <w:r w:rsidR="008E36AF" w:rsidRPr="008E36AF">
        <w:rPr>
          <w:rFonts w:cs="Arial"/>
        </w:rPr>
        <w:t>based on how effective they are</w:t>
      </w:r>
      <w:r w:rsidR="00DE36D9">
        <w:rPr>
          <w:rFonts w:cs="Arial"/>
        </w:rPr>
        <w:t xml:space="preserve"> (column 7B):</w:t>
      </w:r>
    </w:p>
    <w:p w:rsidR="00DE36D9" w:rsidRPr="00DE36D9" w:rsidRDefault="00DE36D9" w:rsidP="00B571ED">
      <w:pPr>
        <w:spacing w:after="0" w:line="240" w:lineRule="auto"/>
        <w:rPr>
          <w:rFonts w:cs="Arial"/>
        </w:rPr>
      </w:pPr>
    </w:p>
    <w:p w:rsidR="00252B9A" w:rsidRDefault="009203B4" w:rsidP="001C4BD3">
      <w:pPr>
        <w:pStyle w:val="ListBullet"/>
      </w:pPr>
      <w:r w:rsidRPr="001C4BD3">
        <w:rPr>
          <w:i/>
        </w:rPr>
        <w:t>Weak</w:t>
      </w:r>
      <w:r w:rsidRPr="009203B4">
        <w:t xml:space="preserve">: </w:t>
      </w:r>
      <w:r w:rsidR="00B941E9">
        <w:t>control of the threat is low</w:t>
      </w:r>
    </w:p>
    <w:p w:rsidR="00252B9A" w:rsidRDefault="000243BA" w:rsidP="001C4BD3">
      <w:pPr>
        <w:pStyle w:val="ListBullet"/>
      </w:pPr>
      <w:r w:rsidRPr="001C4BD3">
        <w:rPr>
          <w:i/>
        </w:rPr>
        <w:t>Partial</w:t>
      </w:r>
      <w:r w:rsidR="00B941E9" w:rsidRPr="001C4BD3">
        <w:rPr>
          <w:i/>
        </w:rPr>
        <w:t>:</w:t>
      </w:r>
      <w:r w:rsidR="00B941E9">
        <w:t xml:space="preserve"> actions have been established to address the threat but no</w:t>
      </w:r>
      <w:r>
        <w:t>t</w:t>
      </w:r>
      <w:r w:rsidR="00B941E9">
        <w:t xml:space="preserve"> fully implemented</w:t>
      </w:r>
      <w:r>
        <w:t xml:space="preserve"> or not fully effective</w:t>
      </w:r>
    </w:p>
    <w:p w:rsidR="00252B9A" w:rsidRDefault="00006C91" w:rsidP="001C4BD3">
      <w:pPr>
        <w:pStyle w:val="ListBullet"/>
      </w:pPr>
      <w:r w:rsidRPr="001C4BD3">
        <w:rPr>
          <w:i/>
        </w:rPr>
        <w:t>Adequate</w:t>
      </w:r>
      <w:r>
        <w:t>: some improvement to address the threat is recommended</w:t>
      </w:r>
    </w:p>
    <w:p w:rsidR="00252B9A" w:rsidRDefault="00006C91" w:rsidP="001C4BD3">
      <w:pPr>
        <w:pStyle w:val="ListBullet"/>
      </w:pPr>
      <w:r w:rsidRPr="001C4BD3">
        <w:rPr>
          <w:i/>
        </w:rPr>
        <w:t>Strong</w:t>
      </w:r>
      <w:r>
        <w:t>: actions addressing threats are being implemented and highly effective</w:t>
      </w:r>
    </w:p>
    <w:p w:rsidR="009203B4" w:rsidRDefault="009203B4" w:rsidP="005D0335">
      <w:pPr>
        <w:pStyle w:val="NoSpacing"/>
        <w:rPr>
          <w:rFonts w:ascii="Arial" w:hAnsi="Arial" w:cs="Arial"/>
          <w:b/>
        </w:rPr>
      </w:pPr>
    </w:p>
    <w:p w:rsidR="002F119B" w:rsidRPr="002F119B" w:rsidRDefault="00BA5CBE" w:rsidP="005D0335">
      <w:pPr>
        <w:pStyle w:val="NoSpacing"/>
        <w:rPr>
          <w:rFonts w:ascii="Arial" w:hAnsi="Arial" w:cs="Arial"/>
          <w:u w:val="single"/>
        </w:rPr>
      </w:pPr>
      <w:r>
        <w:rPr>
          <w:rFonts w:ascii="Arial" w:hAnsi="Arial" w:cs="Arial"/>
          <w:u w:val="single"/>
        </w:rPr>
        <w:t>Residual</w:t>
      </w:r>
      <w:r w:rsidRPr="002F119B">
        <w:rPr>
          <w:rFonts w:ascii="Arial" w:hAnsi="Arial" w:cs="Arial"/>
          <w:u w:val="single"/>
        </w:rPr>
        <w:t xml:space="preserve"> </w:t>
      </w:r>
      <w:r w:rsidR="005D0335" w:rsidRPr="002F119B">
        <w:rPr>
          <w:rFonts w:ascii="Arial" w:hAnsi="Arial" w:cs="Arial"/>
          <w:u w:val="single"/>
        </w:rPr>
        <w:t>threat rating</w:t>
      </w:r>
      <w:r>
        <w:rPr>
          <w:rFonts w:ascii="Arial" w:hAnsi="Arial" w:cs="Arial"/>
          <w:u w:val="single"/>
        </w:rPr>
        <w:t xml:space="preserve"> (column 8)</w:t>
      </w:r>
      <w:r w:rsidR="005D0335" w:rsidRPr="002F119B">
        <w:rPr>
          <w:rFonts w:ascii="Arial" w:hAnsi="Arial" w:cs="Arial"/>
          <w:u w:val="single"/>
        </w:rPr>
        <w:t xml:space="preserve"> </w:t>
      </w:r>
    </w:p>
    <w:p w:rsidR="00BA5CBE" w:rsidRDefault="00BA5CBE" w:rsidP="005D0335">
      <w:pPr>
        <w:pStyle w:val="NoSpacing"/>
        <w:rPr>
          <w:rFonts w:ascii="Arial" w:hAnsi="Arial" w:cs="Arial"/>
        </w:rPr>
      </w:pPr>
    </w:p>
    <w:p w:rsidR="005D0335" w:rsidRPr="005D0335" w:rsidRDefault="005D0335" w:rsidP="005D0335">
      <w:pPr>
        <w:pStyle w:val="NoSpacing"/>
        <w:rPr>
          <w:rFonts w:ascii="Arial" w:hAnsi="Arial" w:cs="Arial"/>
        </w:rPr>
      </w:pPr>
      <w:r w:rsidRPr="005D0335">
        <w:rPr>
          <w:rFonts w:ascii="Arial" w:hAnsi="Arial" w:cs="Arial"/>
        </w:rPr>
        <w:t xml:space="preserve">To assess the </w:t>
      </w:r>
      <w:r w:rsidR="00BA5CBE">
        <w:rPr>
          <w:rFonts w:ascii="Arial" w:hAnsi="Arial" w:cs="Arial"/>
        </w:rPr>
        <w:t xml:space="preserve">residual </w:t>
      </w:r>
      <w:r>
        <w:rPr>
          <w:rFonts w:ascii="Arial" w:hAnsi="Arial" w:cs="Arial"/>
        </w:rPr>
        <w:t>threat</w:t>
      </w:r>
      <w:r w:rsidR="00BA5CBE">
        <w:rPr>
          <w:rFonts w:ascii="Arial" w:hAnsi="Arial" w:cs="Arial"/>
        </w:rPr>
        <w:t xml:space="preserve"> rating</w:t>
      </w:r>
      <w:r w:rsidRPr="005D0335">
        <w:rPr>
          <w:rFonts w:ascii="Arial" w:hAnsi="Arial" w:cs="Arial"/>
        </w:rPr>
        <w:t xml:space="preserve">, </w:t>
      </w:r>
      <w:r w:rsidR="001C4BD3">
        <w:rPr>
          <w:rFonts w:ascii="Arial" w:hAnsi="Arial" w:cs="Arial"/>
        </w:rPr>
        <w:t xml:space="preserve">the next step is to </w:t>
      </w:r>
      <w:r w:rsidRPr="005D0335">
        <w:rPr>
          <w:rFonts w:ascii="Arial" w:hAnsi="Arial" w:cs="Arial"/>
        </w:rPr>
        <w:t xml:space="preserve">go </w:t>
      </w:r>
      <w:r w:rsidR="00006C91" w:rsidRPr="005D0335">
        <w:rPr>
          <w:rFonts w:ascii="Arial" w:hAnsi="Arial" w:cs="Arial"/>
        </w:rPr>
        <w:t>through</w:t>
      </w:r>
      <w:r w:rsidRPr="005D0335">
        <w:rPr>
          <w:rFonts w:ascii="Arial" w:hAnsi="Arial" w:cs="Arial"/>
        </w:rPr>
        <w:t xml:space="preserve"> all the </w:t>
      </w:r>
      <w:r>
        <w:rPr>
          <w:rFonts w:ascii="Arial" w:hAnsi="Arial" w:cs="Arial"/>
        </w:rPr>
        <w:t>threats</w:t>
      </w:r>
      <w:r w:rsidRPr="005D0335">
        <w:rPr>
          <w:rFonts w:ascii="Arial" w:hAnsi="Arial" w:cs="Arial"/>
        </w:rPr>
        <w:t xml:space="preserve"> you have listed, the sources and the impacts. Review the </w:t>
      </w:r>
      <w:r>
        <w:rPr>
          <w:rFonts w:ascii="Arial" w:hAnsi="Arial" w:cs="Arial"/>
        </w:rPr>
        <w:t>threat</w:t>
      </w:r>
      <w:r w:rsidRPr="005D0335">
        <w:rPr>
          <w:rFonts w:ascii="Arial" w:hAnsi="Arial" w:cs="Arial"/>
        </w:rPr>
        <w:t xml:space="preserve"> ratings of each </w:t>
      </w:r>
      <w:r>
        <w:rPr>
          <w:rFonts w:ascii="Arial" w:hAnsi="Arial" w:cs="Arial"/>
        </w:rPr>
        <w:t>threat</w:t>
      </w:r>
      <w:r w:rsidRPr="005D0335">
        <w:rPr>
          <w:rFonts w:ascii="Arial" w:hAnsi="Arial" w:cs="Arial"/>
        </w:rPr>
        <w:t>, including the specific likelihoods and consequences</w:t>
      </w:r>
      <w:r w:rsidR="00BA5CBE">
        <w:rPr>
          <w:rFonts w:ascii="Arial" w:hAnsi="Arial" w:cs="Arial"/>
        </w:rPr>
        <w:t xml:space="preserve"> taking into account the existing </w:t>
      </w:r>
      <w:r w:rsidR="00810193">
        <w:rPr>
          <w:rFonts w:ascii="Arial" w:hAnsi="Arial" w:cs="Arial"/>
        </w:rPr>
        <w:t xml:space="preserve">conservation </w:t>
      </w:r>
      <w:r w:rsidR="00BA5CBE">
        <w:rPr>
          <w:rFonts w:ascii="Arial" w:hAnsi="Arial" w:cs="Arial"/>
        </w:rPr>
        <w:t xml:space="preserve">management </w:t>
      </w:r>
      <w:r w:rsidR="00810193">
        <w:rPr>
          <w:rFonts w:ascii="Arial" w:hAnsi="Arial" w:cs="Arial"/>
        </w:rPr>
        <w:t>strategies</w:t>
      </w:r>
      <w:r w:rsidR="00BA5CBE">
        <w:rPr>
          <w:rFonts w:ascii="Arial" w:hAnsi="Arial" w:cs="Arial"/>
        </w:rPr>
        <w:t xml:space="preserve"> and their effectiveness</w:t>
      </w:r>
      <w:r w:rsidR="00EB001B">
        <w:rPr>
          <w:rFonts w:ascii="Arial" w:hAnsi="Arial" w:cs="Arial"/>
        </w:rPr>
        <w:t>.</w:t>
      </w:r>
    </w:p>
    <w:p w:rsidR="005D0335" w:rsidRPr="005D0335" w:rsidRDefault="005D0335" w:rsidP="005D0335">
      <w:pPr>
        <w:pStyle w:val="NoSpacing"/>
        <w:rPr>
          <w:rFonts w:ascii="Arial" w:hAnsi="Arial" w:cs="Arial"/>
        </w:rPr>
      </w:pPr>
    </w:p>
    <w:p w:rsidR="005D0335" w:rsidRDefault="005D0335" w:rsidP="005D0335">
      <w:pPr>
        <w:pStyle w:val="NoSpacing"/>
        <w:rPr>
          <w:rFonts w:ascii="Arial" w:hAnsi="Arial" w:cs="Arial"/>
        </w:rPr>
      </w:pPr>
      <w:r w:rsidRPr="005D0335">
        <w:rPr>
          <w:rFonts w:ascii="Arial" w:hAnsi="Arial" w:cs="Arial"/>
        </w:rPr>
        <w:t xml:space="preserve">There is not a set formula to do this, so consider the overall </w:t>
      </w:r>
      <w:r>
        <w:rPr>
          <w:rFonts w:ascii="Arial" w:hAnsi="Arial" w:cs="Arial"/>
        </w:rPr>
        <w:t>threat</w:t>
      </w:r>
      <w:r w:rsidRPr="005D0335">
        <w:rPr>
          <w:rFonts w:ascii="Arial" w:hAnsi="Arial" w:cs="Arial"/>
        </w:rPr>
        <w:t xml:space="preserve"> assessment to decide what the most accurate rating is. Some questions that can </w:t>
      </w:r>
      <w:r w:rsidR="00EB001B">
        <w:rPr>
          <w:rFonts w:ascii="Arial" w:hAnsi="Arial" w:cs="Arial"/>
        </w:rPr>
        <w:t>help you perform this step are:</w:t>
      </w:r>
    </w:p>
    <w:p w:rsidR="005D0335" w:rsidRPr="005D0335" w:rsidRDefault="005D0335" w:rsidP="005D0335">
      <w:pPr>
        <w:pStyle w:val="NoSpacing"/>
        <w:rPr>
          <w:rFonts w:ascii="Arial" w:hAnsi="Arial" w:cs="Arial"/>
        </w:rPr>
      </w:pPr>
    </w:p>
    <w:p w:rsidR="005D0335" w:rsidRDefault="005D0335" w:rsidP="00BA5CBE">
      <w:pPr>
        <w:pStyle w:val="NoSpacing"/>
        <w:numPr>
          <w:ilvl w:val="0"/>
          <w:numId w:val="7"/>
        </w:numPr>
        <w:ind w:left="567" w:hanging="567"/>
        <w:rPr>
          <w:rFonts w:ascii="Arial" w:hAnsi="Arial" w:cs="Arial"/>
        </w:rPr>
      </w:pPr>
      <w:r w:rsidRPr="005D0335">
        <w:rPr>
          <w:rFonts w:ascii="Arial" w:hAnsi="Arial" w:cs="Arial"/>
        </w:rPr>
        <w:t xml:space="preserve">Think about the </w:t>
      </w:r>
      <w:r>
        <w:rPr>
          <w:rFonts w:ascii="Arial" w:hAnsi="Arial" w:cs="Arial"/>
        </w:rPr>
        <w:t>species</w:t>
      </w:r>
      <w:r w:rsidRPr="005D0335">
        <w:rPr>
          <w:rFonts w:ascii="Arial" w:hAnsi="Arial" w:cs="Arial"/>
        </w:rPr>
        <w:t xml:space="preserve"> as a whole. What is the </w:t>
      </w:r>
      <w:r>
        <w:rPr>
          <w:rFonts w:ascii="Arial" w:hAnsi="Arial" w:cs="Arial"/>
        </w:rPr>
        <w:t>threat to the species</w:t>
      </w:r>
      <w:r w:rsidRPr="005D0335">
        <w:rPr>
          <w:rFonts w:ascii="Arial" w:hAnsi="Arial" w:cs="Arial"/>
        </w:rPr>
        <w:t xml:space="preserve"> failing without any controls in place </w:t>
      </w:r>
      <w:r w:rsidR="00EB001B">
        <w:rPr>
          <w:rFonts w:ascii="Arial" w:hAnsi="Arial" w:cs="Arial"/>
        </w:rPr>
        <w:t>to prevent that from happening?</w:t>
      </w:r>
    </w:p>
    <w:p w:rsidR="00252B9A" w:rsidRDefault="00252B9A">
      <w:pPr>
        <w:pStyle w:val="NoSpacing"/>
        <w:ind w:left="567"/>
        <w:rPr>
          <w:rFonts w:ascii="Arial" w:hAnsi="Arial" w:cs="Arial"/>
        </w:rPr>
      </w:pPr>
    </w:p>
    <w:p w:rsidR="005D0335" w:rsidRPr="005D0335" w:rsidRDefault="005D0335" w:rsidP="00BA5CBE">
      <w:pPr>
        <w:pStyle w:val="NoSpacing"/>
        <w:numPr>
          <w:ilvl w:val="0"/>
          <w:numId w:val="7"/>
        </w:numPr>
        <w:ind w:left="567" w:hanging="567"/>
        <w:rPr>
          <w:rFonts w:ascii="Arial" w:hAnsi="Arial" w:cs="Arial"/>
        </w:rPr>
      </w:pPr>
      <w:r w:rsidRPr="005D0335">
        <w:rPr>
          <w:rFonts w:ascii="Arial" w:hAnsi="Arial" w:cs="Arial"/>
        </w:rPr>
        <w:t xml:space="preserve">Is there any </w:t>
      </w:r>
      <w:r>
        <w:rPr>
          <w:rFonts w:ascii="Arial" w:hAnsi="Arial" w:cs="Arial"/>
        </w:rPr>
        <w:t>threat</w:t>
      </w:r>
      <w:r w:rsidRPr="005D0335">
        <w:rPr>
          <w:rFonts w:ascii="Arial" w:hAnsi="Arial" w:cs="Arial"/>
        </w:rPr>
        <w:t xml:space="preserve"> that is more critical than the other ones? </w:t>
      </w:r>
      <w:r w:rsidR="001A6ED4">
        <w:rPr>
          <w:rFonts w:ascii="Arial" w:hAnsi="Arial" w:cs="Arial"/>
        </w:rPr>
        <w:t>Is this so large</w:t>
      </w:r>
      <w:r w:rsidRPr="005D0335">
        <w:rPr>
          <w:rFonts w:ascii="Arial" w:hAnsi="Arial" w:cs="Arial"/>
        </w:rPr>
        <w:t xml:space="preserve"> as to drive the inherent </w:t>
      </w:r>
      <w:r>
        <w:rPr>
          <w:rFonts w:ascii="Arial" w:hAnsi="Arial" w:cs="Arial"/>
        </w:rPr>
        <w:t>threat</w:t>
      </w:r>
      <w:r w:rsidR="00EB001B">
        <w:rPr>
          <w:rFonts w:ascii="Arial" w:hAnsi="Arial" w:cs="Arial"/>
        </w:rPr>
        <w:t xml:space="preserve"> rating?</w:t>
      </w:r>
    </w:p>
    <w:p w:rsidR="002821EF" w:rsidRDefault="002821EF" w:rsidP="002821EF">
      <w:pPr>
        <w:spacing w:after="0" w:line="240" w:lineRule="auto"/>
        <w:rPr>
          <w:rFonts w:cs="Arial"/>
          <w:u w:val="single"/>
        </w:rPr>
      </w:pPr>
    </w:p>
    <w:p w:rsidR="00252B9A" w:rsidRDefault="008E36AF">
      <w:pPr>
        <w:pStyle w:val="NoSpacing"/>
        <w:rPr>
          <w:rFonts w:cs="Arial"/>
        </w:rPr>
      </w:pPr>
      <w:r w:rsidRPr="008E36AF">
        <w:rPr>
          <w:rFonts w:ascii="Arial" w:hAnsi="Arial" w:cs="Arial"/>
        </w:rPr>
        <w:t xml:space="preserve">If the residual threat rating is low, </w:t>
      </w:r>
      <w:r w:rsidR="001C4BD3">
        <w:rPr>
          <w:rFonts w:ascii="Arial" w:hAnsi="Arial" w:cs="Arial"/>
        </w:rPr>
        <w:t xml:space="preserve">no further action using the matrix is required. </w:t>
      </w:r>
      <w:r w:rsidRPr="008E36AF">
        <w:rPr>
          <w:rFonts w:ascii="Arial" w:hAnsi="Arial" w:cs="Arial"/>
        </w:rPr>
        <w:t>If the residual threat is medium, high or severe, go to step 2 and consider threat management.</w:t>
      </w:r>
    </w:p>
    <w:p w:rsidR="007248D7" w:rsidRDefault="007248D7" w:rsidP="002821EF">
      <w:pPr>
        <w:spacing w:after="0" w:line="240" w:lineRule="auto"/>
        <w:rPr>
          <w:rFonts w:cs="Arial"/>
          <w:u w:val="single"/>
        </w:rPr>
      </w:pPr>
    </w:p>
    <w:p w:rsidR="00252B9A" w:rsidRDefault="008E36AF">
      <w:pPr>
        <w:rPr>
          <w:rFonts w:cs="Arial"/>
          <w:b/>
        </w:rPr>
      </w:pPr>
      <w:r w:rsidRPr="008E36AF">
        <w:rPr>
          <w:rFonts w:cs="Arial"/>
          <w:b/>
        </w:rPr>
        <w:t>Step 2 Threat Management</w:t>
      </w:r>
    </w:p>
    <w:p w:rsidR="00BC4854" w:rsidRPr="00B711C2" w:rsidRDefault="00BC4854" w:rsidP="00BC4854">
      <w:pPr>
        <w:rPr>
          <w:rFonts w:cs="Arial"/>
        </w:rPr>
      </w:pPr>
      <w:r w:rsidRPr="00B711C2">
        <w:rPr>
          <w:rFonts w:cs="Arial"/>
        </w:rPr>
        <w:t>Th</w:t>
      </w:r>
      <w:r w:rsidR="007248D7">
        <w:rPr>
          <w:rFonts w:cs="Arial"/>
        </w:rPr>
        <w:t xml:space="preserve">is step involves assessing whether there are </w:t>
      </w:r>
      <w:r w:rsidRPr="00B711C2">
        <w:rPr>
          <w:rFonts w:cs="Arial"/>
        </w:rPr>
        <w:t>mitigation actions</w:t>
      </w:r>
      <w:r w:rsidR="007248D7">
        <w:rPr>
          <w:rFonts w:cs="Arial"/>
        </w:rPr>
        <w:t xml:space="preserve"> that can </w:t>
      </w:r>
      <w:r w:rsidRPr="00B711C2">
        <w:rPr>
          <w:rFonts w:cs="Arial"/>
        </w:rPr>
        <w:t>prevent the species</w:t>
      </w:r>
      <w:r w:rsidR="007248D7">
        <w:rPr>
          <w:rFonts w:cs="Arial"/>
        </w:rPr>
        <w:t xml:space="preserve"> </w:t>
      </w:r>
      <w:r w:rsidRPr="00B711C2">
        <w:rPr>
          <w:rFonts w:cs="Arial"/>
        </w:rPr>
        <w:t>from be</w:t>
      </w:r>
      <w:r w:rsidR="007248D7">
        <w:rPr>
          <w:rFonts w:cs="Arial"/>
        </w:rPr>
        <w:t>com</w:t>
      </w:r>
      <w:r w:rsidRPr="00B711C2">
        <w:rPr>
          <w:rFonts w:cs="Arial"/>
        </w:rPr>
        <w:t xml:space="preserve">ing threatened. The </w:t>
      </w:r>
      <w:r w:rsidR="007248D7">
        <w:rPr>
          <w:rFonts w:cs="Arial"/>
        </w:rPr>
        <w:t xml:space="preserve">assessment considers </w:t>
      </w:r>
      <w:r w:rsidRPr="00B711C2">
        <w:rPr>
          <w:rFonts w:cs="Arial"/>
        </w:rPr>
        <w:t>how effective the action would be, how feasible the action is and the cost-be</w:t>
      </w:r>
      <w:r w:rsidR="00EB001B">
        <w:rPr>
          <w:rFonts w:cs="Arial"/>
        </w:rPr>
        <w:t>nefit of performing the action.</w:t>
      </w:r>
      <w:r w:rsidR="00977B51">
        <w:rPr>
          <w:rFonts w:cs="Arial"/>
        </w:rPr>
        <w:t xml:space="preserve"> Once the management actions have been developed, monitoring actions should be developed to track the status of the species</w:t>
      </w:r>
      <w:r w:rsidR="00F16D9F">
        <w:rPr>
          <w:rFonts w:cs="Arial"/>
        </w:rPr>
        <w:t xml:space="preserve"> and</w:t>
      </w:r>
      <w:r w:rsidR="00977B51">
        <w:rPr>
          <w:rFonts w:cs="Arial"/>
        </w:rPr>
        <w:t xml:space="preserve"> </w:t>
      </w:r>
      <w:r w:rsidR="00F16D9F">
        <w:rPr>
          <w:rFonts w:cs="Arial"/>
        </w:rPr>
        <w:t>the effectiveness of implemented management actions.</w:t>
      </w:r>
    </w:p>
    <w:p w:rsidR="00141CE2" w:rsidRPr="00141CE2" w:rsidRDefault="00884FB7" w:rsidP="00141CE2">
      <w:pPr>
        <w:rPr>
          <w:rFonts w:cs="Arial"/>
        </w:rPr>
      </w:pPr>
      <w:r>
        <w:rPr>
          <w:rFonts w:cs="Arial"/>
        </w:rPr>
        <w:t xml:space="preserve">For each threat, the range of </w:t>
      </w:r>
      <w:r w:rsidR="006B03C6">
        <w:rPr>
          <w:rFonts w:cs="Arial"/>
        </w:rPr>
        <w:t xml:space="preserve">possible management </w:t>
      </w:r>
      <w:r>
        <w:rPr>
          <w:rFonts w:cs="Arial"/>
        </w:rPr>
        <w:t>actions would be identified</w:t>
      </w:r>
      <w:r w:rsidR="00141CE2">
        <w:rPr>
          <w:rFonts w:cs="Arial"/>
        </w:rPr>
        <w:t xml:space="preserve"> and documented</w:t>
      </w:r>
      <w:r w:rsidR="001C4BD3">
        <w:rPr>
          <w:rFonts w:cs="Arial"/>
        </w:rPr>
        <w:t xml:space="preserve"> (column 9). </w:t>
      </w:r>
      <w:r w:rsidR="00141CE2" w:rsidRPr="00141CE2">
        <w:rPr>
          <w:rFonts w:cs="Arial"/>
        </w:rPr>
        <w:t xml:space="preserve">These are </w:t>
      </w:r>
      <w:r w:rsidR="00141CE2">
        <w:rPr>
          <w:rFonts w:cs="Arial"/>
        </w:rPr>
        <w:t xml:space="preserve">actions that could be taken in the future to </w:t>
      </w:r>
      <w:r w:rsidR="004D610A">
        <w:rPr>
          <w:rFonts w:cs="Arial"/>
        </w:rPr>
        <w:t xml:space="preserve">eliminate, </w:t>
      </w:r>
      <w:r w:rsidR="00141CE2" w:rsidRPr="00141CE2">
        <w:rPr>
          <w:rFonts w:cs="Arial"/>
        </w:rPr>
        <w:t xml:space="preserve">minimise or </w:t>
      </w:r>
      <w:r w:rsidR="004D610A">
        <w:rPr>
          <w:rFonts w:cs="Arial"/>
        </w:rPr>
        <w:t>reduce</w:t>
      </w:r>
      <w:r w:rsidR="00141CE2" w:rsidRPr="00141CE2">
        <w:rPr>
          <w:rFonts w:cs="Arial"/>
        </w:rPr>
        <w:t xml:space="preserve"> the im</w:t>
      </w:r>
      <w:r w:rsidR="00EB001B">
        <w:rPr>
          <w:rFonts w:cs="Arial"/>
        </w:rPr>
        <w:t>pact of each potential threat.</w:t>
      </w:r>
    </w:p>
    <w:p w:rsidR="00141CE2" w:rsidRPr="00141CE2" w:rsidRDefault="001C4BD3" w:rsidP="00141CE2">
      <w:pPr>
        <w:rPr>
          <w:rFonts w:cs="Arial"/>
        </w:rPr>
      </w:pPr>
      <w:r>
        <w:rPr>
          <w:rFonts w:cs="Arial"/>
        </w:rPr>
        <w:t>E</w:t>
      </w:r>
      <w:r w:rsidR="00141CE2" w:rsidRPr="00141CE2">
        <w:rPr>
          <w:rFonts w:cs="Arial"/>
        </w:rPr>
        <w:t xml:space="preserve">ach of these management controls </w:t>
      </w:r>
      <w:r>
        <w:rPr>
          <w:rFonts w:cs="Arial"/>
        </w:rPr>
        <w:t xml:space="preserve">is rated </w:t>
      </w:r>
      <w:r w:rsidR="00141CE2" w:rsidRPr="00141CE2">
        <w:rPr>
          <w:rFonts w:cs="Arial"/>
        </w:rPr>
        <w:t xml:space="preserve">based on </w:t>
      </w:r>
      <w:r w:rsidR="000243BA">
        <w:rPr>
          <w:rFonts w:cs="Arial"/>
        </w:rPr>
        <w:t xml:space="preserve">their expected </w:t>
      </w:r>
      <w:r w:rsidR="00141CE2" w:rsidRPr="00141CE2">
        <w:rPr>
          <w:rFonts w:cs="Arial"/>
        </w:rPr>
        <w:t>effective</w:t>
      </w:r>
      <w:r w:rsidR="000243BA">
        <w:rPr>
          <w:rFonts w:cs="Arial"/>
        </w:rPr>
        <w:t xml:space="preserve">ness, feasibility and cost-benefit </w:t>
      </w:r>
      <w:r w:rsidR="00141CE2" w:rsidRPr="00141CE2">
        <w:rPr>
          <w:rFonts w:cs="Arial"/>
        </w:rPr>
        <w:t xml:space="preserve">(column </w:t>
      </w:r>
      <w:r w:rsidR="00141CE2">
        <w:rPr>
          <w:rFonts w:cs="Arial"/>
        </w:rPr>
        <w:t>9</w:t>
      </w:r>
      <w:r w:rsidR="00141CE2" w:rsidRPr="00141CE2">
        <w:rPr>
          <w:rFonts w:cs="Arial"/>
        </w:rPr>
        <w:t>B):</w:t>
      </w:r>
    </w:p>
    <w:p w:rsidR="000243BA" w:rsidRDefault="00141CE2" w:rsidP="001C4BD3">
      <w:pPr>
        <w:pStyle w:val="ListBullet"/>
      </w:pPr>
      <w:r w:rsidRPr="001C4BD3">
        <w:rPr>
          <w:i/>
        </w:rPr>
        <w:t>Weak</w:t>
      </w:r>
      <w:r w:rsidRPr="00141CE2">
        <w:t xml:space="preserve">: </w:t>
      </w:r>
      <w:r w:rsidR="001C4BD3">
        <w:t>not</w:t>
      </w:r>
      <w:r w:rsidR="000243BA">
        <w:t xml:space="preserve"> effective, not feasible or prohibitive cost-benefit</w:t>
      </w:r>
    </w:p>
    <w:p w:rsidR="00141CE2" w:rsidRPr="00141CE2" w:rsidRDefault="000243BA" w:rsidP="001C4BD3">
      <w:pPr>
        <w:pStyle w:val="ListBullet"/>
      </w:pPr>
      <w:r w:rsidRPr="001C4BD3">
        <w:rPr>
          <w:i/>
        </w:rPr>
        <w:t>Partial</w:t>
      </w:r>
      <w:r w:rsidR="00141CE2" w:rsidRPr="00141CE2">
        <w:t xml:space="preserve">: </w:t>
      </w:r>
      <w:r w:rsidR="00621250">
        <w:t xml:space="preserve">feasible but only partially effective and/or with high cost-benefit </w:t>
      </w:r>
    </w:p>
    <w:p w:rsidR="00141CE2" w:rsidRPr="00141CE2" w:rsidRDefault="00141CE2" w:rsidP="001C4BD3">
      <w:pPr>
        <w:pStyle w:val="ListBullet"/>
      </w:pPr>
      <w:r w:rsidRPr="001C4BD3">
        <w:rPr>
          <w:i/>
        </w:rPr>
        <w:t>Adequate</w:t>
      </w:r>
      <w:r w:rsidRPr="00141CE2">
        <w:t xml:space="preserve">: </w:t>
      </w:r>
      <w:r w:rsidR="00621250">
        <w:t>feasible and effective and reasonable cost-benefit</w:t>
      </w:r>
    </w:p>
    <w:p w:rsidR="00884FB7" w:rsidRDefault="00141CE2" w:rsidP="001C4BD3">
      <w:pPr>
        <w:pStyle w:val="ListBullet"/>
      </w:pPr>
      <w:r w:rsidRPr="001C4BD3">
        <w:rPr>
          <w:i/>
        </w:rPr>
        <w:t>Strong</w:t>
      </w:r>
      <w:r w:rsidRPr="00141CE2">
        <w:t xml:space="preserve">: </w:t>
      </w:r>
      <w:r w:rsidR="00621250">
        <w:t>feasible, fully effective and favourable cost-benefit.</w:t>
      </w:r>
      <w:r w:rsidR="00884FB7">
        <w:t xml:space="preserve"> </w:t>
      </w:r>
    </w:p>
    <w:p w:rsidR="00884FB7" w:rsidRPr="007D55CA" w:rsidRDefault="008E36AF" w:rsidP="00BC4854">
      <w:pPr>
        <w:rPr>
          <w:rFonts w:cs="Arial"/>
          <w:u w:val="single"/>
        </w:rPr>
      </w:pPr>
      <w:r w:rsidRPr="008E36AF">
        <w:rPr>
          <w:rFonts w:cs="Arial"/>
          <w:u w:val="single"/>
        </w:rPr>
        <w:t xml:space="preserve">Final threat </w:t>
      </w:r>
      <w:r w:rsidR="007D55CA">
        <w:rPr>
          <w:rFonts w:cs="Arial"/>
          <w:u w:val="single"/>
        </w:rPr>
        <w:t>rating</w:t>
      </w:r>
      <w:r w:rsidRPr="008E36AF">
        <w:rPr>
          <w:rFonts w:cs="Arial"/>
          <w:u w:val="single"/>
        </w:rPr>
        <w:t xml:space="preserve"> </w:t>
      </w:r>
    </w:p>
    <w:p w:rsidR="00252B9A" w:rsidRDefault="007D55CA">
      <w:pPr>
        <w:rPr>
          <w:rFonts w:cs="Arial"/>
        </w:rPr>
      </w:pPr>
      <w:r>
        <w:rPr>
          <w:rFonts w:cs="Arial"/>
        </w:rPr>
        <w:t xml:space="preserve">At this stage, </w:t>
      </w:r>
      <w:r w:rsidR="00621250">
        <w:rPr>
          <w:rFonts w:cs="Arial"/>
        </w:rPr>
        <w:t xml:space="preserve">reassess the residual threat rating to </w:t>
      </w:r>
      <w:r>
        <w:rPr>
          <w:rFonts w:cs="Arial"/>
        </w:rPr>
        <w:t>estimate the final threat rating that would apply if the mitigation actio</w:t>
      </w:r>
      <w:r w:rsidR="001C4BD3">
        <w:rPr>
          <w:rFonts w:cs="Arial"/>
        </w:rPr>
        <w:t>ns were applied.</w:t>
      </w:r>
      <w:r>
        <w:rPr>
          <w:rFonts w:cs="Arial"/>
        </w:rPr>
        <w:t xml:space="preserve"> </w:t>
      </w:r>
      <w:r w:rsidR="00621250" w:rsidRPr="005D0335">
        <w:rPr>
          <w:rFonts w:cs="Arial"/>
        </w:rPr>
        <w:t xml:space="preserve">Review the </w:t>
      </w:r>
      <w:r w:rsidR="00621250">
        <w:rPr>
          <w:rFonts w:cs="Arial"/>
        </w:rPr>
        <w:t>threat</w:t>
      </w:r>
      <w:r w:rsidR="00621250" w:rsidRPr="005D0335">
        <w:rPr>
          <w:rFonts w:cs="Arial"/>
        </w:rPr>
        <w:t xml:space="preserve"> ratings of each </w:t>
      </w:r>
      <w:r w:rsidR="00621250">
        <w:rPr>
          <w:rFonts w:cs="Arial"/>
        </w:rPr>
        <w:t>threat</w:t>
      </w:r>
      <w:r w:rsidR="00BB2D8D">
        <w:rPr>
          <w:rFonts w:cs="Arial"/>
        </w:rPr>
        <w:t xml:space="preserve"> if subj</w:t>
      </w:r>
      <w:r w:rsidR="00EB001B">
        <w:rPr>
          <w:rFonts w:cs="Arial"/>
        </w:rPr>
        <w:t>ect to the mitigation actions.</w:t>
      </w:r>
      <w:r w:rsidR="006B03C6">
        <w:rPr>
          <w:rFonts w:cs="Arial"/>
        </w:rPr>
        <w:t xml:space="preserve"> This final threat rating will inform the listing assessment provided to the Minister.</w:t>
      </w:r>
    </w:p>
    <w:p w:rsidR="00252B9A" w:rsidRDefault="00621250">
      <w:pPr>
        <w:rPr>
          <w:rFonts w:cs="Arial"/>
        </w:rPr>
      </w:pPr>
      <w:r>
        <w:rPr>
          <w:rFonts w:cs="Arial"/>
        </w:rPr>
        <w:t xml:space="preserve">Where a mitigation action </w:t>
      </w:r>
      <w:r w:rsidR="006B03C6">
        <w:rPr>
          <w:rFonts w:cs="Arial"/>
        </w:rPr>
        <w:t>involves the Ministers functions and powers under the EPBC Act</w:t>
      </w:r>
      <w:r w:rsidR="004C74E5">
        <w:rPr>
          <w:rFonts w:cs="Arial"/>
        </w:rPr>
        <w:t xml:space="preserve">, and if </w:t>
      </w:r>
      <w:r>
        <w:rPr>
          <w:rFonts w:cs="Arial"/>
        </w:rPr>
        <w:t>reduces a residual threat rating to low from medium, high or severe, consider providing advice to the Minister under section 190.</w:t>
      </w:r>
    </w:p>
    <w:p w:rsidR="003445A5" w:rsidRPr="00B711C2" w:rsidRDefault="003445A5" w:rsidP="00932861">
      <w:pPr>
        <w:rPr>
          <w:rFonts w:cs="Arial"/>
          <w:b/>
        </w:rPr>
      </w:pPr>
      <w:r w:rsidRPr="00B711C2">
        <w:rPr>
          <w:rFonts w:cs="Arial"/>
          <w:b/>
        </w:rPr>
        <w:t>References</w:t>
      </w:r>
    </w:p>
    <w:p w:rsidR="00B711C2" w:rsidRPr="00B711C2" w:rsidRDefault="00B711C2" w:rsidP="00B711C2">
      <w:pPr>
        <w:rPr>
          <w:rFonts w:cs="Arial"/>
        </w:rPr>
      </w:pPr>
      <w:proofErr w:type="spellStart"/>
      <w:r w:rsidRPr="00B711C2">
        <w:rPr>
          <w:rFonts w:cs="Arial"/>
        </w:rPr>
        <w:t>Astles</w:t>
      </w:r>
      <w:proofErr w:type="spellEnd"/>
      <w:r w:rsidRPr="00B711C2">
        <w:rPr>
          <w:rFonts w:cs="Arial"/>
        </w:rPr>
        <w:t xml:space="preserve"> K.L</w:t>
      </w:r>
      <w:proofErr w:type="gramStart"/>
      <w:r w:rsidRPr="00B711C2">
        <w:rPr>
          <w:rFonts w:cs="Arial"/>
        </w:rPr>
        <w:t>. ,</w:t>
      </w:r>
      <w:proofErr w:type="gramEnd"/>
      <w:r w:rsidRPr="00B711C2">
        <w:rPr>
          <w:rFonts w:cs="Arial"/>
        </w:rPr>
        <w:t xml:space="preserve"> Gibbs P.J. </w:t>
      </w:r>
      <w:proofErr w:type="spellStart"/>
      <w:r w:rsidRPr="00B711C2">
        <w:rPr>
          <w:rFonts w:cs="Arial"/>
        </w:rPr>
        <w:t>Steffe</w:t>
      </w:r>
      <w:proofErr w:type="spellEnd"/>
      <w:r w:rsidRPr="00B711C2">
        <w:rPr>
          <w:rFonts w:cs="Arial"/>
        </w:rPr>
        <w:t xml:space="preserve"> AS, Green, M. </w:t>
      </w:r>
      <w:proofErr w:type="gramStart"/>
      <w:r w:rsidRPr="00B711C2">
        <w:rPr>
          <w:rFonts w:cs="Arial"/>
        </w:rPr>
        <w:t xml:space="preserve">A qualitative risk-based assessment of impacts on marine habitats and harvested species for a data </w:t>
      </w:r>
      <w:r w:rsidR="00EB001B">
        <w:rPr>
          <w:rFonts w:cs="Arial"/>
        </w:rPr>
        <w:t>deficient wild capture fishery.</w:t>
      </w:r>
      <w:proofErr w:type="gramEnd"/>
    </w:p>
    <w:p w:rsidR="003445A5" w:rsidRDefault="0069722B" w:rsidP="00932861">
      <w:pPr>
        <w:rPr>
          <w:rFonts w:cs="Arial"/>
        </w:rPr>
      </w:pPr>
      <w:proofErr w:type="gramStart"/>
      <w:r w:rsidRPr="00B711C2">
        <w:rPr>
          <w:rFonts w:cs="Arial"/>
        </w:rPr>
        <w:t>Department of the Environment (2013) Matters of National Environmental Significance.</w:t>
      </w:r>
      <w:proofErr w:type="gramEnd"/>
      <w:r w:rsidRPr="00B711C2">
        <w:rPr>
          <w:rFonts w:cs="Arial"/>
        </w:rPr>
        <w:t xml:space="preserve"> Significant Impact Guidelines 1.1 Environment </w:t>
      </w:r>
      <w:proofErr w:type="gramStart"/>
      <w:r w:rsidRPr="00B711C2">
        <w:rPr>
          <w:rFonts w:cs="Arial"/>
        </w:rPr>
        <w:t>Protection</w:t>
      </w:r>
      <w:proofErr w:type="gramEnd"/>
      <w:r w:rsidRPr="00B711C2">
        <w:rPr>
          <w:rFonts w:cs="Arial"/>
        </w:rPr>
        <w:t xml:space="preserve"> and Biodiversity Conservation Act 1999. Commonwealth of Australia 2013</w:t>
      </w:r>
    </w:p>
    <w:p w:rsidR="004C1FC2" w:rsidRDefault="004C1FC2" w:rsidP="00932861">
      <w:pPr>
        <w:rPr>
          <w:rFonts w:cs="Arial"/>
        </w:rPr>
      </w:pPr>
      <w:r>
        <w:rPr>
          <w:rFonts w:cs="Arial"/>
        </w:rPr>
        <w:t xml:space="preserve">Department of the Environment (2013) website: </w:t>
      </w:r>
      <w:r w:rsidRPr="004C1FC2">
        <w:rPr>
          <w:rFonts w:cs="Arial"/>
        </w:rPr>
        <w:t>http://intranet.environment.gov.au/business/risk/guidelines/Pages/default.aspx</w:t>
      </w:r>
    </w:p>
    <w:p w:rsidR="009F06F5" w:rsidRDefault="00B711C2" w:rsidP="00932861">
      <w:pPr>
        <w:rPr>
          <w:rFonts w:cs="Arial"/>
        </w:rPr>
      </w:pPr>
      <w:r w:rsidRPr="00D97E51">
        <w:rPr>
          <w:rFonts w:cs="Arial"/>
          <w:i/>
        </w:rPr>
        <w:t>Environment Protection and Biodiversity Co</w:t>
      </w:r>
      <w:r w:rsidR="009F06F5" w:rsidRPr="00D97E51">
        <w:rPr>
          <w:rFonts w:cs="Arial"/>
          <w:i/>
        </w:rPr>
        <w:t>nservation Act 1999</w:t>
      </w:r>
      <w:r w:rsidR="009F06F5">
        <w:rPr>
          <w:rFonts w:cs="Arial"/>
        </w:rPr>
        <w:t xml:space="preserve"> </w:t>
      </w:r>
      <w:hyperlink r:id="rId13" w:history="1">
        <w:r w:rsidR="007422B9" w:rsidRPr="00664616">
          <w:rPr>
            <w:rStyle w:val="Hyperlink"/>
            <w:rFonts w:cs="Arial"/>
          </w:rPr>
          <w:t>http://www.comlaw.gov.au</w:t>
        </w:r>
      </w:hyperlink>
    </w:p>
    <w:p w:rsidR="007422B9" w:rsidRDefault="007422B9" w:rsidP="00932861">
      <w:pPr>
        <w:rPr>
          <w:rFonts w:cs="Arial"/>
        </w:rPr>
      </w:pPr>
      <w:r>
        <w:rPr>
          <w:rFonts w:cs="Arial"/>
        </w:rPr>
        <w:t>Mace, G.M., Collar, N.J., Gaston, K.L., Hilton-</w:t>
      </w:r>
      <w:r w:rsidR="00B84B60">
        <w:rPr>
          <w:rFonts w:cs="Arial"/>
        </w:rPr>
        <w:t>Taylor</w:t>
      </w:r>
      <w:r>
        <w:rPr>
          <w:rFonts w:cs="Arial"/>
        </w:rPr>
        <w:t xml:space="preserve">, C., </w:t>
      </w:r>
      <w:proofErr w:type="spellStart"/>
      <w:r>
        <w:rPr>
          <w:rFonts w:cs="Arial"/>
        </w:rPr>
        <w:t>Akcakaya</w:t>
      </w:r>
      <w:proofErr w:type="spellEnd"/>
      <w:r>
        <w:rPr>
          <w:rFonts w:cs="Arial"/>
        </w:rPr>
        <w:t>, H.R., Leader-Williams, N. Milner-</w:t>
      </w:r>
      <w:proofErr w:type="spellStart"/>
      <w:r>
        <w:rPr>
          <w:rFonts w:cs="Arial"/>
        </w:rPr>
        <w:t>Gulland</w:t>
      </w:r>
      <w:proofErr w:type="spellEnd"/>
      <w:r>
        <w:rPr>
          <w:rFonts w:cs="Arial"/>
        </w:rPr>
        <w:t>, E.J and Stuart, S.N. (</w:t>
      </w:r>
      <w:r w:rsidR="00057BC9">
        <w:rPr>
          <w:rFonts w:cs="Arial"/>
        </w:rPr>
        <w:t>2008) ‘Quantification of extinction risk: IUCNs system for classifying threatened species’ Conservation Biology 22: 1424-1442</w:t>
      </w:r>
    </w:p>
    <w:p w:rsidR="007422B9" w:rsidRPr="00B711C2" w:rsidRDefault="007422B9" w:rsidP="00932861">
      <w:pPr>
        <w:rPr>
          <w:rFonts w:cs="Arial"/>
        </w:rPr>
      </w:pPr>
      <w:r>
        <w:rPr>
          <w:rFonts w:cs="Arial"/>
        </w:rPr>
        <w:t xml:space="preserve">O’Grady, J.J, Reed D.H. Brook, B.W and </w:t>
      </w:r>
      <w:proofErr w:type="spellStart"/>
      <w:r>
        <w:rPr>
          <w:rFonts w:cs="Arial"/>
        </w:rPr>
        <w:t>Frankham</w:t>
      </w:r>
      <w:proofErr w:type="spellEnd"/>
      <w:r>
        <w:rPr>
          <w:rFonts w:cs="Arial"/>
        </w:rPr>
        <w:t xml:space="preserve">, R. (2004) ‘What </w:t>
      </w:r>
      <w:proofErr w:type="spellStart"/>
      <w:r>
        <w:rPr>
          <w:rFonts w:cs="Arial"/>
        </w:rPr>
        <w:t>aret</w:t>
      </w:r>
      <w:proofErr w:type="spellEnd"/>
      <w:r>
        <w:rPr>
          <w:rFonts w:cs="Arial"/>
        </w:rPr>
        <w:t xml:space="preserve"> he best correlates of predicted extinction </w:t>
      </w:r>
      <w:proofErr w:type="spellStart"/>
      <w:r>
        <w:rPr>
          <w:rFonts w:cs="Arial"/>
        </w:rPr>
        <w:t>riks</w:t>
      </w:r>
      <w:proofErr w:type="spellEnd"/>
      <w:r>
        <w:rPr>
          <w:rFonts w:cs="Arial"/>
        </w:rPr>
        <w:t>?’ Biological Conservation 118(4): 513-520</w:t>
      </w:r>
    </w:p>
    <w:p w:rsidR="004C1FC2" w:rsidRPr="00B711C2" w:rsidRDefault="002E31A7" w:rsidP="00932861">
      <w:pPr>
        <w:rPr>
          <w:rFonts w:cs="Arial"/>
        </w:rPr>
      </w:pPr>
      <w:r w:rsidRPr="00B711C2">
        <w:rPr>
          <w:rFonts w:cs="Arial"/>
        </w:rPr>
        <w:t xml:space="preserve">Standards Australia (2009) AS/NZS ISO 31000: 2009 Risk Management – Principles and Guidelines. </w:t>
      </w:r>
      <w:proofErr w:type="gramStart"/>
      <w:r w:rsidRPr="00B711C2">
        <w:rPr>
          <w:rFonts w:cs="Arial"/>
        </w:rPr>
        <w:t>Joint Technical Committee OB-007, Risk Management.</w:t>
      </w:r>
      <w:proofErr w:type="gramEnd"/>
      <w:r w:rsidRPr="00B711C2">
        <w:rPr>
          <w:rFonts w:cs="Arial"/>
        </w:rPr>
        <w:t xml:space="preserve"> 20 November 2009.</w:t>
      </w:r>
    </w:p>
    <w:sectPr w:rsidR="004C1FC2" w:rsidRPr="00B711C2" w:rsidSect="00247E06">
      <w:head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9F" w:rsidRDefault="00A82A9F" w:rsidP="00A60185">
      <w:pPr>
        <w:spacing w:after="0" w:line="240" w:lineRule="auto"/>
      </w:pPr>
      <w:r>
        <w:separator/>
      </w:r>
    </w:p>
  </w:endnote>
  <w:endnote w:type="continuationSeparator" w:id="0">
    <w:p w:rsidR="00A82A9F" w:rsidRDefault="00A82A9F"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DB" w:rsidRDefault="000A3A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EndPr>
      <w:rPr>
        <w:sz w:val="20"/>
        <w:szCs w:val="20"/>
      </w:rPr>
    </w:sdtEndPr>
    <w:sdtContent>
      <w:p w:rsidR="00A82A9F" w:rsidRPr="00335A5B" w:rsidRDefault="00471F73" w:rsidP="00335A5B">
        <w:pPr>
          <w:pStyle w:val="Footer"/>
          <w:jc w:val="right"/>
          <w:rPr>
            <w:sz w:val="20"/>
            <w:szCs w:val="20"/>
          </w:rPr>
        </w:pPr>
        <w:r w:rsidRPr="00335A5B">
          <w:rPr>
            <w:sz w:val="20"/>
            <w:szCs w:val="20"/>
          </w:rPr>
          <w:fldChar w:fldCharType="begin"/>
        </w:r>
        <w:r w:rsidR="00A82A9F" w:rsidRPr="00335A5B">
          <w:rPr>
            <w:sz w:val="20"/>
            <w:szCs w:val="20"/>
          </w:rPr>
          <w:instrText xml:space="preserve"> PAGE   \* MERGEFORMAT </w:instrText>
        </w:r>
        <w:r w:rsidRPr="00335A5B">
          <w:rPr>
            <w:sz w:val="20"/>
            <w:szCs w:val="20"/>
          </w:rPr>
          <w:fldChar w:fldCharType="separate"/>
        </w:r>
        <w:r w:rsidR="0001366F">
          <w:rPr>
            <w:noProof/>
            <w:sz w:val="20"/>
            <w:szCs w:val="20"/>
          </w:rPr>
          <w:t>3</w:t>
        </w:r>
        <w:r w:rsidRPr="00335A5B">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DB" w:rsidRDefault="000A3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9F" w:rsidRDefault="00A82A9F" w:rsidP="00A60185">
      <w:pPr>
        <w:spacing w:after="0" w:line="240" w:lineRule="auto"/>
      </w:pPr>
      <w:r>
        <w:separator/>
      </w:r>
    </w:p>
  </w:footnote>
  <w:footnote w:type="continuationSeparator" w:id="0">
    <w:p w:rsidR="00A82A9F" w:rsidRDefault="00A82A9F"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9F" w:rsidRDefault="00471F73" w:rsidP="00E45765">
    <w:pPr>
      <w:pStyle w:val="Classification"/>
    </w:pPr>
    <w:r>
      <w:fldChar w:fldCharType="begin"/>
    </w:r>
    <w:r w:rsidR="00A82A9F">
      <w:instrText xml:space="preserve"> DOCPROPERTY SecurityClassification \* MERGEFORMAT </w:instrText>
    </w:r>
    <w:r>
      <w:fldChar w:fldCharType="separate"/>
    </w:r>
    <w:r w:rsidR="0001366F">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DB" w:rsidRDefault="000A3A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EC" w:rsidRPr="00BB1511" w:rsidRDefault="00DC4BEC" w:rsidP="00DC4BEC">
    <w:pPr>
      <w:keepNext/>
      <w:pBdr>
        <w:bottom w:val="single" w:sz="4" w:space="1" w:color="auto"/>
      </w:pBdr>
      <w:spacing w:before="120"/>
      <w:jc w:val="center"/>
      <w:outlineLvl w:val="3"/>
      <w:rPr>
        <w:rFonts w:ascii="Calibri" w:hAnsi="Calibri" w:cs="Calibri"/>
        <w:shadow/>
        <w:sz w:val="28"/>
        <w:szCs w:val="28"/>
      </w:rPr>
    </w:pPr>
    <w:r>
      <w:rPr>
        <w:rFonts w:ascii="Calibri" w:hAnsi="Calibri" w:cs="Calibri"/>
        <w:shadow/>
        <w:sz w:val="28"/>
        <w:szCs w:val="28"/>
      </w:rPr>
      <w:t>THREATENED SPECIES SCIENTIFIC COMMITTEE</w:t>
    </w:r>
  </w:p>
  <w:p w:rsidR="00DC4BEC" w:rsidRPr="00605739" w:rsidRDefault="00DC4BEC" w:rsidP="00DC4BEC">
    <w:pPr>
      <w:pStyle w:val="Heading4"/>
      <w:pBdr>
        <w:bottom w:val="single" w:sz="4" w:space="1" w:color="auto"/>
      </w:pBdr>
      <w:spacing w:before="120" w:after="120"/>
      <w:jc w:val="center"/>
      <w:rPr>
        <w:rFonts w:ascii="Times New Roman" w:hAnsi="Times New Roman"/>
        <w:color w:val="808080" w:themeColor="background1" w:themeShade="80"/>
      </w:rPr>
    </w:pPr>
    <w:r w:rsidRPr="00605739">
      <w:rPr>
        <w:rFonts w:ascii="Times New Roman" w:hAnsi="Times New Roman"/>
        <w:i w:val="0"/>
        <w:color w:val="808080" w:themeColor="background1" w:themeShade="80"/>
      </w:rPr>
      <w:t>Established under the</w:t>
    </w:r>
    <w:r w:rsidRPr="00605739">
      <w:rPr>
        <w:rFonts w:ascii="Times New Roman" w:hAnsi="Times New Roman"/>
        <w:color w:val="808080" w:themeColor="background1" w:themeShade="80"/>
      </w:rPr>
      <w:t xml:space="preserve"> Environment Protection and Biodiversity Conservation Act 1999</w:t>
    </w:r>
  </w:p>
  <w:p w:rsidR="00A82A9F" w:rsidRPr="00DC4BEC" w:rsidRDefault="00A82A9F" w:rsidP="00DC4BEC">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EC" w:rsidRPr="00DC4BEC" w:rsidRDefault="00DC4BEC" w:rsidP="00DC4BEC">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9C72D45"/>
    <w:multiLevelType w:val="hybridMultilevel"/>
    <w:tmpl w:val="F8C66D9E"/>
    <w:lvl w:ilvl="0" w:tplc="0C090001">
      <w:start w:val="1"/>
      <w:numFmt w:val="bullet"/>
      <w:lvlText w:val=""/>
      <w:lvlJc w:val="left"/>
      <w:pPr>
        <w:ind w:left="2952" w:hanging="360"/>
      </w:pPr>
      <w:rPr>
        <w:rFonts w:ascii="Symbol" w:hAnsi="Symbol" w:hint="default"/>
      </w:rPr>
    </w:lvl>
    <w:lvl w:ilvl="1" w:tplc="0C090003" w:tentative="1">
      <w:start w:val="1"/>
      <w:numFmt w:val="bullet"/>
      <w:lvlText w:val="o"/>
      <w:lvlJc w:val="left"/>
      <w:pPr>
        <w:ind w:left="3672" w:hanging="360"/>
      </w:pPr>
      <w:rPr>
        <w:rFonts w:ascii="Courier New" w:hAnsi="Courier New" w:cs="Courier New" w:hint="default"/>
      </w:rPr>
    </w:lvl>
    <w:lvl w:ilvl="2" w:tplc="0C090005" w:tentative="1">
      <w:start w:val="1"/>
      <w:numFmt w:val="bullet"/>
      <w:lvlText w:val=""/>
      <w:lvlJc w:val="left"/>
      <w:pPr>
        <w:ind w:left="4392" w:hanging="360"/>
      </w:pPr>
      <w:rPr>
        <w:rFonts w:ascii="Wingdings" w:hAnsi="Wingdings" w:hint="default"/>
      </w:rPr>
    </w:lvl>
    <w:lvl w:ilvl="3" w:tplc="0C090001" w:tentative="1">
      <w:start w:val="1"/>
      <w:numFmt w:val="bullet"/>
      <w:lvlText w:val=""/>
      <w:lvlJc w:val="left"/>
      <w:pPr>
        <w:ind w:left="5112" w:hanging="360"/>
      </w:pPr>
      <w:rPr>
        <w:rFonts w:ascii="Symbol" w:hAnsi="Symbol" w:hint="default"/>
      </w:rPr>
    </w:lvl>
    <w:lvl w:ilvl="4" w:tplc="0C090003" w:tentative="1">
      <w:start w:val="1"/>
      <w:numFmt w:val="bullet"/>
      <w:lvlText w:val="o"/>
      <w:lvlJc w:val="left"/>
      <w:pPr>
        <w:ind w:left="5832" w:hanging="360"/>
      </w:pPr>
      <w:rPr>
        <w:rFonts w:ascii="Courier New" w:hAnsi="Courier New" w:cs="Courier New" w:hint="default"/>
      </w:rPr>
    </w:lvl>
    <w:lvl w:ilvl="5" w:tplc="0C090005" w:tentative="1">
      <w:start w:val="1"/>
      <w:numFmt w:val="bullet"/>
      <w:lvlText w:val=""/>
      <w:lvlJc w:val="left"/>
      <w:pPr>
        <w:ind w:left="6552" w:hanging="360"/>
      </w:pPr>
      <w:rPr>
        <w:rFonts w:ascii="Wingdings" w:hAnsi="Wingdings" w:hint="default"/>
      </w:rPr>
    </w:lvl>
    <w:lvl w:ilvl="6" w:tplc="0C090001" w:tentative="1">
      <w:start w:val="1"/>
      <w:numFmt w:val="bullet"/>
      <w:lvlText w:val=""/>
      <w:lvlJc w:val="left"/>
      <w:pPr>
        <w:ind w:left="7272" w:hanging="360"/>
      </w:pPr>
      <w:rPr>
        <w:rFonts w:ascii="Symbol" w:hAnsi="Symbol" w:hint="default"/>
      </w:rPr>
    </w:lvl>
    <w:lvl w:ilvl="7" w:tplc="0C090003" w:tentative="1">
      <w:start w:val="1"/>
      <w:numFmt w:val="bullet"/>
      <w:lvlText w:val="o"/>
      <w:lvlJc w:val="left"/>
      <w:pPr>
        <w:ind w:left="7992" w:hanging="360"/>
      </w:pPr>
      <w:rPr>
        <w:rFonts w:ascii="Courier New" w:hAnsi="Courier New" w:cs="Courier New" w:hint="default"/>
      </w:rPr>
    </w:lvl>
    <w:lvl w:ilvl="8" w:tplc="0C090005" w:tentative="1">
      <w:start w:val="1"/>
      <w:numFmt w:val="bullet"/>
      <w:lvlText w:val=""/>
      <w:lvlJc w:val="left"/>
      <w:pPr>
        <w:ind w:left="8712" w:hanging="360"/>
      </w:pPr>
      <w:rPr>
        <w:rFonts w:ascii="Wingdings" w:hAnsi="Wingdings" w:hint="default"/>
      </w:rPr>
    </w:lvl>
  </w:abstractNum>
  <w:abstractNum w:abstractNumId="5">
    <w:nsid w:val="65456429"/>
    <w:multiLevelType w:val="multilevel"/>
    <w:tmpl w:val="E898CC72"/>
    <w:numStyleLink w:val="KeyPoints"/>
  </w:abstractNum>
  <w:abstractNum w:abstractNumId="6">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cVars>
    <w:docVar w:name="SecurityClassificationInHeader" w:val="False"/>
  </w:docVars>
  <w:rsids>
    <w:rsidRoot w:val="008B5D46"/>
    <w:rsid w:val="000020F9"/>
    <w:rsid w:val="00004AEE"/>
    <w:rsid w:val="00005CAA"/>
    <w:rsid w:val="00006C91"/>
    <w:rsid w:val="00010210"/>
    <w:rsid w:val="00012D66"/>
    <w:rsid w:val="0001366F"/>
    <w:rsid w:val="00015ADA"/>
    <w:rsid w:val="00020C99"/>
    <w:rsid w:val="00022AD4"/>
    <w:rsid w:val="000243BA"/>
    <w:rsid w:val="0002707B"/>
    <w:rsid w:val="0005148E"/>
    <w:rsid w:val="000536F9"/>
    <w:rsid w:val="00057BC9"/>
    <w:rsid w:val="0006756E"/>
    <w:rsid w:val="00072C5A"/>
    <w:rsid w:val="000759E5"/>
    <w:rsid w:val="00084AC6"/>
    <w:rsid w:val="00085393"/>
    <w:rsid w:val="00091608"/>
    <w:rsid w:val="0009333C"/>
    <w:rsid w:val="0009704F"/>
    <w:rsid w:val="000A0F11"/>
    <w:rsid w:val="000A125A"/>
    <w:rsid w:val="000A3ADB"/>
    <w:rsid w:val="000A57CD"/>
    <w:rsid w:val="000A628C"/>
    <w:rsid w:val="000B1C03"/>
    <w:rsid w:val="000B3758"/>
    <w:rsid w:val="000B7681"/>
    <w:rsid w:val="000B7B42"/>
    <w:rsid w:val="000C02B7"/>
    <w:rsid w:val="000C03CD"/>
    <w:rsid w:val="000C5100"/>
    <w:rsid w:val="000C5342"/>
    <w:rsid w:val="000C706A"/>
    <w:rsid w:val="000D026A"/>
    <w:rsid w:val="000D2887"/>
    <w:rsid w:val="000D6D63"/>
    <w:rsid w:val="000E0081"/>
    <w:rsid w:val="000E07CF"/>
    <w:rsid w:val="000E31C1"/>
    <w:rsid w:val="000F2CF2"/>
    <w:rsid w:val="00100BEF"/>
    <w:rsid w:val="00103622"/>
    <w:rsid w:val="00111326"/>
    <w:rsid w:val="00114160"/>
    <w:rsid w:val="0011498E"/>
    <w:rsid w:val="00114F31"/>
    <w:rsid w:val="00117A45"/>
    <w:rsid w:val="001224AE"/>
    <w:rsid w:val="0013084D"/>
    <w:rsid w:val="001337D4"/>
    <w:rsid w:val="00141CE2"/>
    <w:rsid w:val="00142365"/>
    <w:rsid w:val="00147C12"/>
    <w:rsid w:val="001527A1"/>
    <w:rsid w:val="001530DC"/>
    <w:rsid w:val="0015459D"/>
    <w:rsid w:val="00154989"/>
    <w:rsid w:val="00155A9F"/>
    <w:rsid w:val="00160262"/>
    <w:rsid w:val="00161134"/>
    <w:rsid w:val="001641EC"/>
    <w:rsid w:val="0016780A"/>
    <w:rsid w:val="001713FA"/>
    <w:rsid w:val="00173EBF"/>
    <w:rsid w:val="00175ED3"/>
    <w:rsid w:val="001842A2"/>
    <w:rsid w:val="00187FA8"/>
    <w:rsid w:val="00192F5E"/>
    <w:rsid w:val="00197772"/>
    <w:rsid w:val="001A51C8"/>
    <w:rsid w:val="001A6ED4"/>
    <w:rsid w:val="001B010A"/>
    <w:rsid w:val="001B4CA8"/>
    <w:rsid w:val="001B5EA1"/>
    <w:rsid w:val="001B6624"/>
    <w:rsid w:val="001B6892"/>
    <w:rsid w:val="001B6E32"/>
    <w:rsid w:val="001C4BD3"/>
    <w:rsid w:val="001C4F3D"/>
    <w:rsid w:val="001D0CDC"/>
    <w:rsid w:val="001D1D82"/>
    <w:rsid w:val="001E1182"/>
    <w:rsid w:val="001E46A6"/>
    <w:rsid w:val="001F3403"/>
    <w:rsid w:val="00202C90"/>
    <w:rsid w:val="00203DDE"/>
    <w:rsid w:val="00211A66"/>
    <w:rsid w:val="00213729"/>
    <w:rsid w:val="00213DE8"/>
    <w:rsid w:val="00216118"/>
    <w:rsid w:val="002209AB"/>
    <w:rsid w:val="002251E3"/>
    <w:rsid w:val="00227A95"/>
    <w:rsid w:val="002316BD"/>
    <w:rsid w:val="00235480"/>
    <w:rsid w:val="00244AE1"/>
    <w:rsid w:val="002473FC"/>
    <w:rsid w:val="00247E06"/>
    <w:rsid w:val="00252B9A"/>
    <w:rsid w:val="00252E3C"/>
    <w:rsid w:val="00260A09"/>
    <w:rsid w:val="00262198"/>
    <w:rsid w:val="00266EF4"/>
    <w:rsid w:val="002821EF"/>
    <w:rsid w:val="00285F1B"/>
    <w:rsid w:val="00290302"/>
    <w:rsid w:val="00292B81"/>
    <w:rsid w:val="002941B5"/>
    <w:rsid w:val="002B18AE"/>
    <w:rsid w:val="002B6450"/>
    <w:rsid w:val="002C0C4C"/>
    <w:rsid w:val="002C1C93"/>
    <w:rsid w:val="002C5066"/>
    <w:rsid w:val="002C5813"/>
    <w:rsid w:val="002D4AAC"/>
    <w:rsid w:val="002E31A7"/>
    <w:rsid w:val="002F045A"/>
    <w:rsid w:val="002F119B"/>
    <w:rsid w:val="002F279A"/>
    <w:rsid w:val="0030039D"/>
    <w:rsid w:val="0030326F"/>
    <w:rsid w:val="00310701"/>
    <w:rsid w:val="00315980"/>
    <w:rsid w:val="00316F7F"/>
    <w:rsid w:val="003218E8"/>
    <w:rsid w:val="00325E34"/>
    <w:rsid w:val="003278E8"/>
    <w:rsid w:val="00330DCE"/>
    <w:rsid w:val="00331E11"/>
    <w:rsid w:val="00332C9F"/>
    <w:rsid w:val="00334761"/>
    <w:rsid w:val="00334C38"/>
    <w:rsid w:val="00335A5B"/>
    <w:rsid w:val="00337EBC"/>
    <w:rsid w:val="00341DCD"/>
    <w:rsid w:val="003445A5"/>
    <w:rsid w:val="0034563E"/>
    <w:rsid w:val="003518D6"/>
    <w:rsid w:val="0035460C"/>
    <w:rsid w:val="003556BD"/>
    <w:rsid w:val="0036479B"/>
    <w:rsid w:val="00365147"/>
    <w:rsid w:val="00366AF5"/>
    <w:rsid w:val="0037016E"/>
    <w:rsid w:val="00372908"/>
    <w:rsid w:val="00383020"/>
    <w:rsid w:val="00393DE0"/>
    <w:rsid w:val="00394D7E"/>
    <w:rsid w:val="003975FD"/>
    <w:rsid w:val="003A5F2A"/>
    <w:rsid w:val="003A667E"/>
    <w:rsid w:val="003B057D"/>
    <w:rsid w:val="003B395A"/>
    <w:rsid w:val="003B60CC"/>
    <w:rsid w:val="003B6641"/>
    <w:rsid w:val="003C1B25"/>
    <w:rsid w:val="003C2443"/>
    <w:rsid w:val="003C2642"/>
    <w:rsid w:val="003C5939"/>
    <w:rsid w:val="003C5DA3"/>
    <w:rsid w:val="003D4BCD"/>
    <w:rsid w:val="003D6C2B"/>
    <w:rsid w:val="003E01D8"/>
    <w:rsid w:val="003E2100"/>
    <w:rsid w:val="003F6F5B"/>
    <w:rsid w:val="003F7801"/>
    <w:rsid w:val="004018C9"/>
    <w:rsid w:val="0040342D"/>
    <w:rsid w:val="0041192D"/>
    <w:rsid w:val="00413EE1"/>
    <w:rsid w:val="00415D93"/>
    <w:rsid w:val="0042128E"/>
    <w:rsid w:val="00426B75"/>
    <w:rsid w:val="00432B60"/>
    <w:rsid w:val="00436814"/>
    <w:rsid w:val="00440698"/>
    <w:rsid w:val="00442A70"/>
    <w:rsid w:val="00447705"/>
    <w:rsid w:val="004540E2"/>
    <w:rsid w:val="00454454"/>
    <w:rsid w:val="00467924"/>
    <w:rsid w:val="004712A5"/>
    <w:rsid w:val="00471F73"/>
    <w:rsid w:val="0047266F"/>
    <w:rsid w:val="00476D6B"/>
    <w:rsid w:val="00492C16"/>
    <w:rsid w:val="004A0678"/>
    <w:rsid w:val="004A48A3"/>
    <w:rsid w:val="004B02E4"/>
    <w:rsid w:val="004B066C"/>
    <w:rsid w:val="004B0D92"/>
    <w:rsid w:val="004B0EC0"/>
    <w:rsid w:val="004B3E0B"/>
    <w:rsid w:val="004B66F1"/>
    <w:rsid w:val="004B74C0"/>
    <w:rsid w:val="004C1FC2"/>
    <w:rsid w:val="004C3EA0"/>
    <w:rsid w:val="004C74E5"/>
    <w:rsid w:val="004D610A"/>
    <w:rsid w:val="004D6546"/>
    <w:rsid w:val="004E6714"/>
    <w:rsid w:val="004E70E8"/>
    <w:rsid w:val="004F7169"/>
    <w:rsid w:val="00500D66"/>
    <w:rsid w:val="005132AA"/>
    <w:rsid w:val="00514C8E"/>
    <w:rsid w:val="005200D7"/>
    <w:rsid w:val="00524543"/>
    <w:rsid w:val="00531DBF"/>
    <w:rsid w:val="00545726"/>
    <w:rsid w:val="00545759"/>
    <w:rsid w:val="00545BE0"/>
    <w:rsid w:val="00546930"/>
    <w:rsid w:val="0055192B"/>
    <w:rsid w:val="00553A03"/>
    <w:rsid w:val="00554C6A"/>
    <w:rsid w:val="00560979"/>
    <w:rsid w:val="00562E85"/>
    <w:rsid w:val="0056332F"/>
    <w:rsid w:val="005719B3"/>
    <w:rsid w:val="0057295E"/>
    <w:rsid w:val="00580EB0"/>
    <w:rsid w:val="00581C39"/>
    <w:rsid w:val="005832AB"/>
    <w:rsid w:val="00587C81"/>
    <w:rsid w:val="005903B6"/>
    <w:rsid w:val="005A0247"/>
    <w:rsid w:val="005A126E"/>
    <w:rsid w:val="005A452F"/>
    <w:rsid w:val="005B140D"/>
    <w:rsid w:val="005C1FEA"/>
    <w:rsid w:val="005C3495"/>
    <w:rsid w:val="005D0335"/>
    <w:rsid w:val="005E3DFC"/>
    <w:rsid w:val="005E5942"/>
    <w:rsid w:val="005E60AF"/>
    <w:rsid w:val="005F1DEA"/>
    <w:rsid w:val="00603BF9"/>
    <w:rsid w:val="00607FC9"/>
    <w:rsid w:val="0061119F"/>
    <w:rsid w:val="00621250"/>
    <w:rsid w:val="00622FE1"/>
    <w:rsid w:val="0062521C"/>
    <w:rsid w:val="00630A2B"/>
    <w:rsid w:val="00632DC7"/>
    <w:rsid w:val="006357FB"/>
    <w:rsid w:val="006406FC"/>
    <w:rsid w:val="00640E57"/>
    <w:rsid w:val="00646122"/>
    <w:rsid w:val="00653E16"/>
    <w:rsid w:val="00657220"/>
    <w:rsid w:val="00657362"/>
    <w:rsid w:val="0066104B"/>
    <w:rsid w:val="006655EE"/>
    <w:rsid w:val="00667287"/>
    <w:rsid w:val="00667A22"/>
    <w:rsid w:val="00667C10"/>
    <w:rsid w:val="00667EF4"/>
    <w:rsid w:val="00676FCA"/>
    <w:rsid w:val="00677177"/>
    <w:rsid w:val="0068612E"/>
    <w:rsid w:val="00687C92"/>
    <w:rsid w:val="0069043D"/>
    <w:rsid w:val="0069509E"/>
    <w:rsid w:val="0069534E"/>
    <w:rsid w:val="0069669C"/>
    <w:rsid w:val="0069722B"/>
    <w:rsid w:val="006A1200"/>
    <w:rsid w:val="006A4F4E"/>
    <w:rsid w:val="006A6C23"/>
    <w:rsid w:val="006B03C6"/>
    <w:rsid w:val="006B14DB"/>
    <w:rsid w:val="006B21C4"/>
    <w:rsid w:val="006C2F74"/>
    <w:rsid w:val="006C4A1A"/>
    <w:rsid w:val="006D0393"/>
    <w:rsid w:val="006D12EE"/>
    <w:rsid w:val="006D1A83"/>
    <w:rsid w:val="006D5F29"/>
    <w:rsid w:val="006E1CFE"/>
    <w:rsid w:val="006F10C4"/>
    <w:rsid w:val="006F40E9"/>
    <w:rsid w:val="006F5603"/>
    <w:rsid w:val="006F7B87"/>
    <w:rsid w:val="007011AC"/>
    <w:rsid w:val="00701400"/>
    <w:rsid w:val="007037CF"/>
    <w:rsid w:val="007053B0"/>
    <w:rsid w:val="0071294A"/>
    <w:rsid w:val="00713F5A"/>
    <w:rsid w:val="007167C0"/>
    <w:rsid w:val="00720481"/>
    <w:rsid w:val="00722E3E"/>
    <w:rsid w:val="007248D7"/>
    <w:rsid w:val="00733193"/>
    <w:rsid w:val="0073325E"/>
    <w:rsid w:val="007335FE"/>
    <w:rsid w:val="00735BA2"/>
    <w:rsid w:val="007422B9"/>
    <w:rsid w:val="00744DDA"/>
    <w:rsid w:val="00745E03"/>
    <w:rsid w:val="00756582"/>
    <w:rsid w:val="0075732A"/>
    <w:rsid w:val="007600F8"/>
    <w:rsid w:val="00760262"/>
    <w:rsid w:val="0076310C"/>
    <w:rsid w:val="0076744F"/>
    <w:rsid w:val="00767BCE"/>
    <w:rsid w:val="00767EFC"/>
    <w:rsid w:val="007707DE"/>
    <w:rsid w:val="00770B5D"/>
    <w:rsid w:val="007752F1"/>
    <w:rsid w:val="00776768"/>
    <w:rsid w:val="0078187A"/>
    <w:rsid w:val="00785EC0"/>
    <w:rsid w:val="00790EA1"/>
    <w:rsid w:val="00794ED8"/>
    <w:rsid w:val="007A129A"/>
    <w:rsid w:val="007A2573"/>
    <w:rsid w:val="007A2763"/>
    <w:rsid w:val="007B06C9"/>
    <w:rsid w:val="007B106C"/>
    <w:rsid w:val="007B1A4E"/>
    <w:rsid w:val="007B298D"/>
    <w:rsid w:val="007B3D05"/>
    <w:rsid w:val="007B5503"/>
    <w:rsid w:val="007C179C"/>
    <w:rsid w:val="007C6BB3"/>
    <w:rsid w:val="007D0553"/>
    <w:rsid w:val="007D14B4"/>
    <w:rsid w:val="007D3233"/>
    <w:rsid w:val="007D3AD7"/>
    <w:rsid w:val="007D55CA"/>
    <w:rsid w:val="007E24F6"/>
    <w:rsid w:val="00800F64"/>
    <w:rsid w:val="00801050"/>
    <w:rsid w:val="00802F0B"/>
    <w:rsid w:val="00803A97"/>
    <w:rsid w:val="00810193"/>
    <w:rsid w:val="00810A67"/>
    <w:rsid w:val="008134E6"/>
    <w:rsid w:val="00813F0F"/>
    <w:rsid w:val="008148AF"/>
    <w:rsid w:val="00823005"/>
    <w:rsid w:val="00833CF7"/>
    <w:rsid w:val="00834105"/>
    <w:rsid w:val="00834CDE"/>
    <w:rsid w:val="00836DDE"/>
    <w:rsid w:val="00840620"/>
    <w:rsid w:val="00842464"/>
    <w:rsid w:val="00845601"/>
    <w:rsid w:val="00852C4F"/>
    <w:rsid w:val="008551FB"/>
    <w:rsid w:val="00855C5C"/>
    <w:rsid w:val="00884FB7"/>
    <w:rsid w:val="008A3C96"/>
    <w:rsid w:val="008B4019"/>
    <w:rsid w:val="008B5D46"/>
    <w:rsid w:val="008B65C9"/>
    <w:rsid w:val="008C2D4A"/>
    <w:rsid w:val="008D0C2B"/>
    <w:rsid w:val="008D3900"/>
    <w:rsid w:val="008D6E1D"/>
    <w:rsid w:val="008E36AF"/>
    <w:rsid w:val="008F39B4"/>
    <w:rsid w:val="008F4162"/>
    <w:rsid w:val="008F6588"/>
    <w:rsid w:val="00903E02"/>
    <w:rsid w:val="00913175"/>
    <w:rsid w:val="009160FA"/>
    <w:rsid w:val="00916EDB"/>
    <w:rsid w:val="009203B4"/>
    <w:rsid w:val="00920861"/>
    <w:rsid w:val="00922B13"/>
    <w:rsid w:val="009236C8"/>
    <w:rsid w:val="009242EF"/>
    <w:rsid w:val="00932291"/>
    <w:rsid w:val="00932861"/>
    <w:rsid w:val="0093408E"/>
    <w:rsid w:val="00936968"/>
    <w:rsid w:val="00941F36"/>
    <w:rsid w:val="00952DDF"/>
    <w:rsid w:val="00960BDD"/>
    <w:rsid w:val="009610A3"/>
    <w:rsid w:val="00963B6A"/>
    <w:rsid w:val="009640F5"/>
    <w:rsid w:val="00970950"/>
    <w:rsid w:val="0097614E"/>
    <w:rsid w:val="00976A97"/>
    <w:rsid w:val="00977B51"/>
    <w:rsid w:val="009812D4"/>
    <w:rsid w:val="00981CEE"/>
    <w:rsid w:val="00984FCD"/>
    <w:rsid w:val="009920D8"/>
    <w:rsid w:val="009927C3"/>
    <w:rsid w:val="009952F5"/>
    <w:rsid w:val="009A2112"/>
    <w:rsid w:val="009B136B"/>
    <w:rsid w:val="009B38BE"/>
    <w:rsid w:val="009C3D0F"/>
    <w:rsid w:val="009D52BA"/>
    <w:rsid w:val="009D6F70"/>
    <w:rsid w:val="009E1B19"/>
    <w:rsid w:val="009E3F03"/>
    <w:rsid w:val="009F06F5"/>
    <w:rsid w:val="009F3351"/>
    <w:rsid w:val="009F35E2"/>
    <w:rsid w:val="009F65F9"/>
    <w:rsid w:val="009F68BA"/>
    <w:rsid w:val="009F750D"/>
    <w:rsid w:val="00A04F8D"/>
    <w:rsid w:val="00A06277"/>
    <w:rsid w:val="00A079DC"/>
    <w:rsid w:val="00A111C2"/>
    <w:rsid w:val="00A2100E"/>
    <w:rsid w:val="00A338E7"/>
    <w:rsid w:val="00A35CAA"/>
    <w:rsid w:val="00A36E7F"/>
    <w:rsid w:val="00A41E65"/>
    <w:rsid w:val="00A43E0A"/>
    <w:rsid w:val="00A46116"/>
    <w:rsid w:val="00A530C7"/>
    <w:rsid w:val="00A55F5B"/>
    <w:rsid w:val="00A60185"/>
    <w:rsid w:val="00A6311A"/>
    <w:rsid w:val="00A661EA"/>
    <w:rsid w:val="00A73F85"/>
    <w:rsid w:val="00A82A9F"/>
    <w:rsid w:val="00A830E5"/>
    <w:rsid w:val="00A87135"/>
    <w:rsid w:val="00A93280"/>
    <w:rsid w:val="00A951EA"/>
    <w:rsid w:val="00A97B0E"/>
    <w:rsid w:val="00AA2548"/>
    <w:rsid w:val="00AA58C4"/>
    <w:rsid w:val="00AA7003"/>
    <w:rsid w:val="00AB11C8"/>
    <w:rsid w:val="00AB1B98"/>
    <w:rsid w:val="00AC08A8"/>
    <w:rsid w:val="00AD56C8"/>
    <w:rsid w:val="00AD58F2"/>
    <w:rsid w:val="00AE3A6E"/>
    <w:rsid w:val="00AF2ADA"/>
    <w:rsid w:val="00B0512A"/>
    <w:rsid w:val="00B05208"/>
    <w:rsid w:val="00B0529F"/>
    <w:rsid w:val="00B1418B"/>
    <w:rsid w:val="00B21195"/>
    <w:rsid w:val="00B24950"/>
    <w:rsid w:val="00B24B22"/>
    <w:rsid w:val="00B25310"/>
    <w:rsid w:val="00B32F8F"/>
    <w:rsid w:val="00B3492A"/>
    <w:rsid w:val="00B50E76"/>
    <w:rsid w:val="00B54DE9"/>
    <w:rsid w:val="00B553EC"/>
    <w:rsid w:val="00B55E3F"/>
    <w:rsid w:val="00B571ED"/>
    <w:rsid w:val="00B63C1E"/>
    <w:rsid w:val="00B711C2"/>
    <w:rsid w:val="00B7419D"/>
    <w:rsid w:val="00B84B60"/>
    <w:rsid w:val="00B93DD0"/>
    <w:rsid w:val="00B941E9"/>
    <w:rsid w:val="00B96F8B"/>
    <w:rsid w:val="00B97732"/>
    <w:rsid w:val="00B97F93"/>
    <w:rsid w:val="00BA5CBE"/>
    <w:rsid w:val="00BA65A8"/>
    <w:rsid w:val="00BA6D19"/>
    <w:rsid w:val="00BA7461"/>
    <w:rsid w:val="00BA7DA9"/>
    <w:rsid w:val="00BB000B"/>
    <w:rsid w:val="00BB2D8D"/>
    <w:rsid w:val="00BC0268"/>
    <w:rsid w:val="00BC4215"/>
    <w:rsid w:val="00BC4854"/>
    <w:rsid w:val="00BD1A6F"/>
    <w:rsid w:val="00BE6D3C"/>
    <w:rsid w:val="00BE7852"/>
    <w:rsid w:val="00BF3D35"/>
    <w:rsid w:val="00BF7CEE"/>
    <w:rsid w:val="00C03482"/>
    <w:rsid w:val="00C03880"/>
    <w:rsid w:val="00C135CF"/>
    <w:rsid w:val="00C166CC"/>
    <w:rsid w:val="00C212BE"/>
    <w:rsid w:val="00C2683F"/>
    <w:rsid w:val="00C27865"/>
    <w:rsid w:val="00C3184D"/>
    <w:rsid w:val="00C34740"/>
    <w:rsid w:val="00C4714E"/>
    <w:rsid w:val="00C50258"/>
    <w:rsid w:val="00C51CCA"/>
    <w:rsid w:val="00C5504F"/>
    <w:rsid w:val="00C57B55"/>
    <w:rsid w:val="00C63376"/>
    <w:rsid w:val="00C65C51"/>
    <w:rsid w:val="00C70C45"/>
    <w:rsid w:val="00C74F97"/>
    <w:rsid w:val="00C8276E"/>
    <w:rsid w:val="00C82CDD"/>
    <w:rsid w:val="00C842AC"/>
    <w:rsid w:val="00C876F6"/>
    <w:rsid w:val="00C96688"/>
    <w:rsid w:val="00C97C73"/>
    <w:rsid w:val="00CA0723"/>
    <w:rsid w:val="00CA40EC"/>
    <w:rsid w:val="00CA6450"/>
    <w:rsid w:val="00CB1690"/>
    <w:rsid w:val="00CC4030"/>
    <w:rsid w:val="00CC4365"/>
    <w:rsid w:val="00CC68FE"/>
    <w:rsid w:val="00CD11B0"/>
    <w:rsid w:val="00CD6C23"/>
    <w:rsid w:val="00CE0D72"/>
    <w:rsid w:val="00CE352E"/>
    <w:rsid w:val="00CE37F4"/>
    <w:rsid w:val="00CE71C2"/>
    <w:rsid w:val="00CF34E9"/>
    <w:rsid w:val="00CF42D5"/>
    <w:rsid w:val="00CF4EDA"/>
    <w:rsid w:val="00D021CB"/>
    <w:rsid w:val="00D10F1A"/>
    <w:rsid w:val="00D116F8"/>
    <w:rsid w:val="00D1687D"/>
    <w:rsid w:val="00D16BC4"/>
    <w:rsid w:val="00D17596"/>
    <w:rsid w:val="00D21D54"/>
    <w:rsid w:val="00D22640"/>
    <w:rsid w:val="00D26D3A"/>
    <w:rsid w:val="00D303D6"/>
    <w:rsid w:val="00D336B4"/>
    <w:rsid w:val="00D40D0E"/>
    <w:rsid w:val="00D45D12"/>
    <w:rsid w:val="00D45EE3"/>
    <w:rsid w:val="00D50618"/>
    <w:rsid w:val="00D509E9"/>
    <w:rsid w:val="00D53B1C"/>
    <w:rsid w:val="00D57D4A"/>
    <w:rsid w:val="00D57E6E"/>
    <w:rsid w:val="00D619D0"/>
    <w:rsid w:val="00D636E5"/>
    <w:rsid w:val="00D6659A"/>
    <w:rsid w:val="00D73281"/>
    <w:rsid w:val="00D73F6B"/>
    <w:rsid w:val="00D814EB"/>
    <w:rsid w:val="00D8476F"/>
    <w:rsid w:val="00D8616D"/>
    <w:rsid w:val="00D92EF4"/>
    <w:rsid w:val="00D97E51"/>
    <w:rsid w:val="00DA1B12"/>
    <w:rsid w:val="00DA54C9"/>
    <w:rsid w:val="00DA550E"/>
    <w:rsid w:val="00DA6739"/>
    <w:rsid w:val="00DA6CAE"/>
    <w:rsid w:val="00DA784D"/>
    <w:rsid w:val="00DB1A9E"/>
    <w:rsid w:val="00DB31D6"/>
    <w:rsid w:val="00DB4005"/>
    <w:rsid w:val="00DC34EB"/>
    <w:rsid w:val="00DC4BEC"/>
    <w:rsid w:val="00DE36D9"/>
    <w:rsid w:val="00DE4278"/>
    <w:rsid w:val="00DE6F1D"/>
    <w:rsid w:val="00DE7EF8"/>
    <w:rsid w:val="00DF1E5B"/>
    <w:rsid w:val="00DF2275"/>
    <w:rsid w:val="00DF3F5E"/>
    <w:rsid w:val="00DF5653"/>
    <w:rsid w:val="00E01380"/>
    <w:rsid w:val="00E03591"/>
    <w:rsid w:val="00E0596E"/>
    <w:rsid w:val="00E06757"/>
    <w:rsid w:val="00E06F66"/>
    <w:rsid w:val="00E21DD6"/>
    <w:rsid w:val="00E356E5"/>
    <w:rsid w:val="00E36F81"/>
    <w:rsid w:val="00E45765"/>
    <w:rsid w:val="00E5098C"/>
    <w:rsid w:val="00E50E7A"/>
    <w:rsid w:val="00E52A6E"/>
    <w:rsid w:val="00E60213"/>
    <w:rsid w:val="00E661B2"/>
    <w:rsid w:val="00E737B4"/>
    <w:rsid w:val="00E74D29"/>
    <w:rsid w:val="00E83C74"/>
    <w:rsid w:val="00E83CEE"/>
    <w:rsid w:val="00E91F18"/>
    <w:rsid w:val="00E9226D"/>
    <w:rsid w:val="00EA416C"/>
    <w:rsid w:val="00EA4CD7"/>
    <w:rsid w:val="00EA5941"/>
    <w:rsid w:val="00EB001B"/>
    <w:rsid w:val="00EB3E90"/>
    <w:rsid w:val="00EB60CE"/>
    <w:rsid w:val="00EB6AF3"/>
    <w:rsid w:val="00EB7D53"/>
    <w:rsid w:val="00EE3146"/>
    <w:rsid w:val="00EF3F34"/>
    <w:rsid w:val="00EF50BB"/>
    <w:rsid w:val="00EF53FF"/>
    <w:rsid w:val="00F00192"/>
    <w:rsid w:val="00F01DF6"/>
    <w:rsid w:val="00F0340D"/>
    <w:rsid w:val="00F059A6"/>
    <w:rsid w:val="00F1267B"/>
    <w:rsid w:val="00F16D9F"/>
    <w:rsid w:val="00F175BF"/>
    <w:rsid w:val="00F23756"/>
    <w:rsid w:val="00F2523A"/>
    <w:rsid w:val="00F25965"/>
    <w:rsid w:val="00F25FFA"/>
    <w:rsid w:val="00F310D2"/>
    <w:rsid w:val="00F35CAA"/>
    <w:rsid w:val="00F36F3D"/>
    <w:rsid w:val="00F40092"/>
    <w:rsid w:val="00F477BD"/>
    <w:rsid w:val="00F53491"/>
    <w:rsid w:val="00F61063"/>
    <w:rsid w:val="00F65A1C"/>
    <w:rsid w:val="00F66F50"/>
    <w:rsid w:val="00F82FF8"/>
    <w:rsid w:val="00F8330D"/>
    <w:rsid w:val="00F84305"/>
    <w:rsid w:val="00F8485C"/>
    <w:rsid w:val="00F85EB1"/>
    <w:rsid w:val="00F87149"/>
    <w:rsid w:val="00F87FFE"/>
    <w:rsid w:val="00F954C9"/>
    <w:rsid w:val="00FA4CF0"/>
    <w:rsid w:val="00FA61AA"/>
    <w:rsid w:val="00FA69A4"/>
    <w:rsid w:val="00FB1279"/>
    <w:rsid w:val="00FB1495"/>
    <w:rsid w:val="00FD1694"/>
    <w:rsid w:val="00FD2845"/>
    <w:rsid w:val="00FD7636"/>
    <w:rsid w:val="00FE24D0"/>
    <w:rsid w:val="00FE3229"/>
    <w:rsid w:val="00FE74C3"/>
    <w:rsid w:val="00FF215C"/>
    <w:rsid w:val="00FF2A19"/>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uiPriority="0"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rsid w:val="000E31C1"/>
    <w:rPr>
      <w:rFonts w:cs="Arial"/>
      <w:i/>
      <w:sz w:val="22"/>
      <w:szCs w:val="22"/>
      <w:lang w:eastAsia="en-US"/>
    </w:rPr>
  </w:style>
  <w:style w:type="paragraph" w:styleId="ListBullet">
    <w:name w:val="List Bullet"/>
    <w:basedOn w:val="Normal"/>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2E31A7"/>
    <w:rPr>
      <w:sz w:val="16"/>
      <w:szCs w:val="16"/>
    </w:rPr>
  </w:style>
  <w:style w:type="paragraph" w:styleId="CommentText">
    <w:name w:val="annotation text"/>
    <w:basedOn w:val="Normal"/>
    <w:link w:val="CommentTextChar"/>
    <w:uiPriority w:val="99"/>
    <w:semiHidden/>
    <w:unhideWhenUsed/>
    <w:rsid w:val="002E31A7"/>
    <w:pPr>
      <w:spacing w:line="240" w:lineRule="auto"/>
    </w:pPr>
    <w:rPr>
      <w:sz w:val="20"/>
      <w:szCs w:val="20"/>
    </w:rPr>
  </w:style>
  <w:style w:type="character" w:customStyle="1" w:styleId="CommentTextChar">
    <w:name w:val="Comment Text Char"/>
    <w:basedOn w:val="DefaultParagraphFont"/>
    <w:link w:val="CommentText"/>
    <w:uiPriority w:val="99"/>
    <w:semiHidden/>
    <w:rsid w:val="002E31A7"/>
    <w:rPr>
      <w:lang w:eastAsia="en-US"/>
    </w:rPr>
  </w:style>
  <w:style w:type="paragraph" w:styleId="CommentSubject">
    <w:name w:val="annotation subject"/>
    <w:basedOn w:val="CommentText"/>
    <w:next w:val="CommentText"/>
    <w:link w:val="CommentSubjectChar"/>
    <w:uiPriority w:val="99"/>
    <w:semiHidden/>
    <w:unhideWhenUsed/>
    <w:rsid w:val="002E31A7"/>
    <w:rPr>
      <w:b/>
      <w:bCs/>
    </w:rPr>
  </w:style>
  <w:style w:type="character" w:customStyle="1" w:styleId="CommentSubjectChar">
    <w:name w:val="Comment Subject Char"/>
    <w:basedOn w:val="CommentTextChar"/>
    <w:link w:val="CommentSubject"/>
    <w:uiPriority w:val="99"/>
    <w:semiHidden/>
    <w:rsid w:val="002E31A7"/>
    <w:rPr>
      <w:b/>
      <w:bCs/>
    </w:rPr>
  </w:style>
  <w:style w:type="table" w:styleId="LightShading-Accent3">
    <w:name w:val="Light Shading Accent 3"/>
    <w:basedOn w:val="TableNormal"/>
    <w:uiPriority w:val="60"/>
    <w:rsid w:val="0036479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Normal12pt">
    <w:name w:val="Normal 12 pt"/>
    <w:basedOn w:val="Normal"/>
    <w:link w:val="Normal12ptChar"/>
    <w:rsid w:val="00840620"/>
    <w:pPr>
      <w:spacing w:after="120" w:line="240" w:lineRule="auto"/>
    </w:pPr>
    <w:rPr>
      <w:rFonts w:ascii="Times New Roman" w:eastAsia="Times New Roman" w:hAnsi="Times New Roman"/>
      <w:sz w:val="24"/>
      <w:szCs w:val="20"/>
    </w:rPr>
  </w:style>
  <w:style w:type="character" w:customStyle="1" w:styleId="Normal12ptChar">
    <w:name w:val="Normal 12 pt Char"/>
    <w:basedOn w:val="DefaultParagraphFont"/>
    <w:link w:val="Normal12pt"/>
    <w:rsid w:val="00840620"/>
    <w:rPr>
      <w:rFonts w:ascii="Times New Roman" w:eastAsia="Times New Roman" w:hAnsi="Times New Roman"/>
      <w:sz w:val="24"/>
      <w:lang w:eastAsia="en-US"/>
    </w:rPr>
  </w:style>
  <w:style w:type="paragraph" w:styleId="BodyText3">
    <w:name w:val="Body Text 3"/>
    <w:basedOn w:val="Normal"/>
    <w:link w:val="BodyText3Char"/>
    <w:rsid w:val="00BC0268"/>
    <w:pPr>
      <w:tabs>
        <w:tab w:val="left" w:pos="1134"/>
      </w:tabs>
      <w:spacing w:after="0" w:line="240" w:lineRule="auto"/>
    </w:pPr>
    <w:rPr>
      <w:rFonts w:ascii="Times New Roman" w:eastAsia="Times New Roman" w:hAnsi="Times New Roman"/>
      <w:sz w:val="24"/>
      <w:szCs w:val="20"/>
    </w:rPr>
  </w:style>
  <w:style w:type="character" w:customStyle="1" w:styleId="BodyText3Char">
    <w:name w:val="Body Text 3 Char"/>
    <w:basedOn w:val="DefaultParagraphFont"/>
    <w:link w:val="BodyText3"/>
    <w:rsid w:val="00BC0268"/>
    <w:rPr>
      <w:rFonts w:ascii="Times New Roman" w:eastAsia="Times New Roman" w:hAnsi="Times New Roman"/>
      <w:sz w:val="24"/>
      <w:lang w:eastAsia="en-US"/>
    </w:rPr>
  </w:style>
  <w:style w:type="character" w:styleId="Hyperlink">
    <w:name w:val="Hyperlink"/>
    <w:basedOn w:val="DefaultParagraphFont"/>
    <w:uiPriority w:val="99"/>
    <w:unhideWhenUsed/>
    <w:rsid w:val="009F06F5"/>
    <w:rPr>
      <w:color w:val="0000FF" w:themeColor="hyperlink"/>
      <w:u w:val="single"/>
    </w:rPr>
  </w:style>
  <w:style w:type="paragraph" w:styleId="NoSpacing">
    <w:name w:val="No Spacing"/>
    <w:uiPriority w:val="1"/>
    <w:qFormat/>
    <w:rsid w:val="005D0335"/>
    <w:rPr>
      <w:rFonts w:asciiTheme="minorHAnsi" w:eastAsiaTheme="minorHAnsi" w:hAnsiTheme="minorHAnsi" w:cstheme="minorBidi"/>
      <w:sz w:val="22"/>
      <w:szCs w:val="22"/>
      <w:lang w:eastAsia="en-US"/>
    </w:rPr>
  </w:style>
  <w:style w:type="table" w:styleId="LightShading">
    <w:name w:val="Light Shading"/>
    <w:basedOn w:val="TableNormal"/>
    <w:uiPriority w:val="60"/>
    <w:rsid w:val="00E50E7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252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mlaw.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2425</Words>
  <Characters>13824</Characters>
  <Application>Microsoft Office Word</Application>
  <DocSecurity>0</DocSecurity>
  <Lines>115</Lines>
  <Paragraphs>32</Paragraphs>
  <ScaleCrop>false</ScaleCrop>
  <LinksUpToDate>false</LinksUpToDate>
  <CharactersWithSpaces>16217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Qualitative Threat Assessment Methodology</dc:title>
  <dc:creator/>
  <cp:lastModifiedBy/>
  <cp:revision>1</cp:revision>
  <dcterms:created xsi:type="dcterms:W3CDTF">2015-02-03T05:04:00Z</dcterms:created>
  <dcterms:modified xsi:type="dcterms:W3CDTF">2015-02-03T05:04:00Z</dcterms:modified>
</cp:coreProperties>
</file>