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F2CCA2" w14:textId="77777777" w:rsidR="00DF1A83" w:rsidRPr="00B0618E" w:rsidRDefault="00730D8D" w:rsidP="00DF1A83">
      <w:pPr>
        <w:pStyle w:val="BusinessUnitName"/>
        <w:framePr w:w="6124" w:h="284" w:hRule="exact" w:vSpace="1276" w:wrap="notBeside" w:vAnchor="page" w:hAnchor="margin" w:y="1135" w:anchorLock="1"/>
      </w:pPr>
      <w:bookmarkStart w:id="0" w:name="_GoBack"/>
      <w:bookmarkEnd w:id="0"/>
      <w:r w:rsidRPr="00B0618E">
        <w:t>CSIRO Land and Water</w:t>
      </w:r>
    </w:p>
    <w:p w14:paraId="25A13A98" w14:textId="77777777" w:rsidR="0038407D" w:rsidRPr="00B0618E" w:rsidRDefault="0038407D" w:rsidP="0038407D">
      <w:pPr>
        <w:pStyle w:val="BodyText"/>
        <w:framePr w:w="9809" w:h="1701" w:hRule="exact" w:wrap="notBeside" w:vAnchor="page" w:hAnchor="margin" w:y="14516" w:anchorLock="1"/>
      </w:pPr>
    </w:p>
    <w:p w14:paraId="3551A798" w14:textId="77777777" w:rsidR="0038407D" w:rsidRPr="00B0618E" w:rsidRDefault="0038407D" w:rsidP="0038407D">
      <w:pPr>
        <w:pStyle w:val="BodyText"/>
        <w:framePr w:w="9809" w:h="1701" w:hRule="exact" w:wrap="notBeside" w:vAnchor="page" w:hAnchor="margin" w:y="14516" w:anchorLock="1"/>
      </w:pPr>
    </w:p>
    <w:p w14:paraId="7F47ED60" w14:textId="77777777" w:rsidR="00A65678" w:rsidRPr="00B0618E" w:rsidRDefault="00730D8D" w:rsidP="00A65678">
      <w:pPr>
        <w:pStyle w:val="CoverTitle"/>
        <w:rPr>
          <w:color w:val="FFFFFF" w:themeColor="background1"/>
          <w:sz w:val="52"/>
        </w:rPr>
      </w:pPr>
      <w:r w:rsidRPr="00B0618E">
        <w:rPr>
          <w:noProof/>
          <w:color w:val="FFFFFF" w:themeColor="background1"/>
          <w:sz w:val="72"/>
        </w:rPr>
        <mc:AlternateContent>
          <mc:Choice Requires="wps">
            <w:drawing>
              <wp:anchor distT="0" distB="0" distL="114300" distR="114300" simplePos="0" relativeHeight="251721725" behindDoc="1" locked="1" layoutInCell="1" allowOverlap="1" wp14:anchorId="6BAEF157" wp14:editId="316D855A">
                <wp:simplePos x="0" y="0"/>
                <wp:positionH relativeFrom="page">
                  <wp:posOffset>-360045</wp:posOffset>
                </wp:positionH>
                <wp:positionV relativeFrom="page">
                  <wp:posOffset>-360045</wp:posOffset>
                </wp:positionV>
                <wp:extent cx="8143875" cy="8490585"/>
                <wp:effectExtent l="1905" t="1905" r="0" b="3810"/>
                <wp:wrapNone/>
                <wp:docPr id="53" name="Rectangle 123" descr="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43875" cy="849058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1F0E47" id="Rectangle 123" o:spid="_x0000_s1026" alt="background" style="position:absolute;margin-left:-28.35pt;margin-top:-28.35pt;width:641.25pt;height:668.55pt;z-index:-2515947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" fillcolor="#00a9ce [3204]" stroked="f">
                <w10:wrap anchorx="page" anchory="page"/>
                <w10:anchorlock/>
              </v:rect>
            </w:pict>
          </mc:Fallback>
        </mc:AlternateContent>
      </w:r>
      <w:r w:rsidRPr="00B0618E">
        <w:rPr>
          <w:noProof/>
          <w:color w:val="FFFFFF" w:themeColor="background1"/>
          <w:sz w:val="72"/>
        </w:rPr>
        <mc:AlternateContent>
          <mc:Choice Requires="wpg">
            <w:drawing>
              <wp:anchor distT="0" distB="0" distL="114300" distR="114300" simplePos="0" relativeHeight="251737088" behindDoc="1" locked="0" layoutInCell="1" allowOverlap="1" wp14:anchorId="51A19327" wp14:editId="3E97279E">
                <wp:simplePos x="0" y="0"/>
                <wp:positionH relativeFrom="column">
                  <wp:posOffset>-1245235</wp:posOffset>
                </wp:positionH>
                <wp:positionV relativeFrom="paragraph">
                  <wp:posOffset>-119380</wp:posOffset>
                </wp:positionV>
                <wp:extent cx="9381490" cy="10126345"/>
                <wp:effectExtent l="8255" t="1905" r="1905" b="0"/>
                <wp:wrapNone/>
                <wp:docPr id="22" name="Group 103"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381490" cy="10126345"/>
                          <a:chOff x="-827" y="918"/>
                          <a:chExt cx="14774" cy="15947"/>
                        </a:xfrm>
                      </wpg:grpSpPr>
                      <wpg:grpSp>
                        <wpg:cNvPr id="23" name="Group 99"/>
                        <wpg:cNvGrpSpPr>
                          <a:grpSpLocks/>
                        </wpg:cNvGrpSpPr>
                        <wpg:grpSpPr bwMode="auto">
                          <a:xfrm>
                            <a:off x="-262" y="918"/>
                            <a:ext cx="12749" cy="1610"/>
                            <a:chOff x="0" y="0"/>
                            <a:chExt cx="80962" cy="10223"/>
                          </a:xfrm>
                        </wpg:grpSpPr>
                        <wpg:grpSp>
                          <wpg:cNvPr id="24" name="Group 81"/>
                          <wpg:cNvGrpSpPr>
                            <a:grpSpLocks/>
                          </wpg:cNvGrpSpPr>
                          <wpg:grpSpPr bwMode="auto">
                            <a:xfrm>
                              <a:off x="0" y="0"/>
                              <a:ext cx="80962" cy="10223"/>
                              <a:chOff x="254" y="226"/>
                              <a:chExt cx="80962" cy="10223"/>
                            </a:xfrm>
                          </wpg:grpSpPr>
                          <wps:wsp>
                            <wps:cNvPr id="25" name="Freeform 70" descr="background"/>
                            <wps:cNvSpPr>
                              <a:spLocks noEditPoints="1"/>
                            </wps:cNvSpPr>
                            <wps:spPr bwMode="auto">
                              <a:xfrm>
                                <a:off x="254" y="226"/>
                                <a:ext cx="80962" cy="10224"/>
                              </a:xfrm>
                              <a:custGeom>
                                <a:avLst/>
                                <a:gdLst>
                                  <a:gd name="T0" fmla="*/ 2147483647 w 2488"/>
                                  <a:gd name="T1" fmla="*/ 2147483647 h 313"/>
                                  <a:gd name="T2" fmla="*/ 2147483647 w 2488"/>
                                  <a:gd name="T3" fmla="*/ 2147483647 h 313"/>
                                  <a:gd name="T4" fmla="*/ 2147483647 w 2488"/>
                                  <a:gd name="T5" fmla="*/ 2147483647 h 313"/>
                                  <a:gd name="T6" fmla="*/ 2147483647 w 2488"/>
                                  <a:gd name="T7" fmla="*/ 2147483647 h 313"/>
                                  <a:gd name="T8" fmla="*/ 2147483647 w 2488"/>
                                  <a:gd name="T9" fmla="*/ 2147483647 h 313"/>
                                  <a:gd name="T10" fmla="*/ 2147483647 w 2488"/>
                                  <a:gd name="T11" fmla="*/ 2147483647 h 313"/>
                                  <a:gd name="T12" fmla="*/ 2147483647 w 2488"/>
                                  <a:gd name="T13" fmla="*/ 0 h 313"/>
                                  <a:gd name="T14" fmla="*/ 0 w 2488"/>
                                  <a:gd name="T15" fmla="*/ 0 h 313"/>
                                  <a:gd name="T16" fmla="*/ 0 w 2488"/>
                                  <a:gd name="T17" fmla="*/ 2147483647 h 313"/>
                                  <a:gd name="T18" fmla="*/ 2147483647 w 2488"/>
                                  <a:gd name="T19" fmla="*/ 2147483647 h 313"/>
                                  <a:gd name="T20" fmla="*/ 2147483647 w 2488"/>
                                  <a:gd name="T21" fmla="*/ 2147483647 h 313"/>
                                  <a:gd name="T22" fmla="*/ 2147483647 w 2488"/>
                                  <a:gd name="T23" fmla="*/ 2147483647 h 313"/>
                                  <a:gd name="T24" fmla="*/ 2147483647 w 2488"/>
                                  <a:gd name="T25" fmla="*/ 2147483647 h 313"/>
                                  <a:gd name="T26" fmla="*/ 2147483647 w 2488"/>
                                  <a:gd name="T27" fmla="*/ 0 h 313"/>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Lst>
                                <a:ahLst/>
                                <a:cxnLst>
                                  <a:cxn ang="T28">
                                    <a:pos x="T0" y="T1"/>
                                  </a:cxn>
                                  <a:cxn ang="T29">
                                    <a:pos x="T2" y="T3"/>
                                  </a:cxn>
                                  <a:cxn ang="T30">
                                    <a:pos x="T4" y="T5"/>
                                  </a:cxn>
                                  <a:cxn ang="T31">
                                    <a:pos x="T6" y="T7"/>
                                  </a:cxn>
                                  <a:cxn ang="T32">
                                    <a:pos x="T8" y="T9"/>
                                  </a:cxn>
                                  <a:cxn ang="T33">
                                    <a:pos x="T10" y="T11"/>
                                  </a:cxn>
                                  <a:cxn ang="T34">
                                    <a:pos x="T12" y="T13"/>
                                  </a:cxn>
                                  <a:cxn ang="T35">
                                    <a:pos x="T14" y="T15"/>
                                  </a:cxn>
                                  <a:cxn ang="T36">
                                    <a:pos x="T16" y="T17"/>
                                  </a:cxn>
                                  <a:cxn ang="T37">
                                    <a:pos x="T18" y="T19"/>
                                  </a:cxn>
                                  <a:cxn ang="T38">
                                    <a:pos x="T20" y="T21"/>
                                  </a:cxn>
                                  <a:cxn ang="T39">
                                    <a:pos x="T22" y="T23"/>
                                  </a:cxn>
                                  <a:cxn ang="T40">
                                    <a:pos x="T24" y="T25"/>
                                  </a:cxn>
                                  <a:cxn ang="T41">
                                    <a:pos x="T26" y="T27"/>
                                  </a:cxn>
                                </a:cxnLst>
                                <a:rect l="0" t="0" r="r" b="b"/>
                                <a:pathLst>
                                  <a:path w="2488" h="313">
                                    <a:moveTo>
                                      <a:pt x="2488" y="21"/>
                                    </a:moveTo>
                                    <a:cubicBezTo>
                                      <a:pt x="2284" y="21"/>
                                      <a:pt x="2284" y="21"/>
                                      <a:pt x="2284" y="21"/>
                                    </a:cubicBezTo>
                                    <a:cubicBezTo>
                                      <a:pt x="1994" y="21"/>
                                      <a:pt x="1887" y="107"/>
                                      <a:pt x="1808" y="137"/>
                                    </a:cubicBezTo>
                                    <a:cubicBezTo>
                                      <a:pt x="1905" y="218"/>
                                      <a:pt x="2037" y="313"/>
                                      <a:pt x="2278" y="313"/>
                                    </a:cubicBezTo>
                                    <a:cubicBezTo>
                                      <a:pt x="2336" y="313"/>
                                      <a:pt x="2488" y="313"/>
                                      <a:pt x="2488" y="313"/>
                                    </a:cubicBezTo>
                                    <a:cubicBezTo>
                                      <a:pt x="2488" y="21"/>
                                      <a:pt x="2488" y="21"/>
                                      <a:pt x="2488" y="21"/>
                                    </a:cubicBezTo>
                                    <a:moveTo>
                                      <a:pt x="1354" y="0"/>
                                    </a:moveTo>
                                    <a:cubicBezTo>
                                      <a:pt x="0" y="0"/>
                                      <a:pt x="0" y="0"/>
                                      <a:pt x="0" y="0"/>
                                    </a:cubicBezTo>
                                    <a:cubicBezTo>
                                      <a:pt x="0" y="157"/>
                                      <a:pt x="0" y="157"/>
                                      <a:pt x="0" y="157"/>
                                    </a:cubicBezTo>
                                    <a:cubicBezTo>
                                      <a:pt x="1524" y="157"/>
                                      <a:pt x="1524" y="157"/>
                                      <a:pt x="1524" y="157"/>
                                    </a:cubicBezTo>
                                    <a:cubicBezTo>
                                      <a:pt x="1709" y="157"/>
                                      <a:pt x="1769" y="152"/>
                                      <a:pt x="1808" y="137"/>
                                    </a:cubicBezTo>
                                    <a:cubicBezTo>
                                      <a:pt x="1808" y="137"/>
                                      <a:pt x="1808" y="137"/>
                                      <a:pt x="1808" y="137"/>
                                    </a:cubicBezTo>
                                    <a:cubicBezTo>
                                      <a:pt x="1808" y="137"/>
                                      <a:pt x="1808" y="137"/>
                                      <a:pt x="1808" y="137"/>
                                    </a:cubicBezTo>
                                    <a:cubicBezTo>
                                      <a:pt x="1710" y="57"/>
                                      <a:pt x="1548" y="0"/>
                                      <a:pt x="1354" y="0"/>
                                    </a:cubicBezTo>
                                  </a:path>
                                </a:pathLst>
                              </a:custGeom>
                              <a:solidFill>
                                <a:schemeClr val="accent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Freeform 71" descr="background"/>
                            <wps:cNvSpPr>
                              <a:spLocks/>
                            </wps:cNvSpPr>
                            <wps:spPr bwMode="auto">
                              <a:xfrm>
                                <a:off x="254" y="912"/>
                                <a:ext cx="58837" cy="4442"/>
                              </a:xfrm>
                              <a:custGeom>
                                <a:avLst/>
                                <a:gdLst>
                                  <a:gd name="T0" fmla="*/ 2147483647 w 1808"/>
                                  <a:gd name="T1" fmla="*/ 2147483647 h 136"/>
                                  <a:gd name="T2" fmla="*/ 2147483647 w 1808"/>
                                  <a:gd name="T3" fmla="*/ 0 h 136"/>
                                  <a:gd name="T4" fmla="*/ 0 w 1808"/>
                                  <a:gd name="T5" fmla="*/ 0 h 136"/>
                                  <a:gd name="T6" fmla="*/ 0 w 1808"/>
                                  <a:gd name="T7" fmla="*/ 2147483647 h 136"/>
                                  <a:gd name="T8" fmla="*/ 2147483647 w 1808"/>
                                  <a:gd name="T9" fmla="*/ 2147483647 h 136"/>
                                  <a:gd name="T10" fmla="*/ 2147483647 w 1808"/>
                                  <a:gd name="T11" fmla="*/ 2147483647 h 13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08" h="136">
                                    <a:moveTo>
                                      <a:pt x="1808" y="116"/>
                                    </a:moveTo>
                                    <a:cubicBezTo>
                                      <a:pt x="1698" y="54"/>
                                      <a:pt x="1548" y="0"/>
                                      <a:pt x="1354" y="0"/>
                                    </a:cubicBezTo>
                                    <a:cubicBezTo>
                                      <a:pt x="0" y="0"/>
                                      <a:pt x="0" y="0"/>
                                      <a:pt x="0" y="0"/>
                                    </a:cubicBezTo>
                                    <a:cubicBezTo>
                                      <a:pt x="0" y="136"/>
                                      <a:pt x="0" y="136"/>
                                      <a:pt x="0" y="136"/>
                                    </a:cubicBezTo>
                                    <a:cubicBezTo>
                                      <a:pt x="1524" y="136"/>
                                      <a:pt x="1524" y="136"/>
                                      <a:pt x="1524" y="136"/>
                                    </a:cubicBezTo>
                                    <a:cubicBezTo>
                                      <a:pt x="1709" y="136"/>
                                      <a:pt x="1769" y="131"/>
                                      <a:pt x="1808" y="116"/>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27" name="Group 105"/>
                            <wpg:cNvGrpSpPr>
                              <a:grpSpLocks/>
                            </wpg:cNvGrpSpPr>
                            <wpg:grpSpPr bwMode="auto">
                              <a:xfrm>
                                <a:off x="9186" y="3326"/>
                                <a:ext cx="8853" cy="1049"/>
                                <a:chOff x="6800" y="3263"/>
                                <a:chExt cx="8851" cy="1047"/>
                              </a:xfrm>
                            </wpg:grpSpPr>
                            <wps:wsp>
                              <wps:cNvPr id="28" name="Freeform 72" descr="background"/>
                              <wps:cNvSpPr>
                                <a:spLocks/>
                              </wps:cNvSpPr>
                              <wps:spPr bwMode="auto">
                                <a:xfrm>
                                  <a:off x="6800" y="3556"/>
                                  <a:ext cx="1042" cy="717"/>
                                </a:xfrm>
                                <a:custGeom>
                                  <a:avLst/>
                                  <a:gdLst>
                                    <a:gd name="T0" fmla="*/ 110421359 w 32"/>
                                    <a:gd name="T1" fmla="*/ 0 h 22"/>
                                    <a:gd name="T2" fmla="*/ 89717600 w 32"/>
                                    <a:gd name="T3" fmla="*/ 76215829 h 22"/>
                                    <a:gd name="T4" fmla="*/ 69013874 w 32"/>
                                    <a:gd name="T5" fmla="*/ 76215829 h 22"/>
                                    <a:gd name="T6" fmla="*/ 58660953 w 32"/>
                                    <a:gd name="T7" fmla="*/ 31178875 h 22"/>
                                    <a:gd name="T8" fmla="*/ 55210663 w 32"/>
                                    <a:gd name="T9" fmla="*/ 24250341 h 22"/>
                                    <a:gd name="T10" fmla="*/ 55210663 w 32"/>
                                    <a:gd name="T11" fmla="*/ 24250341 h 22"/>
                                    <a:gd name="T12" fmla="*/ 51760406 w 32"/>
                                    <a:gd name="T13" fmla="*/ 31178875 h 22"/>
                                    <a:gd name="T14" fmla="*/ 41408526 w 32"/>
                                    <a:gd name="T15" fmla="*/ 76215829 h 22"/>
                                    <a:gd name="T16" fmla="*/ 20703726 w 32"/>
                                    <a:gd name="T17" fmla="*/ 76215829 h 22"/>
                                    <a:gd name="T18" fmla="*/ 0 w 32"/>
                                    <a:gd name="T19" fmla="*/ 0 h 22"/>
                                    <a:gd name="T20" fmla="*/ 17253469 w 32"/>
                                    <a:gd name="T21" fmla="*/ 0 h 22"/>
                                    <a:gd name="T22" fmla="*/ 27605348 w 32"/>
                                    <a:gd name="T23" fmla="*/ 45036954 h 22"/>
                                    <a:gd name="T24" fmla="*/ 31055605 w 32"/>
                                    <a:gd name="T25" fmla="*/ 58893989 h 22"/>
                                    <a:gd name="T26" fmla="*/ 31055605 w 32"/>
                                    <a:gd name="T27" fmla="*/ 58893989 h 22"/>
                                    <a:gd name="T28" fmla="*/ 34506937 w 32"/>
                                    <a:gd name="T29" fmla="*/ 45036954 h 22"/>
                                    <a:gd name="T30" fmla="*/ 44858816 w 32"/>
                                    <a:gd name="T31" fmla="*/ 0 h 22"/>
                                    <a:gd name="T32" fmla="*/ 65562542 w 32"/>
                                    <a:gd name="T33" fmla="*/ 0 h 22"/>
                                    <a:gd name="T34" fmla="*/ 79365754 w 32"/>
                                    <a:gd name="T35" fmla="*/ 48500683 h 22"/>
                                    <a:gd name="T36" fmla="*/ 79365754 w 32"/>
                                    <a:gd name="T37" fmla="*/ 58893989 h 22"/>
                                    <a:gd name="T38" fmla="*/ 79365754 w 32"/>
                                    <a:gd name="T39" fmla="*/ 58893989 h 22"/>
                                    <a:gd name="T40" fmla="*/ 82816011 w 32"/>
                                    <a:gd name="T41" fmla="*/ 45036954 h 22"/>
                                    <a:gd name="T42" fmla="*/ 93167890 w 32"/>
                                    <a:gd name="T43" fmla="*/ 0 h 22"/>
                                    <a:gd name="T44" fmla="*/ 110421359 w 32"/>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2" h="22">
                                      <a:moveTo>
                                        <a:pt x="32"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5" y="9"/>
                                        <a:pt x="15" y="9"/>
                                        <a:pt x="15" y="9"/>
                                      </a:cubicBezTo>
                                      <a:cubicBezTo>
                                        <a:pt x="12" y="22"/>
                                        <a:pt x="12" y="22"/>
                                        <a:pt x="12" y="22"/>
                                      </a:cubicBezTo>
                                      <a:cubicBezTo>
                                        <a:pt x="6" y="22"/>
                                        <a:pt x="6" y="22"/>
                                        <a:pt x="6" y="22"/>
                                      </a:cubicBezTo>
                                      <a:cubicBezTo>
                                        <a:pt x="3" y="15"/>
                                        <a:pt x="1" y="8"/>
                                        <a:pt x="0" y="0"/>
                                      </a:cubicBezTo>
                                      <a:cubicBezTo>
                                        <a:pt x="5" y="0"/>
                                        <a:pt x="5" y="0"/>
                                        <a:pt x="5" y="0"/>
                                      </a:cubicBezTo>
                                      <a:cubicBezTo>
                                        <a:pt x="6" y="5"/>
                                        <a:pt x="7" y="9"/>
                                        <a:pt x="8" y="13"/>
                                      </a:cubicBezTo>
                                      <a:cubicBezTo>
                                        <a:pt x="9" y="14"/>
                                        <a:pt x="9" y="16"/>
                                        <a:pt x="9" y="17"/>
                                      </a:cubicBezTo>
                                      <a:cubicBezTo>
                                        <a:pt x="9" y="17"/>
                                        <a:pt x="9" y="17"/>
                                        <a:pt x="9" y="17"/>
                                      </a:cubicBezTo>
                                      <a:cubicBezTo>
                                        <a:pt x="10" y="13"/>
                                        <a:pt x="10" y="13"/>
                                        <a:pt x="10" y="13"/>
                                      </a:cubicBezTo>
                                      <a:cubicBezTo>
                                        <a:pt x="13" y="0"/>
                                        <a:pt x="13" y="0"/>
                                        <a:pt x="13" y="0"/>
                                      </a:cubicBezTo>
                                      <a:cubicBezTo>
                                        <a:pt x="19" y="0"/>
                                        <a:pt x="19" y="0"/>
                                        <a:pt x="19" y="0"/>
                                      </a:cubicBezTo>
                                      <a:cubicBezTo>
                                        <a:pt x="23" y="14"/>
                                        <a:pt x="23" y="14"/>
                                        <a:pt x="23" y="14"/>
                                      </a:cubicBezTo>
                                      <a:cubicBezTo>
                                        <a:pt x="23" y="17"/>
                                        <a:pt x="23" y="17"/>
                                        <a:pt x="23" y="17"/>
                                      </a:cubicBezTo>
                                      <a:cubicBezTo>
                                        <a:pt x="23" y="17"/>
                                        <a:pt x="23" y="17"/>
                                        <a:pt x="23" y="17"/>
                                      </a:cubicBezTo>
                                      <a:cubicBezTo>
                                        <a:pt x="24" y="16"/>
                                        <a:pt x="24" y="14"/>
                                        <a:pt x="24" y="13"/>
                                      </a:cubicBezTo>
                                      <a:cubicBezTo>
                                        <a:pt x="25" y="9"/>
                                        <a:pt x="26" y="5"/>
                                        <a:pt x="27" y="0"/>
                                      </a:cubicBezTo>
                                      <a:lnTo>
                                        <a:pt x="32"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 name="Freeform 73" descr="background"/>
                              <wps:cNvSpPr>
                                <a:spLocks/>
                              </wps:cNvSpPr>
                              <wps:spPr bwMode="auto">
                                <a:xfrm>
                                  <a:off x="7969" y="3556"/>
                                  <a:ext cx="1073" cy="717"/>
                                </a:xfrm>
                                <a:custGeom>
                                  <a:avLst/>
                                  <a:gdLst>
                                    <a:gd name="T0" fmla="*/ 113457167 w 33"/>
                                    <a:gd name="T1" fmla="*/ 0 h 22"/>
                                    <a:gd name="T2" fmla="*/ 89390297 w 33"/>
                                    <a:gd name="T3" fmla="*/ 76215829 h 22"/>
                                    <a:gd name="T4" fmla="*/ 6876151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1257533 w 33"/>
                                    <a:gd name="T15" fmla="*/ 76215829 h 22"/>
                                    <a:gd name="T16" fmla="*/ 20628783 w 33"/>
                                    <a:gd name="T17" fmla="*/ 76215829 h 22"/>
                                    <a:gd name="T18" fmla="*/ 0 w 33"/>
                                    <a:gd name="T19" fmla="*/ 0 h 22"/>
                                    <a:gd name="T20" fmla="*/ 17190631 w 33"/>
                                    <a:gd name="T21" fmla="*/ 0 h 22"/>
                                    <a:gd name="T22" fmla="*/ 30943141 w 33"/>
                                    <a:gd name="T23" fmla="*/ 45036954 h 22"/>
                                    <a:gd name="T24" fmla="*/ 30943141 w 33"/>
                                    <a:gd name="T25" fmla="*/ 58893989 h 22"/>
                                    <a:gd name="T26" fmla="*/ 30943141 w 33"/>
                                    <a:gd name="T27" fmla="*/ 58893989 h 22"/>
                                    <a:gd name="T28" fmla="*/ 34381294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6" y="22"/>
                                      </a:cubicBezTo>
                                      <a:cubicBezTo>
                                        <a:pt x="20" y="22"/>
                                        <a:pt x="20" y="22"/>
                                        <a:pt x="20" y="22"/>
                                      </a:cubicBezTo>
                                      <a:cubicBezTo>
                                        <a:pt x="17" y="9"/>
                                        <a:pt x="17" y="9"/>
                                        <a:pt x="17" y="9"/>
                                      </a:cubicBezTo>
                                      <a:cubicBezTo>
                                        <a:pt x="16" y="7"/>
                                        <a:pt x="16" y="7"/>
                                        <a:pt x="16" y="7"/>
                                      </a:cubicBezTo>
                                      <a:cubicBezTo>
                                        <a:pt x="16" y="7"/>
                                        <a:pt x="16" y="7"/>
                                        <a:pt x="16" y="7"/>
                                      </a:cubicBezTo>
                                      <a:cubicBezTo>
                                        <a:pt x="16" y="9"/>
                                        <a:pt x="16" y="9"/>
                                        <a:pt x="16" y="9"/>
                                      </a:cubicBezTo>
                                      <a:cubicBezTo>
                                        <a:pt x="12" y="22"/>
                                        <a:pt x="12" y="22"/>
                                        <a:pt x="12" y="22"/>
                                      </a:cubicBezTo>
                                      <a:cubicBezTo>
                                        <a:pt x="6" y="22"/>
                                        <a:pt x="6" y="22"/>
                                        <a:pt x="6" y="22"/>
                                      </a:cubicBezTo>
                                      <a:cubicBezTo>
                                        <a:pt x="4" y="15"/>
                                        <a:pt x="1" y="8"/>
                                        <a:pt x="0" y="0"/>
                                      </a:cubicBezTo>
                                      <a:cubicBezTo>
                                        <a:pt x="5" y="0"/>
                                        <a:pt x="5" y="0"/>
                                        <a:pt x="5" y="0"/>
                                      </a:cubicBezTo>
                                      <a:cubicBezTo>
                                        <a:pt x="6" y="5"/>
                                        <a:pt x="7" y="9"/>
                                        <a:pt x="9" y="13"/>
                                      </a:cubicBezTo>
                                      <a:cubicBezTo>
                                        <a:pt x="9" y="14"/>
                                        <a:pt x="9" y="16"/>
                                        <a:pt x="9" y="17"/>
                                      </a:cubicBezTo>
                                      <a:cubicBezTo>
                                        <a:pt x="9" y="17"/>
                                        <a:pt x="9" y="17"/>
                                        <a:pt x="9" y="17"/>
                                      </a:cubicBezTo>
                                      <a:cubicBezTo>
                                        <a:pt x="10" y="13"/>
                                        <a:pt x="10" y="13"/>
                                        <a:pt x="10"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4"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Freeform 74" descr="background"/>
                              <wps:cNvSpPr>
                                <a:spLocks/>
                              </wps:cNvSpPr>
                              <wps:spPr bwMode="auto">
                                <a:xfrm>
                                  <a:off x="9144" y="3556"/>
                                  <a:ext cx="1073" cy="717"/>
                                </a:xfrm>
                                <a:custGeom>
                                  <a:avLst/>
                                  <a:gdLst>
                                    <a:gd name="T0" fmla="*/ 113457167 w 33"/>
                                    <a:gd name="T1" fmla="*/ 0 h 22"/>
                                    <a:gd name="T2" fmla="*/ 92828416 w 33"/>
                                    <a:gd name="T3" fmla="*/ 76215829 h 22"/>
                                    <a:gd name="T4" fmla="*/ 72199634 w 33"/>
                                    <a:gd name="T5" fmla="*/ 76215829 h 22"/>
                                    <a:gd name="T6" fmla="*/ 58447123 w 33"/>
                                    <a:gd name="T7" fmla="*/ 31178875 h 22"/>
                                    <a:gd name="T8" fmla="*/ 55010044 w 33"/>
                                    <a:gd name="T9" fmla="*/ 24250341 h 22"/>
                                    <a:gd name="T10" fmla="*/ 55010044 w 33"/>
                                    <a:gd name="T11" fmla="*/ 24250341 h 22"/>
                                    <a:gd name="T12" fmla="*/ 55010044 w 33"/>
                                    <a:gd name="T13" fmla="*/ 31178875 h 22"/>
                                    <a:gd name="T14" fmla="*/ 44695685 w 33"/>
                                    <a:gd name="T15" fmla="*/ 76215829 h 22"/>
                                    <a:gd name="T16" fmla="*/ 20628783 w 33"/>
                                    <a:gd name="T17" fmla="*/ 76215829 h 22"/>
                                    <a:gd name="T18" fmla="*/ 0 w 33"/>
                                    <a:gd name="T19" fmla="*/ 0 h 22"/>
                                    <a:gd name="T20" fmla="*/ 20628783 w 33"/>
                                    <a:gd name="T21" fmla="*/ 0 h 22"/>
                                    <a:gd name="T22" fmla="*/ 30943141 w 33"/>
                                    <a:gd name="T23" fmla="*/ 45036954 h 22"/>
                                    <a:gd name="T24" fmla="*/ 34381294 w 33"/>
                                    <a:gd name="T25" fmla="*/ 58893989 h 22"/>
                                    <a:gd name="T26" fmla="*/ 34381294 w 33"/>
                                    <a:gd name="T27" fmla="*/ 58893989 h 22"/>
                                    <a:gd name="T28" fmla="*/ 37819413 w 33"/>
                                    <a:gd name="T29" fmla="*/ 45036954 h 22"/>
                                    <a:gd name="T30" fmla="*/ 48133805 w 33"/>
                                    <a:gd name="T31" fmla="*/ 0 h 22"/>
                                    <a:gd name="T32" fmla="*/ 65323395 w 33"/>
                                    <a:gd name="T33" fmla="*/ 0 h 22"/>
                                    <a:gd name="T34" fmla="*/ 79075906 w 33"/>
                                    <a:gd name="T35" fmla="*/ 48500683 h 22"/>
                                    <a:gd name="T36" fmla="*/ 82514025 w 33"/>
                                    <a:gd name="T37" fmla="*/ 58893989 h 22"/>
                                    <a:gd name="T38" fmla="*/ 82514025 w 33"/>
                                    <a:gd name="T39" fmla="*/ 58893989 h 22"/>
                                    <a:gd name="T40" fmla="*/ 85952145 w 33"/>
                                    <a:gd name="T41" fmla="*/ 45036954 h 22"/>
                                    <a:gd name="T42" fmla="*/ 96266536 w 33"/>
                                    <a:gd name="T43" fmla="*/ 0 h 22"/>
                                    <a:gd name="T44" fmla="*/ 113457167 w 33"/>
                                    <a:gd name="T45" fmla="*/ 0 h 22"/>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0" t="0" r="r" b="b"/>
                                  <a:pathLst>
                                    <a:path w="33" h="22">
                                      <a:moveTo>
                                        <a:pt x="33" y="0"/>
                                      </a:moveTo>
                                      <a:cubicBezTo>
                                        <a:pt x="31" y="8"/>
                                        <a:pt x="29" y="15"/>
                                        <a:pt x="27" y="22"/>
                                      </a:cubicBezTo>
                                      <a:cubicBezTo>
                                        <a:pt x="21" y="22"/>
                                        <a:pt x="21" y="22"/>
                                        <a:pt x="21" y="22"/>
                                      </a:cubicBezTo>
                                      <a:cubicBezTo>
                                        <a:pt x="17" y="9"/>
                                        <a:pt x="17" y="9"/>
                                        <a:pt x="17" y="9"/>
                                      </a:cubicBezTo>
                                      <a:cubicBezTo>
                                        <a:pt x="16" y="7"/>
                                        <a:pt x="16" y="7"/>
                                        <a:pt x="16" y="7"/>
                                      </a:cubicBezTo>
                                      <a:cubicBezTo>
                                        <a:pt x="16" y="7"/>
                                        <a:pt x="16" y="7"/>
                                        <a:pt x="16" y="7"/>
                                      </a:cubicBezTo>
                                      <a:cubicBezTo>
                                        <a:pt x="16" y="9"/>
                                        <a:pt x="16" y="9"/>
                                        <a:pt x="16" y="9"/>
                                      </a:cubicBezTo>
                                      <a:cubicBezTo>
                                        <a:pt x="13" y="22"/>
                                        <a:pt x="13" y="22"/>
                                        <a:pt x="13" y="22"/>
                                      </a:cubicBezTo>
                                      <a:cubicBezTo>
                                        <a:pt x="6" y="22"/>
                                        <a:pt x="6" y="22"/>
                                        <a:pt x="6" y="22"/>
                                      </a:cubicBezTo>
                                      <a:cubicBezTo>
                                        <a:pt x="4" y="15"/>
                                        <a:pt x="2" y="8"/>
                                        <a:pt x="0" y="0"/>
                                      </a:cubicBezTo>
                                      <a:cubicBezTo>
                                        <a:pt x="6" y="0"/>
                                        <a:pt x="6" y="0"/>
                                        <a:pt x="6" y="0"/>
                                      </a:cubicBezTo>
                                      <a:cubicBezTo>
                                        <a:pt x="7" y="5"/>
                                        <a:pt x="8" y="9"/>
                                        <a:pt x="9" y="13"/>
                                      </a:cubicBezTo>
                                      <a:cubicBezTo>
                                        <a:pt x="9" y="14"/>
                                        <a:pt x="9" y="16"/>
                                        <a:pt x="10" y="17"/>
                                      </a:cubicBezTo>
                                      <a:cubicBezTo>
                                        <a:pt x="10" y="17"/>
                                        <a:pt x="10" y="17"/>
                                        <a:pt x="10" y="17"/>
                                      </a:cubicBezTo>
                                      <a:cubicBezTo>
                                        <a:pt x="11" y="13"/>
                                        <a:pt x="11" y="13"/>
                                        <a:pt x="11" y="13"/>
                                      </a:cubicBezTo>
                                      <a:cubicBezTo>
                                        <a:pt x="14" y="0"/>
                                        <a:pt x="14" y="0"/>
                                        <a:pt x="14" y="0"/>
                                      </a:cubicBezTo>
                                      <a:cubicBezTo>
                                        <a:pt x="19" y="0"/>
                                        <a:pt x="19" y="0"/>
                                        <a:pt x="19" y="0"/>
                                      </a:cubicBezTo>
                                      <a:cubicBezTo>
                                        <a:pt x="23" y="14"/>
                                        <a:pt x="23" y="14"/>
                                        <a:pt x="23" y="14"/>
                                      </a:cubicBezTo>
                                      <a:cubicBezTo>
                                        <a:pt x="24" y="17"/>
                                        <a:pt x="24" y="17"/>
                                        <a:pt x="24" y="17"/>
                                      </a:cubicBezTo>
                                      <a:cubicBezTo>
                                        <a:pt x="24" y="17"/>
                                        <a:pt x="24" y="17"/>
                                        <a:pt x="24" y="17"/>
                                      </a:cubicBezTo>
                                      <a:cubicBezTo>
                                        <a:pt x="24" y="16"/>
                                        <a:pt x="25" y="14"/>
                                        <a:pt x="25" y="13"/>
                                      </a:cubicBezTo>
                                      <a:cubicBezTo>
                                        <a:pt x="26" y="9"/>
                                        <a:pt x="27" y="5"/>
                                        <a:pt x="28" y="0"/>
                                      </a:cubicBezTo>
                                      <a:lnTo>
                                        <a:pt x="33"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 name="Oval 75" descr="background"/>
                              <wps:cNvSpPr>
                                <a:spLocks noChangeArrowheads="1"/>
                              </wps:cNvSpPr>
                              <wps:spPr bwMode="auto">
                                <a:xfrm>
                                  <a:off x="10312" y="4044"/>
                                  <a:ext cx="229" cy="229"/>
                                </a:xfrm>
                                <a:prstGeom prst="ellipse">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Freeform 76" descr="background"/>
                              <wps:cNvSpPr>
                                <a:spLocks/>
                              </wps:cNvSpPr>
                              <wps:spPr bwMode="auto">
                                <a:xfrm>
                                  <a:off x="10674" y="3556"/>
                                  <a:ext cx="552" cy="717"/>
                                </a:xfrm>
                                <a:custGeom>
                                  <a:avLst/>
                                  <a:gdLst>
                                    <a:gd name="T0" fmla="*/ 58246975 w 17"/>
                                    <a:gd name="T1" fmla="*/ 72751024 h 22"/>
                                    <a:gd name="T2" fmla="*/ 34262867 w 17"/>
                                    <a:gd name="T3" fmla="*/ 76215829 h 22"/>
                                    <a:gd name="T4" fmla="*/ 0 w 17"/>
                                    <a:gd name="T5" fmla="*/ 41572181 h 22"/>
                                    <a:gd name="T6" fmla="*/ 37689456 w 17"/>
                                    <a:gd name="T7" fmla="*/ 0 h 22"/>
                                    <a:gd name="T8" fmla="*/ 54820354 w 17"/>
                                    <a:gd name="T9" fmla="*/ 3464805 h 22"/>
                                    <a:gd name="T10" fmla="*/ 51394804 w 17"/>
                                    <a:gd name="T11" fmla="*/ 17321840 h 22"/>
                                    <a:gd name="T12" fmla="*/ 37689456 w 17"/>
                                    <a:gd name="T13" fmla="*/ 13857035 h 22"/>
                                    <a:gd name="T14" fmla="*/ 20557519 w 17"/>
                                    <a:gd name="T15" fmla="*/ 38108452 h 22"/>
                                    <a:gd name="T16" fmla="*/ 37689456 w 17"/>
                                    <a:gd name="T17" fmla="*/ 62358794 h 22"/>
                                    <a:gd name="T18" fmla="*/ 54820354 w 17"/>
                                    <a:gd name="T19" fmla="*/ 58893989 h 22"/>
                                    <a:gd name="T20" fmla="*/ 58246975 w 17"/>
                                    <a:gd name="T21" fmla="*/ 72751024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7" h="22">
                                      <a:moveTo>
                                        <a:pt x="17" y="21"/>
                                      </a:moveTo>
                                      <a:cubicBezTo>
                                        <a:pt x="14" y="22"/>
                                        <a:pt x="12" y="22"/>
                                        <a:pt x="10" y="22"/>
                                      </a:cubicBezTo>
                                      <a:cubicBezTo>
                                        <a:pt x="3" y="22"/>
                                        <a:pt x="0" y="18"/>
                                        <a:pt x="0" y="12"/>
                                      </a:cubicBezTo>
                                      <a:cubicBezTo>
                                        <a:pt x="0" y="4"/>
                                        <a:pt x="5" y="0"/>
                                        <a:pt x="11" y="0"/>
                                      </a:cubicBezTo>
                                      <a:cubicBezTo>
                                        <a:pt x="13" y="0"/>
                                        <a:pt x="15" y="0"/>
                                        <a:pt x="16" y="1"/>
                                      </a:cubicBezTo>
                                      <a:cubicBezTo>
                                        <a:pt x="15" y="5"/>
                                        <a:pt x="15" y="5"/>
                                        <a:pt x="15" y="5"/>
                                      </a:cubicBezTo>
                                      <a:cubicBezTo>
                                        <a:pt x="14" y="5"/>
                                        <a:pt x="13" y="4"/>
                                        <a:pt x="11" y="4"/>
                                      </a:cubicBezTo>
                                      <a:cubicBezTo>
                                        <a:pt x="8" y="4"/>
                                        <a:pt x="6" y="7"/>
                                        <a:pt x="6" y="11"/>
                                      </a:cubicBezTo>
                                      <a:cubicBezTo>
                                        <a:pt x="6" y="16"/>
                                        <a:pt x="8" y="18"/>
                                        <a:pt x="11" y="18"/>
                                      </a:cubicBezTo>
                                      <a:cubicBezTo>
                                        <a:pt x="13" y="18"/>
                                        <a:pt x="14" y="18"/>
                                        <a:pt x="16" y="17"/>
                                      </a:cubicBezTo>
                                      <a:lnTo>
                                        <a:pt x="17" y="21"/>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 name="Freeform 77" descr="background"/>
                              <wps:cNvSpPr>
                                <a:spLocks/>
                              </wps:cNvSpPr>
                              <wps:spPr bwMode="auto">
                                <a:xfrm>
                                  <a:off x="11322" y="3556"/>
                                  <a:ext cx="520" cy="755"/>
                                </a:xfrm>
                                <a:custGeom>
                                  <a:avLst/>
                                  <a:gdLst>
                                    <a:gd name="T0" fmla="*/ 24062448 w 16"/>
                                    <a:gd name="T1" fmla="*/ 81425207 h 23"/>
                                    <a:gd name="T2" fmla="*/ 0 w 16"/>
                                    <a:gd name="T3" fmla="*/ 77885472 h 23"/>
                                    <a:gd name="T4" fmla="*/ 3437038 w 16"/>
                                    <a:gd name="T5" fmla="*/ 60183446 h 23"/>
                                    <a:gd name="T6" fmla="*/ 24062448 w 16"/>
                                    <a:gd name="T7" fmla="*/ 63724265 h 23"/>
                                    <a:gd name="T8" fmla="*/ 34374600 w 16"/>
                                    <a:gd name="T9" fmla="*/ 56643678 h 23"/>
                                    <a:gd name="T10" fmla="*/ 20624338 w 16"/>
                                    <a:gd name="T11" fmla="*/ 46023323 h 23"/>
                                    <a:gd name="T12" fmla="*/ 3437038 w 16"/>
                                    <a:gd name="T13" fmla="*/ 24781529 h 23"/>
                                    <a:gd name="T14" fmla="*/ 30936523 w 16"/>
                                    <a:gd name="T15" fmla="*/ 0 h 23"/>
                                    <a:gd name="T16" fmla="*/ 48123823 w 16"/>
                                    <a:gd name="T17" fmla="*/ 3539768 h 23"/>
                                    <a:gd name="T18" fmla="*/ 48123823 w 16"/>
                                    <a:gd name="T19" fmla="*/ 17700942 h 23"/>
                                    <a:gd name="T20" fmla="*/ 30936523 w 16"/>
                                    <a:gd name="T21" fmla="*/ 14161174 h 23"/>
                                    <a:gd name="T22" fmla="*/ 20624338 w 16"/>
                                    <a:gd name="T23" fmla="*/ 21241794 h 23"/>
                                    <a:gd name="T24" fmla="*/ 34374600 w 16"/>
                                    <a:gd name="T25" fmla="*/ 31862149 h 23"/>
                                    <a:gd name="T26" fmla="*/ 54998938 w 16"/>
                                    <a:gd name="T27" fmla="*/ 53103910 h 23"/>
                                    <a:gd name="T28" fmla="*/ 24062448 w 16"/>
                                    <a:gd name="T29" fmla="*/ 81425207 h 23"/>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16" h="23">
                                      <a:moveTo>
                                        <a:pt x="7" y="23"/>
                                      </a:moveTo>
                                      <a:cubicBezTo>
                                        <a:pt x="5" y="23"/>
                                        <a:pt x="3" y="22"/>
                                        <a:pt x="0" y="22"/>
                                      </a:cubicBezTo>
                                      <a:cubicBezTo>
                                        <a:pt x="1" y="17"/>
                                        <a:pt x="1" y="17"/>
                                        <a:pt x="1" y="17"/>
                                      </a:cubicBezTo>
                                      <a:cubicBezTo>
                                        <a:pt x="3" y="18"/>
                                        <a:pt x="5" y="18"/>
                                        <a:pt x="7" y="18"/>
                                      </a:cubicBezTo>
                                      <a:cubicBezTo>
                                        <a:pt x="9" y="18"/>
                                        <a:pt x="10" y="18"/>
                                        <a:pt x="10" y="16"/>
                                      </a:cubicBezTo>
                                      <a:cubicBezTo>
                                        <a:pt x="10" y="15"/>
                                        <a:pt x="9" y="14"/>
                                        <a:pt x="6" y="13"/>
                                      </a:cubicBezTo>
                                      <a:cubicBezTo>
                                        <a:pt x="3" y="12"/>
                                        <a:pt x="1" y="10"/>
                                        <a:pt x="1" y="7"/>
                                      </a:cubicBezTo>
                                      <a:cubicBezTo>
                                        <a:pt x="1" y="3"/>
                                        <a:pt x="4" y="0"/>
                                        <a:pt x="9" y="0"/>
                                      </a:cubicBezTo>
                                      <a:cubicBezTo>
                                        <a:pt x="11" y="0"/>
                                        <a:pt x="13" y="0"/>
                                        <a:pt x="14" y="1"/>
                                      </a:cubicBezTo>
                                      <a:cubicBezTo>
                                        <a:pt x="14" y="5"/>
                                        <a:pt x="14" y="5"/>
                                        <a:pt x="14" y="5"/>
                                      </a:cubicBezTo>
                                      <a:cubicBezTo>
                                        <a:pt x="12" y="4"/>
                                        <a:pt x="11" y="4"/>
                                        <a:pt x="9" y="4"/>
                                      </a:cubicBezTo>
                                      <a:cubicBezTo>
                                        <a:pt x="7" y="4"/>
                                        <a:pt x="6" y="5"/>
                                        <a:pt x="6" y="6"/>
                                      </a:cubicBezTo>
                                      <a:cubicBezTo>
                                        <a:pt x="6" y="8"/>
                                        <a:pt x="7" y="8"/>
                                        <a:pt x="10" y="9"/>
                                      </a:cubicBezTo>
                                      <a:cubicBezTo>
                                        <a:pt x="14" y="10"/>
                                        <a:pt x="16" y="12"/>
                                        <a:pt x="16" y="15"/>
                                      </a:cubicBezTo>
                                      <a:cubicBezTo>
                                        <a:pt x="16" y="20"/>
                                        <a:pt x="12" y="23"/>
                                        <a:pt x="7" y="23"/>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Freeform 78" descr="background"/>
                              <wps:cNvSpPr>
                                <a:spLocks noEditPoints="1"/>
                              </wps:cNvSpPr>
                              <wps:spPr bwMode="auto">
                                <a:xfrm>
                                  <a:off x="11938" y="3263"/>
                                  <a:ext cx="298" cy="1010"/>
                                </a:xfrm>
                                <a:custGeom>
                                  <a:avLst/>
                                  <a:gdLst>
                                    <a:gd name="T0" fmla="*/ 10906436 w 9"/>
                                    <a:gd name="T1" fmla="*/ 107174195 h 31"/>
                                    <a:gd name="T2" fmla="*/ 10906436 w 9"/>
                                    <a:gd name="T3" fmla="*/ 44943860 h 31"/>
                                    <a:gd name="T4" fmla="*/ 0 w 9"/>
                                    <a:gd name="T5" fmla="*/ 44943860 h 31"/>
                                    <a:gd name="T6" fmla="*/ 0 w 9"/>
                                    <a:gd name="T7" fmla="*/ 31114646 h 31"/>
                                    <a:gd name="T8" fmla="*/ 29084966 w 9"/>
                                    <a:gd name="T9" fmla="*/ 31114646 h 31"/>
                                    <a:gd name="T10" fmla="*/ 29084966 w 9"/>
                                    <a:gd name="T11" fmla="*/ 107174195 h 31"/>
                                    <a:gd name="T12" fmla="*/ 10906436 w 9"/>
                                    <a:gd name="T13" fmla="*/ 107174195 h 31"/>
                                    <a:gd name="T14" fmla="*/ 21813997 w 9"/>
                                    <a:gd name="T15" fmla="*/ 20743804 h 31"/>
                                    <a:gd name="T16" fmla="*/ 7270968 w 9"/>
                                    <a:gd name="T17" fmla="*/ 10371885 h 31"/>
                                    <a:gd name="T18" fmla="*/ 21813997 w 9"/>
                                    <a:gd name="T19" fmla="*/ 0 h 31"/>
                                    <a:gd name="T20" fmla="*/ 32720433 w 9"/>
                                    <a:gd name="T21" fmla="*/ 10371885 h 31"/>
                                    <a:gd name="T22" fmla="*/ 21813997 w 9"/>
                                    <a:gd name="T23" fmla="*/ 20743804 h 31"/>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9" h="31">
                                      <a:moveTo>
                                        <a:pt x="3" y="31"/>
                                      </a:moveTo>
                                      <a:cubicBezTo>
                                        <a:pt x="3" y="13"/>
                                        <a:pt x="3" y="13"/>
                                        <a:pt x="3" y="13"/>
                                      </a:cubicBezTo>
                                      <a:cubicBezTo>
                                        <a:pt x="0" y="13"/>
                                        <a:pt x="0" y="13"/>
                                        <a:pt x="0" y="13"/>
                                      </a:cubicBezTo>
                                      <a:cubicBezTo>
                                        <a:pt x="0" y="9"/>
                                        <a:pt x="0" y="9"/>
                                        <a:pt x="0" y="9"/>
                                      </a:cubicBezTo>
                                      <a:cubicBezTo>
                                        <a:pt x="8" y="9"/>
                                        <a:pt x="8" y="9"/>
                                        <a:pt x="8" y="9"/>
                                      </a:cubicBezTo>
                                      <a:cubicBezTo>
                                        <a:pt x="8" y="31"/>
                                        <a:pt x="8" y="31"/>
                                        <a:pt x="8" y="31"/>
                                      </a:cubicBezTo>
                                      <a:lnTo>
                                        <a:pt x="3" y="31"/>
                                      </a:lnTo>
                                      <a:close/>
                                      <a:moveTo>
                                        <a:pt x="6" y="6"/>
                                      </a:moveTo>
                                      <a:cubicBezTo>
                                        <a:pt x="4" y="6"/>
                                        <a:pt x="2" y="5"/>
                                        <a:pt x="2" y="3"/>
                                      </a:cubicBezTo>
                                      <a:cubicBezTo>
                                        <a:pt x="2" y="1"/>
                                        <a:pt x="4" y="0"/>
                                        <a:pt x="6" y="0"/>
                                      </a:cubicBezTo>
                                      <a:cubicBezTo>
                                        <a:pt x="8" y="0"/>
                                        <a:pt x="9" y="1"/>
                                        <a:pt x="9" y="3"/>
                                      </a:cubicBezTo>
                                      <a:cubicBezTo>
                                        <a:pt x="9" y="5"/>
                                        <a:pt x="8" y="6"/>
                                        <a:pt x="6" y="6"/>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Freeform 79" descr="background"/>
                              <wps:cNvSpPr>
                                <a:spLocks/>
                              </wps:cNvSpPr>
                              <wps:spPr bwMode="auto">
                                <a:xfrm>
                                  <a:off x="12426" y="3556"/>
                                  <a:ext cx="426" cy="717"/>
                                </a:xfrm>
                                <a:custGeom>
                                  <a:avLst/>
                                  <a:gdLst>
                                    <a:gd name="T0" fmla="*/ 42171149 w 13"/>
                                    <a:gd name="T1" fmla="*/ 17321840 h 22"/>
                                    <a:gd name="T2" fmla="*/ 35143001 w 13"/>
                                    <a:gd name="T3" fmla="*/ 17321840 h 22"/>
                                    <a:gd name="T4" fmla="*/ 17570960 w 13"/>
                                    <a:gd name="T5" fmla="*/ 31178875 h 22"/>
                                    <a:gd name="T6" fmla="*/ 17570960 w 13"/>
                                    <a:gd name="T7" fmla="*/ 76215829 h 22"/>
                                    <a:gd name="T8" fmla="*/ 0 w 13"/>
                                    <a:gd name="T9" fmla="*/ 76215829 h 22"/>
                                    <a:gd name="T10" fmla="*/ 0 w 13"/>
                                    <a:gd name="T11" fmla="*/ 0 h 22"/>
                                    <a:gd name="T12" fmla="*/ 14057410 w 13"/>
                                    <a:gd name="T13" fmla="*/ 0 h 22"/>
                                    <a:gd name="T14" fmla="*/ 17570960 w 13"/>
                                    <a:gd name="T15" fmla="*/ 13857035 h 22"/>
                                    <a:gd name="T16" fmla="*/ 35143001 w 13"/>
                                    <a:gd name="T17" fmla="*/ 0 h 22"/>
                                    <a:gd name="T18" fmla="*/ 45685780 w 13"/>
                                    <a:gd name="T19" fmla="*/ 0 h 22"/>
                                    <a:gd name="T20" fmla="*/ 42171149 w 13"/>
                                    <a:gd name="T21" fmla="*/ 17321840 h 22"/>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3" h="22">
                                      <a:moveTo>
                                        <a:pt x="12" y="5"/>
                                      </a:moveTo>
                                      <a:cubicBezTo>
                                        <a:pt x="12" y="5"/>
                                        <a:pt x="11" y="5"/>
                                        <a:pt x="10" y="5"/>
                                      </a:cubicBezTo>
                                      <a:cubicBezTo>
                                        <a:pt x="9" y="5"/>
                                        <a:pt x="7" y="6"/>
                                        <a:pt x="5" y="9"/>
                                      </a:cubicBezTo>
                                      <a:cubicBezTo>
                                        <a:pt x="5" y="22"/>
                                        <a:pt x="5" y="22"/>
                                        <a:pt x="5" y="22"/>
                                      </a:cubicBezTo>
                                      <a:cubicBezTo>
                                        <a:pt x="0" y="22"/>
                                        <a:pt x="0" y="22"/>
                                        <a:pt x="0" y="22"/>
                                      </a:cubicBezTo>
                                      <a:cubicBezTo>
                                        <a:pt x="0" y="0"/>
                                        <a:pt x="0" y="0"/>
                                        <a:pt x="0" y="0"/>
                                      </a:cubicBezTo>
                                      <a:cubicBezTo>
                                        <a:pt x="4" y="0"/>
                                        <a:pt x="4" y="0"/>
                                        <a:pt x="4" y="0"/>
                                      </a:cubicBezTo>
                                      <a:cubicBezTo>
                                        <a:pt x="5" y="4"/>
                                        <a:pt x="5" y="4"/>
                                        <a:pt x="5" y="4"/>
                                      </a:cubicBezTo>
                                      <a:cubicBezTo>
                                        <a:pt x="7" y="1"/>
                                        <a:pt x="8" y="0"/>
                                        <a:pt x="10" y="0"/>
                                      </a:cubicBezTo>
                                      <a:cubicBezTo>
                                        <a:pt x="11" y="0"/>
                                        <a:pt x="12" y="0"/>
                                        <a:pt x="13" y="0"/>
                                      </a:cubicBezTo>
                                      <a:lnTo>
                                        <a:pt x="12" y="5"/>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 name="Freeform 80" descr="background"/>
                              <wps:cNvSpPr>
                                <a:spLocks noEditPoints="1"/>
                              </wps:cNvSpPr>
                              <wps:spPr bwMode="auto">
                                <a:xfrm>
                                  <a:off x="12947" y="3556"/>
                                  <a:ext cx="718" cy="755"/>
                                </a:xfrm>
                                <a:custGeom>
                                  <a:avLst/>
                                  <a:gdLst>
                                    <a:gd name="T0" fmla="*/ 38214799 w 22"/>
                                    <a:gd name="T1" fmla="*/ 81425207 h 23"/>
                                    <a:gd name="T2" fmla="*/ 0 w 22"/>
                                    <a:gd name="T3" fmla="*/ 42482471 h 23"/>
                                    <a:gd name="T4" fmla="*/ 38214799 w 22"/>
                                    <a:gd name="T5" fmla="*/ 0 h 23"/>
                                    <a:gd name="T6" fmla="*/ 76428554 w 22"/>
                                    <a:gd name="T7" fmla="*/ 38942736 h 23"/>
                                    <a:gd name="T8" fmla="*/ 38214799 w 22"/>
                                    <a:gd name="T9" fmla="*/ 81425207 h 23"/>
                                    <a:gd name="T10" fmla="*/ 38214799 w 22"/>
                                    <a:gd name="T11" fmla="*/ 14161174 h 23"/>
                                    <a:gd name="T12" fmla="*/ 17370182 w 22"/>
                                    <a:gd name="T13" fmla="*/ 38942736 h 23"/>
                                    <a:gd name="T14" fmla="*/ 38214799 w 22"/>
                                    <a:gd name="T15" fmla="*/ 63724265 h 23"/>
                                    <a:gd name="T16" fmla="*/ 55583937 w 22"/>
                                    <a:gd name="T17" fmla="*/ 38942736 h 23"/>
                                    <a:gd name="T18" fmla="*/ 38214799 w 22"/>
                                    <a:gd name="T19" fmla="*/ 14161174 h 23"/>
                                    <a:gd name="T20" fmla="*/ 0 60000 65536"/>
                                    <a:gd name="T21" fmla="*/ 0 60000 65536"/>
                                    <a:gd name="T22" fmla="*/ 0 60000 65536"/>
                                    <a:gd name="T23" fmla="*/ 0 60000 65536"/>
                                    <a:gd name="T24" fmla="*/ 0 60000 65536"/>
                                    <a:gd name="T25" fmla="*/ 0 60000 65536"/>
                                    <a:gd name="T26" fmla="*/ 0 60000 65536"/>
                                    <a:gd name="T27" fmla="*/ 0 60000 65536"/>
                                    <a:gd name="T28" fmla="*/ 0 60000 65536"/>
                                    <a:gd name="T29" fmla="*/ 0 60000 65536"/>
                                  </a:gdLst>
                                  <a:ahLst/>
                                  <a:cxnLst>
                                    <a:cxn ang="T20">
                                      <a:pos x="T0" y="T1"/>
                                    </a:cxn>
                                    <a:cxn ang="T21">
                                      <a:pos x="T2" y="T3"/>
                                    </a:cxn>
                                    <a:cxn ang="T22">
                                      <a:pos x="T4" y="T5"/>
                                    </a:cxn>
                                    <a:cxn ang="T23">
                                      <a:pos x="T6" y="T7"/>
                                    </a:cxn>
                                    <a:cxn ang="T24">
                                      <a:pos x="T8" y="T9"/>
                                    </a:cxn>
                                    <a:cxn ang="T25">
                                      <a:pos x="T10" y="T11"/>
                                    </a:cxn>
                                    <a:cxn ang="T26">
                                      <a:pos x="T12" y="T13"/>
                                    </a:cxn>
                                    <a:cxn ang="T27">
                                      <a:pos x="T14" y="T15"/>
                                    </a:cxn>
                                    <a:cxn ang="T28">
                                      <a:pos x="T16" y="T17"/>
                                    </a:cxn>
                                    <a:cxn ang="T29">
                                      <a:pos x="T18" y="T19"/>
                                    </a:cxn>
                                  </a:cxnLst>
                                  <a:rect l="0" t="0" r="r" b="b"/>
                                  <a:pathLst>
                                    <a:path w="22" h="23">
                                      <a:moveTo>
                                        <a:pt x="11" y="23"/>
                                      </a:moveTo>
                                      <a:cubicBezTo>
                                        <a:pt x="3" y="23"/>
                                        <a:pt x="0" y="18"/>
                                        <a:pt x="0" y="12"/>
                                      </a:cubicBezTo>
                                      <a:cubicBezTo>
                                        <a:pt x="0" y="4"/>
                                        <a:pt x="4" y="0"/>
                                        <a:pt x="11" y="0"/>
                                      </a:cubicBezTo>
                                      <a:cubicBezTo>
                                        <a:pt x="18" y="0"/>
                                        <a:pt x="22" y="4"/>
                                        <a:pt x="22" y="11"/>
                                      </a:cubicBezTo>
                                      <a:cubicBezTo>
                                        <a:pt x="22" y="18"/>
                                        <a:pt x="18" y="23"/>
                                        <a:pt x="11" y="23"/>
                                      </a:cubicBezTo>
                                      <a:close/>
                                      <a:moveTo>
                                        <a:pt x="11" y="4"/>
                                      </a:moveTo>
                                      <a:cubicBezTo>
                                        <a:pt x="7" y="4"/>
                                        <a:pt x="5" y="7"/>
                                        <a:pt x="5" y="11"/>
                                      </a:cubicBezTo>
                                      <a:cubicBezTo>
                                        <a:pt x="5" y="15"/>
                                        <a:pt x="7" y="18"/>
                                        <a:pt x="11" y="18"/>
                                      </a:cubicBezTo>
                                      <a:cubicBezTo>
                                        <a:pt x="15" y="18"/>
                                        <a:pt x="16" y="15"/>
                                        <a:pt x="16" y="11"/>
                                      </a:cubicBezTo>
                                      <a:cubicBezTo>
                                        <a:pt x="16" y="7"/>
                                        <a:pt x="15" y="4"/>
                                        <a:pt x="11" y="4"/>
                                      </a:cubicBez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 name="Oval 81" descr="background"/>
                              <wps:cNvSpPr>
                                <a:spLocks noChangeArrowheads="1"/>
                              </wps:cNvSpPr>
                              <wps:spPr bwMode="auto">
                                <a:xfrm>
                                  <a:off x="13830" y="4044"/>
                                  <a:ext cx="190" cy="229"/>
                                </a:xfrm>
                                <a:prstGeom prst="ellipse">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 name="Freeform 82" descr="background"/>
                              <wps:cNvSpPr>
                                <a:spLocks noEditPoints="1"/>
                              </wps:cNvSpPr>
                              <wps:spPr bwMode="auto">
                                <a:xfrm>
                                  <a:off x="14217" y="3556"/>
                                  <a:ext cx="584" cy="755"/>
                                </a:xfrm>
                                <a:custGeom>
                                  <a:avLst/>
                                  <a:gdLst>
                                    <a:gd name="T0" fmla="*/ 47829957 w 18"/>
                                    <a:gd name="T1" fmla="*/ 77885472 h 23"/>
                                    <a:gd name="T2" fmla="*/ 47829957 w 18"/>
                                    <a:gd name="T3" fmla="*/ 70804852 h 23"/>
                                    <a:gd name="T4" fmla="*/ 23914962 w 18"/>
                                    <a:gd name="T5" fmla="*/ 81425207 h 23"/>
                                    <a:gd name="T6" fmla="*/ 0 w 18"/>
                                    <a:gd name="T7" fmla="*/ 56643678 h 23"/>
                                    <a:gd name="T8" fmla="*/ 34164552 w 18"/>
                                    <a:gd name="T9" fmla="*/ 31862149 h 23"/>
                                    <a:gd name="T10" fmla="*/ 44413070 w 18"/>
                                    <a:gd name="T11" fmla="*/ 31862149 h 23"/>
                                    <a:gd name="T12" fmla="*/ 44413070 w 18"/>
                                    <a:gd name="T13" fmla="*/ 28321297 h 23"/>
                                    <a:gd name="T14" fmla="*/ 27330811 w 18"/>
                                    <a:gd name="T15" fmla="*/ 14161174 h 23"/>
                                    <a:gd name="T16" fmla="*/ 6832703 w 18"/>
                                    <a:gd name="T17" fmla="*/ 17700942 h 23"/>
                                    <a:gd name="T18" fmla="*/ 3416887 w 18"/>
                                    <a:gd name="T19" fmla="*/ 3539768 h 23"/>
                                    <a:gd name="T20" fmla="*/ 30747665 w 18"/>
                                    <a:gd name="T21" fmla="*/ 0 h 23"/>
                                    <a:gd name="T22" fmla="*/ 61495330 w 18"/>
                                    <a:gd name="T23" fmla="*/ 24781529 h 23"/>
                                    <a:gd name="T24" fmla="*/ 61495330 w 18"/>
                                    <a:gd name="T25" fmla="*/ 77885472 h 23"/>
                                    <a:gd name="T26" fmla="*/ 47829957 w 18"/>
                                    <a:gd name="T27" fmla="*/ 77885472 h 23"/>
                                    <a:gd name="T28" fmla="*/ 44413070 w 18"/>
                                    <a:gd name="T29" fmla="*/ 42482471 h 23"/>
                                    <a:gd name="T30" fmla="*/ 34164552 w 18"/>
                                    <a:gd name="T31" fmla="*/ 42482471 h 23"/>
                                    <a:gd name="T32" fmla="*/ 17082260 w 18"/>
                                    <a:gd name="T33" fmla="*/ 56643678 h 23"/>
                                    <a:gd name="T34" fmla="*/ 27330811 w 18"/>
                                    <a:gd name="T35" fmla="*/ 67264033 h 23"/>
                                    <a:gd name="T36" fmla="*/ 44413070 w 18"/>
                                    <a:gd name="T37" fmla="*/ 60183446 h 23"/>
                                    <a:gd name="T38" fmla="*/ 44413070 w 18"/>
                                    <a:gd name="T39" fmla="*/ 42482471 h 23"/>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8" h="23">
                                      <a:moveTo>
                                        <a:pt x="14" y="22"/>
                                      </a:moveTo>
                                      <a:cubicBezTo>
                                        <a:pt x="14" y="20"/>
                                        <a:pt x="14" y="20"/>
                                        <a:pt x="14" y="20"/>
                                      </a:cubicBezTo>
                                      <a:cubicBezTo>
                                        <a:pt x="12" y="22"/>
                                        <a:pt x="10" y="23"/>
                                        <a:pt x="7" y="23"/>
                                      </a:cubicBezTo>
                                      <a:cubicBezTo>
                                        <a:pt x="2" y="23"/>
                                        <a:pt x="0" y="20"/>
                                        <a:pt x="0" y="16"/>
                                      </a:cubicBezTo>
                                      <a:cubicBezTo>
                                        <a:pt x="0" y="11"/>
                                        <a:pt x="4" y="9"/>
                                        <a:pt x="10" y="9"/>
                                      </a:cubicBezTo>
                                      <a:cubicBezTo>
                                        <a:pt x="13" y="9"/>
                                        <a:pt x="13" y="9"/>
                                        <a:pt x="13" y="9"/>
                                      </a:cubicBezTo>
                                      <a:cubicBezTo>
                                        <a:pt x="13" y="8"/>
                                        <a:pt x="13" y="8"/>
                                        <a:pt x="13" y="8"/>
                                      </a:cubicBezTo>
                                      <a:cubicBezTo>
                                        <a:pt x="13" y="5"/>
                                        <a:pt x="12" y="4"/>
                                        <a:pt x="8" y="4"/>
                                      </a:cubicBezTo>
                                      <a:cubicBezTo>
                                        <a:pt x="6" y="4"/>
                                        <a:pt x="4" y="4"/>
                                        <a:pt x="2" y="5"/>
                                      </a:cubicBezTo>
                                      <a:cubicBezTo>
                                        <a:pt x="1" y="1"/>
                                        <a:pt x="1" y="1"/>
                                        <a:pt x="1" y="1"/>
                                      </a:cubicBezTo>
                                      <a:cubicBezTo>
                                        <a:pt x="3" y="0"/>
                                        <a:pt x="6" y="0"/>
                                        <a:pt x="9" y="0"/>
                                      </a:cubicBezTo>
                                      <a:cubicBezTo>
                                        <a:pt x="16" y="0"/>
                                        <a:pt x="18" y="3"/>
                                        <a:pt x="18" y="7"/>
                                      </a:cubicBezTo>
                                      <a:cubicBezTo>
                                        <a:pt x="18" y="22"/>
                                        <a:pt x="18" y="22"/>
                                        <a:pt x="18" y="22"/>
                                      </a:cubicBezTo>
                                      <a:lnTo>
                                        <a:pt x="14" y="22"/>
                                      </a:lnTo>
                                      <a:close/>
                                      <a:moveTo>
                                        <a:pt x="13" y="12"/>
                                      </a:moveTo>
                                      <a:cubicBezTo>
                                        <a:pt x="10" y="12"/>
                                        <a:pt x="10" y="12"/>
                                        <a:pt x="10" y="12"/>
                                      </a:cubicBezTo>
                                      <a:cubicBezTo>
                                        <a:pt x="7" y="12"/>
                                        <a:pt x="5" y="14"/>
                                        <a:pt x="5" y="16"/>
                                      </a:cubicBezTo>
                                      <a:cubicBezTo>
                                        <a:pt x="5" y="17"/>
                                        <a:pt x="6" y="19"/>
                                        <a:pt x="8" y="19"/>
                                      </a:cubicBezTo>
                                      <a:cubicBezTo>
                                        <a:pt x="10" y="19"/>
                                        <a:pt x="12" y="18"/>
                                        <a:pt x="13" y="17"/>
                                      </a:cubicBezTo>
                                      <a:lnTo>
                                        <a:pt x="13" y="12"/>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 name="Freeform 83" descr="background"/>
                              <wps:cNvSpPr>
                                <a:spLocks/>
                              </wps:cNvSpPr>
                              <wps:spPr bwMode="auto">
                                <a:xfrm>
                                  <a:off x="15030" y="3556"/>
                                  <a:ext cx="622" cy="755"/>
                                </a:xfrm>
                                <a:custGeom>
                                  <a:avLst/>
                                  <a:gdLst>
                                    <a:gd name="T0" fmla="*/ 52651580 w 19"/>
                                    <a:gd name="T1" fmla="*/ 77885472 h 23"/>
                                    <a:gd name="T2" fmla="*/ 52651580 w 19"/>
                                    <a:gd name="T3" fmla="*/ 67264033 h 23"/>
                                    <a:gd name="T4" fmla="*/ 24570899 w 19"/>
                                    <a:gd name="T5" fmla="*/ 81425207 h 23"/>
                                    <a:gd name="T6" fmla="*/ 0 w 19"/>
                                    <a:gd name="T7" fmla="*/ 49563091 h 23"/>
                                    <a:gd name="T8" fmla="*/ 0 w 19"/>
                                    <a:gd name="T9" fmla="*/ 0 h 23"/>
                                    <a:gd name="T10" fmla="*/ 17550188 w 19"/>
                                    <a:gd name="T11" fmla="*/ 0 h 23"/>
                                    <a:gd name="T12" fmla="*/ 17550188 w 19"/>
                                    <a:gd name="T13" fmla="*/ 46023323 h 23"/>
                                    <a:gd name="T14" fmla="*/ 31590529 w 19"/>
                                    <a:gd name="T15" fmla="*/ 63724265 h 23"/>
                                    <a:gd name="T16" fmla="*/ 49141765 w 19"/>
                                    <a:gd name="T17" fmla="*/ 53103910 h 23"/>
                                    <a:gd name="T18" fmla="*/ 49141765 w 19"/>
                                    <a:gd name="T19" fmla="*/ 0 h 23"/>
                                    <a:gd name="T20" fmla="*/ 66691953 w 19"/>
                                    <a:gd name="T21" fmla="*/ 0 h 23"/>
                                    <a:gd name="T22" fmla="*/ 66691953 w 19"/>
                                    <a:gd name="T23" fmla="*/ 77885472 h 23"/>
                                    <a:gd name="T24" fmla="*/ 52651580 w 19"/>
                                    <a:gd name="T25" fmla="*/ 77885472 h 2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19" h="23">
                                      <a:moveTo>
                                        <a:pt x="15" y="22"/>
                                      </a:moveTo>
                                      <a:cubicBezTo>
                                        <a:pt x="15" y="19"/>
                                        <a:pt x="15" y="19"/>
                                        <a:pt x="15" y="19"/>
                                      </a:cubicBezTo>
                                      <a:cubicBezTo>
                                        <a:pt x="12" y="22"/>
                                        <a:pt x="10" y="23"/>
                                        <a:pt x="7" y="23"/>
                                      </a:cubicBezTo>
                                      <a:cubicBezTo>
                                        <a:pt x="2" y="23"/>
                                        <a:pt x="0" y="19"/>
                                        <a:pt x="0" y="14"/>
                                      </a:cubicBezTo>
                                      <a:cubicBezTo>
                                        <a:pt x="0" y="0"/>
                                        <a:pt x="0" y="0"/>
                                        <a:pt x="0" y="0"/>
                                      </a:cubicBezTo>
                                      <a:cubicBezTo>
                                        <a:pt x="5" y="0"/>
                                        <a:pt x="5" y="0"/>
                                        <a:pt x="5" y="0"/>
                                      </a:cubicBezTo>
                                      <a:cubicBezTo>
                                        <a:pt x="5" y="13"/>
                                        <a:pt x="5" y="13"/>
                                        <a:pt x="5" y="13"/>
                                      </a:cubicBezTo>
                                      <a:cubicBezTo>
                                        <a:pt x="5" y="16"/>
                                        <a:pt x="6" y="18"/>
                                        <a:pt x="9" y="18"/>
                                      </a:cubicBezTo>
                                      <a:cubicBezTo>
                                        <a:pt x="11" y="18"/>
                                        <a:pt x="12" y="17"/>
                                        <a:pt x="14" y="15"/>
                                      </a:cubicBezTo>
                                      <a:cubicBezTo>
                                        <a:pt x="14" y="0"/>
                                        <a:pt x="14" y="0"/>
                                        <a:pt x="14" y="0"/>
                                      </a:cubicBezTo>
                                      <a:cubicBezTo>
                                        <a:pt x="19" y="0"/>
                                        <a:pt x="19" y="0"/>
                                        <a:pt x="19" y="0"/>
                                      </a:cubicBezTo>
                                      <a:cubicBezTo>
                                        <a:pt x="19" y="22"/>
                                        <a:pt x="19" y="22"/>
                                        <a:pt x="19" y="22"/>
                                      </a:cubicBezTo>
                                      <a:lnTo>
                                        <a:pt x="15" y="22"/>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40" name="Freeform 84"/>
                            <wps:cNvSpPr>
                              <a:spLocks/>
                            </wps:cNvSpPr>
                            <wps:spPr bwMode="auto">
                              <a:xfrm>
                                <a:off x="59091" y="912"/>
                                <a:ext cx="22125" cy="8883"/>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 name="Freeform 104" descr="background"/>
                            <wps:cNvSpPr>
                              <a:spLocks/>
                            </wps:cNvSpPr>
                            <wps:spPr bwMode="auto">
                              <a:xfrm>
                                <a:off x="59103" y="929"/>
                                <a:ext cx="22106" cy="8861"/>
                              </a:xfrm>
                              <a:custGeom>
                                <a:avLst/>
                                <a:gdLst>
                                  <a:gd name="T0" fmla="*/ 2147483647 w 680"/>
                                  <a:gd name="T1" fmla="*/ 0 h 272"/>
                                  <a:gd name="T2" fmla="*/ 0 w 680"/>
                                  <a:gd name="T3" fmla="*/ 2147483647 h 272"/>
                                  <a:gd name="T4" fmla="*/ 2147483647 w 680"/>
                                  <a:gd name="T5" fmla="*/ 2147483647 h 272"/>
                                  <a:gd name="T6" fmla="*/ 2147483647 w 680"/>
                                  <a:gd name="T7" fmla="*/ 2147483647 h 272"/>
                                  <a:gd name="T8" fmla="*/ 2147483647 w 680"/>
                                  <a:gd name="T9" fmla="*/ 0 h 272"/>
                                  <a:gd name="T10" fmla="*/ 2147483647 w 680"/>
                                  <a:gd name="T11" fmla="*/ 0 h 272"/>
                                  <a:gd name="T12" fmla="*/ 0 60000 65536"/>
                                  <a:gd name="T13" fmla="*/ 0 60000 65536"/>
                                  <a:gd name="T14" fmla="*/ 0 60000 65536"/>
                                  <a:gd name="T15" fmla="*/ 0 60000 65536"/>
                                  <a:gd name="T16" fmla="*/ 0 60000 65536"/>
                                  <a:gd name="T17" fmla="*/ 0 60000 65536"/>
                                  <a:gd name="T18" fmla="*/ 0 w 680"/>
                                  <a:gd name="T19" fmla="*/ 0 h 272"/>
                                  <a:gd name="T20" fmla="*/ 680 w 680"/>
                                  <a:gd name="T21" fmla="*/ 272 h 272"/>
                                </a:gdLst>
                                <a:ahLst/>
                                <a:cxnLst>
                                  <a:cxn ang="T12">
                                    <a:pos x="T0" y="T1"/>
                                  </a:cxn>
                                  <a:cxn ang="T13">
                                    <a:pos x="T2" y="T3"/>
                                  </a:cxn>
                                  <a:cxn ang="T14">
                                    <a:pos x="T4" y="T5"/>
                                  </a:cxn>
                                  <a:cxn ang="T15">
                                    <a:pos x="T6" y="T7"/>
                                  </a:cxn>
                                  <a:cxn ang="T16">
                                    <a:pos x="T8" y="T9"/>
                                  </a:cxn>
                                  <a:cxn ang="T17">
                                    <a:pos x="T10" y="T11"/>
                                  </a:cxn>
                                </a:cxnLst>
                                <a:rect l="T18" t="T19" r="T20" b="T21"/>
                                <a:pathLst>
                                  <a:path w="680" h="272">
                                    <a:moveTo>
                                      <a:pt x="476" y="0"/>
                                    </a:moveTo>
                                    <a:cubicBezTo>
                                      <a:pt x="186" y="0"/>
                                      <a:pt x="79" y="86"/>
                                      <a:pt x="0" y="116"/>
                                    </a:cubicBezTo>
                                    <a:cubicBezTo>
                                      <a:pt x="128" y="189"/>
                                      <a:pt x="229" y="272"/>
                                      <a:pt x="470" y="272"/>
                                    </a:cubicBezTo>
                                    <a:cubicBezTo>
                                      <a:pt x="528" y="272"/>
                                      <a:pt x="680" y="272"/>
                                      <a:pt x="680" y="272"/>
                                    </a:cubicBezTo>
                                    <a:cubicBezTo>
                                      <a:pt x="680" y="0"/>
                                      <a:pt x="680" y="0"/>
                                      <a:pt x="680" y="0"/>
                                    </a:cubicBezTo>
                                    <a:lnTo>
                                      <a:pt x="476" y="0"/>
                                    </a:lnTo>
                                    <a:close/>
                                  </a:path>
                                </a:pathLst>
                              </a:cu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09D414" w14:textId="77777777" w:rsidR="004D1EEA" w:rsidRPr="007367A7" w:rsidRDefault="004D1EEA" w:rsidP="00A65678">
                                  <w:pPr>
                                    <w:rPr>
                                      <w:rFonts w:eastAsia="Times New Roman"/>
                                      <w:color w:val="00A9CE" w:themeColor="accent1"/>
                                    </w:rPr>
                                  </w:pPr>
                                </w:p>
                              </w:txbxContent>
                            </wps:txbx>
                            <wps:bodyPr rot="0" vert="horz" wrap="square" lIns="91440" tIns="45720" rIns="91440" bIns="45720" anchor="t" anchorCtr="0" upright="1">
                              <a:noAutofit/>
                            </wps:bodyPr>
                          </wps:wsp>
                        </wpg:grpSp>
                        <pic:pic xmlns:pic="http://schemas.openxmlformats.org/drawingml/2006/picture">
                          <pic:nvPicPr>
                            <pic:cNvPr id="42" name="Picture 40" descr="CSIRO logo"/>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65836" y="863"/>
                              <a:ext cx="8941" cy="8789"/>
                            </a:xfrm>
                            <a:prstGeom prst="rect">
                              <a:avLst/>
                            </a:prstGeom>
                            <a:noFill/>
                            <a:extLst>
                              <a:ext uri="{909E8E84-426E-40DD-AFC4-6F175D3DCCD1}">
                                <a14:hiddenFill xmlns:a14="http://schemas.microsoft.com/office/drawing/2010/main">
                                  <a:solidFill>
                                    <a:srgbClr val="FFFFFF"/>
                                  </a:solidFill>
                                </a14:hiddenFill>
                              </a:ext>
                            </a:extLst>
                          </pic:spPr>
                        </pic:pic>
                      </wpg:grpSp>
                      <wpg:grpSp>
                        <wpg:cNvPr id="43" name="Group 69"/>
                        <wpg:cNvGrpSpPr>
                          <a:grpSpLocks/>
                        </wpg:cNvGrpSpPr>
                        <wpg:grpSpPr bwMode="auto">
                          <a:xfrm>
                            <a:off x="-827" y="10206"/>
                            <a:ext cx="14774" cy="6659"/>
                            <a:chOff x="0" y="0"/>
                            <a:chExt cx="93818" cy="42291"/>
                          </a:xfrm>
                        </wpg:grpSpPr>
                        <wps:wsp>
                          <wps:cNvPr id="44" name="Rectangle 68"/>
                          <wps:cNvSpPr>
                            <a:spLocks noChangeArrowheads="1"/>
                          </wps:cNvSpPr>
                          <wps:spPr bwMode="auto">
                            <a:xfrm>
                              <a:off x="5257" y="10287"/>
                              <a:ext cx="75990" cy="32004"/>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g:grpSp>
                          <wpg:cNvPr id="45" name="Group 67"/>
                          <wpg:cNvGrpSpPr>
                            <a:grpSpLocks/>
                          </wpg:cNvGrpSpPr>
                          <wpg:grpSpPr bwMode="auto">
                            <a:xfrm>
                              <a:off x="0" y="0"/>
                              <a:ext cx="93818" cy="26426"/>
                              <a:chOff x="0" y="0"/>
                              <a:chExt cx="93818" cy="26426"/>
                            </a:xfrm>
                          </wpg:grpSpPr>
                          <wps:wsp>
                            <wps:cNvPr id="46" name="Freeform 115" descr="background"/>
                            <wps:cNvSpPr>
                              <a:spLocks/>
                            </wps:cNvSpPr>
                            <wps:spPr bwMode="auto">
                              <a:xfrm>
                                <a:off x="0" y="0"/>
                                <a:ext cx="47104" cy="12071"/>
                              </a:xfrm>
                              <a:custGeom>
                                <a:avLst/>
                                <a:gdLst>
                                  <a:gd name="T0" fmla="*/ 2147483647 w 1458"/>
                                  <a:gd name="T1" fmla="*/ 2147483647 h 374"/>
                                  <a:gd name="T2" fmla="*/ 2147483647 w 1458"/>
                                  <a:gd name="T3" fmla="*/ 0 h 374"/>
                                  <a:gd name="T4" fmla="*/ 0 w 1458"/>
                                  <a:gd name="T5" fmla="*/ 0 h 374"/>
                                  <a:gd name="T6" fmla="*/ 0 w 1458"/>
                                  <a:gd name="T7" fmla="*/ 2147483647 h 374"/>
                                  <a:gd name="T8" fmla="*/ 2147483647 w 1458"/>
                                  <a:gd name="T9" fmla="*/ 2147483647 h 374"/>
                                  <a:gd name="T10" fmla="*/ 2147483647 w 1458"/>
                                  <a:gd name="T11" fmla="*/ 2147483647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8" h="374">
                                    <a:moveTo>
                                      <a:pt x="1458" y="321"/>
                                    </a:moveTo>
                                    <a:cubicBezTo>
                                      <a:pt x="1158" y="150"/>
                                      <a:pt x="746" y="0"/>
                                      <a:pt x="214" y="0"/>
                                    </a:cubicBezTo>
                                    <a:cubicBezTo>
                                      <a:pt x="0" y="0"/>
                                      <a:pt x="0" y="0"/>
                                      <a:pt x="0" y="0"/>
                                    </a:cubicBezTo>
                                    <a:cubicBezTo>
                                      <a:pt x="0" y="374"/>
                                      <a:pt x="0" y="374"/>
                                      <a:pt x="0" y="374"/>
                                    </a:cubicBezTo>
                                    <a:cubicBezTo>
                                      <a:pt x="680" y="374"/>
                                      <a:pt x="680" y="374"/>
                                      <a:pt x="680" y="374"/>
                                    </a:cubicBezTo>
                                    <a:cubicBezTo>
                                      <a:pt x="1186" y="374"/>
                                      <a:pt x="1351" y="362"/>
                                      <a:pt x="1458" y="321"/>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 name="Freeform 116" descr="background"/>
                            <wps:cNvSpPr>
                              <a:spLocks/>
                            </wps:cNvSpPr>
                            <wps:spPr bwMode="auto">
                              <a:xfrm>
                                <a:off x="0" y="14031"/>
                                <a:ext cx="21545" cy="6197"/>
                              </a:xfrm>
                              <a:custGeom>
                                <a:avLst/>
                                <a:gdLst>
                                  <a:gd name="T0" fmla="*/ 2147483647 w 667"/>
                                  <a:gd name="T1" fmla="*/ 2147483647 h 192"/>
                                  <a:gd name="T2" fmla="*/ 2147483647 w 667"/>
                                  <a:gd name="T3" fmla="*/ 0 h 192"/>
                                  <a:gd name="T4" fmla="*/ 0 w 667"/>
                                  <a:gd name="T5" fmla="*/ 0 h 192"/>
                                  <a:gd name="T6" fmla="*/ 0 w 667"/>
                                  <a:gd name="T7" fmla="*/ 2147483647 h 192"/>
                                  <a:gd name="T8" fmla="*/ 2147483647 w 667"/>
                                  <a:gd name="T9" fmla="*/ 2147483647 h 192"/>
                                  <a:gd name="T10" fmla="*/ 2147483647 w 667"/>
                                  <a:gd name="T11" fmla="*/ 2147483647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667" h="192">
                                    <a:moveTo>
                                      <a:pt x="667" y="165"/>
                                    </a:moveTo>
                                    <a:cubicBezTo>
                                      <a:pt x="513" y="77"/>
                                      <a:pt x="302" y="0"/>
                                      <a:pt x="29" y="0"/>
                                    </a:cubicBezTo>
                                    <a:cubicBezTo>
                                      <a:pt x="0" y="0"/>
                                      <a:pt x="0" y="0"/>
                                      <a:pt x="0" y="0"/>
                                    </a:cubicBezTo>
                                    <a:cubicBezTo>
                                      <a:pt x="0" y="192"/>
                                      <a:pt x="0" y="192"/>
                                      <a:pt x="0" y="192"/>
                                    </a:cubicBezTo>
                                    <a:cubicBezTo>
                                      <a:pt x="268" y="192"/>
                                      <a:pt x="268" y="192"/>
                                      <a:pt x="268" y="192"/>
                                    </a:cubicBezTo>
                                    <a:cubicBezTo>
                                      <a:pt x="528" y="192"/>
                                      <a:pt x="612" y="186"/>
                                      <a:pt x="667" y="165"/>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17" descr="background"/>
                            <wps:cNvSpPr>
                              <a:spLocks/>
                            </wps:cNvSpPr>
                            <wps:spPr bwMode="auto">
                              <a:xfrm>
                                <a:off x="21441" y="14031"/>
                                <a:ext cx="72269" cy="12395"/>
                              </a:xfrm>
                              <a:custGeom>
                                <a:avLst/>
                                <a:gdLst>
                                  <a:gd name="T0" fmla="*/ 2147483647 w 2237"/>
                                  <a:gd name="T1" fmla="*/ 0 h 384"/>
                                  <a:gd name="T2" fmla="*/ 0 w 2237"/>
                                  <a:gd name="T3" fmla="*/ 2147483647 h 384"/>
                                  <a:gd name="T4" fmla="*/ 2147483647 w 2237"/>
                                  <a:gd name="T5" fmla="*/ 2147483647 h 384"/>
                                  <a:gd name="T6" fmla="*/ 2147483647 w 2237"/>
                                  <a:gd name="T7" fmla="*/ 2147483647 h 384"/>
                                  <a:gd name="T8" fmla="*/ 2147483647 w 2237"/>
                                  <a:gd name="T9" fmla="*/ 0 h 384"/>
                                  <a:gd name="T10" fmla="*/ 2147483647 w 2237"/>
                                  <a:gd name="T11" fmla="*/ 0 h 38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37" h="384">
                                    <a:moveTo>
                                      <a:pt x="669" y="0"/>
                                    </a:moveTo>
                                    <a:cubicBezTo>
                                      <a:pt x="262" y="0"/>
                                      <a:pt x="112" y="122"/>
                                      <a:pt x="0" y="165"/>
                                    </a:cubicBezTo>
                                    <a:cubicBezTo>
                                      <a:pt x="180" y="268"/>
                                      <a:pt x="322" y="384"/>
                                      <a:pt x="661" y="384"/>
                                    </a:cubicBezTo>
                                    <a:cubicBezTo>
                                      <a:pt x="743" y="384"/>
                                      <a:pt x="2237" y="384"/>
                                      <a:pt x="2237" y="384"/>
                                    </a:cubicBezTo>
                                    <a:cubicBezTo>
                                      <a:pt x="2237" y="0"/>
                                      <a:pt x="2237" y="0"/>
                                      <a:pt x="2237" y="0"/>
                                    </a:cubicBezTo>
                                    <a:lnTo>
                                      <a:pt x="669" y="0"/>
                                    </a:lnTo>
                                    <a:close/>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18" descr="background"/>
                            <wps:cNvSpPr>
                              <a:spLocks/>
                            </wps:cNvSpPr>
                            <wps:spPr bwMode="auto">
                              <a:xfrm>
                                <a:off x="46981" y="0"/>
                                <a:ext cx="46837" cy="24180"/>
                              </a:xfrm>
                              <a:custGeom>
                                <a:avLst/>
                                <a:gdLst>
                                  <a:gd name="T0" fmla="*/ 2147483647 w 1450"/>
                                  <a:gd name="T1" fmla="*/ 0 h 749"/>
                                  <a:gd name="T2" fmla="*/ 0 w 1450"/>
                                  <a:gd name="T3" fmla="*/ 2147483647 h 749"/>
                                  <a:gd name="T4" fmla="*/ 2147483647 w 1450"/>
                                  <a:gd name="T5" fmla="*/ 2147483647 h 749"/>
                                  <a:gd name="T6" fmla="*/ 2147483647 w 1450"/>
                                  <a:gd name="T7" fmla="*/ 2147483647 h 749"/>
                                  <a:gd name="T8" fmla="*/ 2147483647 w 1450"/>
                                  <a:gd name="T9" fmla="*/ 0 h 749"/>
                                  <a:gd name="T10" fmla="*/ 2147483647 w 1450"/>
                                  <a:gd name="T11" fmla="*/ 0 h 74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450" h="749">
                                    <a:moveTo>
                                      <a:pt x="1306" y="0"/>
                                    </a:moveTo>
                                    <a:cubicBezTo>
                                      <a:pt x="512" y="0"/>
                                      <a:pt x="218" y="238"/>
                                      <a:pt x="0" y="321"/>
                                    </a:cubicBezTo>
                                    <a:cubicBezTo>
                                      <a:pt x="351" y="522"/>
                                      <a:pt x="628" y="749"/>
                                      <a:pt x="1291" y="749"/>
                                    </a:cubicBezTo>
                                    <a:cubicBezTo>
                                      <a:pt x="1450" y="749"/>
                                      <a:pt x="1446" y="749"/>
                                      <a:pt x="1446" y="749"/>
                                    </a:cubicBezTo>
                                    <a:cubicBezTo>
                                      <a:pt x="1446" y="0"/>
                                      <a:pt x="1446" y="0"/>
                                      <a:pt x="1446" y="0"/>
                                    </a:cubicBezTo>
                                    <a:lnTo>
                                      <a:pt x="1306"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19" descr="background"/>
                            <wps:cNvSpPr>
                              <a:spLocks/>
                            </wps:cNvSpPr>
                            <wps:spPr bwMode="auto">
                              <a:xfrm>
                                <a:off x="0" y="22702"/>
                                <a:ext cx="71170" cy="1422"/>
                              </a:xfrm>
                              <a:custGeom>
                                <a:avLst/>
                                <a:gdLst>
                                  <a:gd name="T0" fmla="*/ 2147483647 w 2203"/>
                                  <a:gd name="T1" fmla="*/ 2147483647 h 44"/>
                                  <a:gd name="T2" fmla="*/ 2147483647 w 2203"/>
                                  <a:gd name="T3" fmla="*/ 0 h 44"/>
                                  <a:gd name="T4" fmla="*/ 0 w 2203"/>
                                  <a:gd name="T5" fmla="*/ 0 h 44"/>
                                  <a:gd name="T6" fmla="*/ 0 w 2203"/>
                                  <a:gd name="T7" fmla="*/ 2147483647 h 44"/>
                                  <a:gd name="T8" fmla="*/ 2147483647 w 2203"/>
                                  <a:gd name="T9" fmla="*/ 2147483647 h 44"/>
                                  <a:gd name="T10" fmla="*/ 2147483647 w 2203"/>
                                  <a:gd name="T11" fmla="*/ 2147483647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3" h="44">
                                    <a:moveTo>
                                      <a:pt x="2203" y="38"/>
                                    </a:moveTo>
                                    <a:cubicBezTo>
                                      <a:pt x="2169" y="21"/>
                                      <a:pt x="2120" y="0"/>
                                      <a:pt x="2058" y="0"/>
                                    </a:cubicBezTo>
                                    <a:cubicBezTo>
                                      <a:pt x="0" y="0"/>
                                      <a:pt x="0" y="0"/>
                                      <a:pt x="0" y="0"/>
                                    </a:cubicBezTo>
                                    <a:cubicBezTo>
                                      <a:pt x="0" y="44"/>
                                      <a:pt x="0" y="44"/>
                                      <a:pt x="0" y="44"/>
                                    </a:cubicBezTo>
                                    <a:cubicBezTo>
                                      <a:pt x="2112" y="44"/>
                                      <a:pt x="2112" y="44"/>
                                      <a:pt x="2112" y="44"/>
                                    </a:cubicBezTo>
                                    <a:cubicBezTo>
                                      <a:pt x="2112" y="44"/>
                                      <a:pt x="2193" y="40"/>
                                      <a:pt x="2203" y="38"/>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Freeform 120" descr="background"/>
                            <wps:cNvSpPr>
                              <a:spLocks/>
                            </wps:cNvSpPr>
                            <wps:spPr bwMode="auto">
                              <a:xfrm>
                                <a:off x="71102" y="22702"/>
                                <a:ext cx="22644" cy="2838"/>
                              </a:xfrm>
                              <a:custGeom>
                                <a:avLst/>
                                <a:gdLst>
                                  <a:gd name="T0" fmla="*/ 2147483647 w 701"/>
                                  <a:gd name="T1" fmla="*/ 0 h 88"/>
                                  <a:gd name="T2" fmla="*/ 0 w 701"/>
                                  <a:gd name="T3" fmla="*/ 2147483647 h 88"/>
                                  <a:gd name="T4" fmla="*/ 2147483647 w 701"/>
                                  <a:gd name="T5" fmla="*/ 2147483647 h 88"/>
                                  <a:gd name="T6" fmla="*/ 2147483647 w 701"/>
                                  <a:gd name="T7" fmla="*/ 2147483647 h 88"/>
                                  <a:gd name="T8" fmla="*/ 2147483647 w 701"/>
                                  <a:gd name="T9" fmla="*/ 0 h 88"/>
                                  <a:gd name="T10" fmla="*/ 2147483647 w 701"/>
                                  <a:gd name="T11" fmla="*/ 0 h 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01" h="88">
                                    <a:moveTo>
                                      <a:pt x="153" y="0"/>
                                    </a:moveTo>
                                    <a:cubicBezTo>
                                      <a:pt x="60" y="0"/>
                                      <a:pt x="26" y="28"/>
                                      <a:pt x="0" y="38"/>
                                    </a:cubicBezTo>
                                    <a:cubicBezTo>
                                      <a:pt x="41" y="61"/>
                                      <a:pt x="74" y="88"/>
                                      <a:pt x="151" y="88"/>
                                    </a:cubicBezTo>
                                    <a:cubicBezTo>
                                      <a:pt x="701" y="88"/>
                                      <a:pt x="701" y="88"/>
                                      <a:pt x="701" y="88"/>
                                    </a:cubicBezTo>
                                    <a:cubicBezTo>
                                      <a:pt x="701" y="0"/>
                                      <a:pt x="701" y="0"/>
                                      <a:pt x="701" y="0"/>
                                    </a:cubicBezTo>
                                    <a:lnTo>
                                      <a:pt x="15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Freeform 122" descr="background"/>
                            <wps:cNvSpPr>
                              <a:spLocks/>
                            </wps:cNvSpPr>
                            <wps:spPr bwMode="auto">
                              <a:xfrm>
                                <a:off x="0" y="18445"/>
                                <a:ext cx="60090" cy="2807"/>
                              </a:xfrm>
                              <a:custGeom>
                                <a:avLst/>
                                <a:gdLst>
                                  <a:gd name="T0" fmla="*/ 2147483647 w 1860"/>
                                  <a:gd name="T1" fmla="*/ 2147483647 h 87"/>
                                  <a:gd name="T2" fmla="*/ 2147483647 w 1860"/>
                                  <a:gd name="T3" fmla="*/ 2147483647 h 87"/>
                                  <a:gd name="T4" fmla="*/ 2147483647 w 1860"/>
                                  <a:gd name="T5" fmla="*/ 0 h 87"/>
                                  <a:gd name="T6" fmla="*/ 0 w 1860"/>
                                  <a:gd name="T7" fmla="*/ 0 h 87"/>
                                  <a:gd name="T8" fmla="*/ 0 w 1860"/>
                                  <a:gd name="T9" fmla="*/ 2147483647 h 87"/>
                                  <a:gd name="T10" fmla="*/ 2147483647 w 1860"/>
                                  <a:gd name="T11" fmla="*/ 2147483647 h 8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860" h="87">
                                    <a:moveTo>
                                      <a:pt x="1707" y="87"/>
                                    </a:moveTo>
                                    <a:cubicBezTo>
                                      <a:pt x="1800" y="87"/>
                                      <a:pt x="1834" y="59"/>
                                      <a:pt x="1860" y="50"/>
                                    </a:cubicBezTo>
                                    <a:cubicBezTo>
                                      <a:pt x="1819" y="26"/>
                                      <a:pt x="1786" y="0"/>
                                      <a:pt x="1709" y="0"/>
                                    </a:cubicBezTo>
                                    <a:cubicBezTo>
                                      <a:pt x="0" y="0"/>
                                      <a:pt x="0" y="0"/>
                                      <a:pt x="0" y="0"/>
                                    </a:cubicBezTo>
                                    <a:cubicBezTo>
                                      <a:pt x="0" y="87"/>
                                      <a:pt x="0" y="87"/>
                                      <a:pt x="0" y="87"/>
                                    </a:cubicBezTo>
                                    <a:lnTo>
                                      <a:pt x="1707" y="8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wgp>
                  </a:graphicData>
                </a:graphic>
                <wp14:sizeRelH relativeFrom="page">
                  <wp14:pctWidth>0</wp14:pctWidth>
                </wp14:sizeRelH>
                <wp14:sizeRelV relativeFrom="page">
                  <wp14:pctHeight>0</wp14:pctHeight>
                </wp14:sizeRelV>
              </wp:anchor>
            </w:drawing>
          </mc:Choice>
          <mc:Fallback>
            <w:pict>
              <v:group w14:anchorId="51A19327" id="Group 103" o:spid="_x0000_s1026" alt="background" style="position:absolute;margin-left:-98.05pt;margin-top:-9.4pt;width:738.7pt;height:797.35pt;z-index:-251579392" coordorigin="-827,918" coordsize="14774,1594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">
                <v:group id="Group 99" o:spid="_x0000_s1027" style="position:absolute;left:-262;top:918;width:12749;height:1610"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group id="Group 81" o:spid="_x0000_s1028" style="position:absolute;width:80962;height:10223" coordorigin="254,226" coordsize="80962,102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GoOpMQAAADbAAAADwAAAGRycy9kb3ducmV2LnhtbESPQYvCMBSE78L+h/AW&#10;vGlaVxepRhHZFQ8iqAvi7dE822LzUppsW/+9EQSPw8x8w8yXnSlFQ7UrLCuIhxEI4tTqgjMFf6ff&#10;wRSE88gaS8uk4E4OlouP3hwTbVs+UHP0mQgQdgkqyL2vEildmpNBN7QVcfCutjbog6wzqWtsA9yU&#10;chRF39JgwWEhx4rWOaW3479RsGmxXX3FP83udl3fL6fJ/ryLSan+Z7eagfDU+Xf41d5qBaMx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GoOpMQAAADbAAAA&#10;DwAAAAAAAAAAAAAAAACqAgAAZHJzL2Rvd25yZXYueG1sUEsFBgAAAAAEAAQA+gAAAJsDAAAAAA==&#10;">
                    <v:shape id="Freeform 70" o:spid="_x0000_s1029" alt="background" style="position:absolute;left:254;top:226;width:80962;height:10224;visibility:visible;mso-wrap-style:square;v-text-anchor:top" coordsize="24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STpsEA&#10;AADbAAAADwAAAGRycy9kb3ducmV2LnhtbESPQYvCMBSE74L/ITzBm6YKu0jXKCKIvWjR1fujebbF&#10;5qUkWa3+erMgeBxm5htmvuxMI27kfG1ZwWScgCAurK65VHD63YxmIHxA1thYJgUP8rBc9HtzTLW9&#10;84Fux1CKCGGfooIqhDaV0hcVGfRj2xJH72KdwRClK6V2eI9w08hpknxLgzXHhQpbWldUXI9/RsE+&#10;3z/zsyl2ud021/OOslPnMqWGg271AyJQFz7hdzvTCqZf8P8l/gC5e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8Ek6bBAAAA2wAAAA8AAAAAAAAAAAAAAAAAmAIAAGRycy9kb3du&#10;cmV2LnhtbFBLBQYAAAAABAAEAPUAAACGAwAAAAA=&#10;" path="m2488,21v-204,,-204,,-204,c1994,21,1887,107,1808,137v97,81,229,176,470,176c2336,313,2488,313,2488,313v,-292,,-292,,-292m1354,c,,,,,,,157,,157,,157v1524,,1524,,1524,c1709,157,1769,152,1808,137v,,,,,c1808,137,1808,137,1808,137,1710,57,1548,,1354,e" fillcolor="#007e9a [2404]" stroked="f">
                      <v:path arrowok="t" o:connecttype="custom" o:connectlocs="2147483646,2147483646;2147483646,2147483646;2147483646,2147483646;2147483646,2147483646;2147483646,2147483646;2147483646,2147483646;2147483646,0;0,0;0,2147483646;2147483646,2147483646;2147483646,2147483646;2147483646,2147483646;2147483646,2147483646;2147483646,0" o:connectangles="0,0,0,0,0,0,0,0,0,0,0,0,0,0"/>
                      <o:lock v:ext="edit" verticies="t"/>
                    </v:shape>
                    <v:shape id="Freeform 71" o:spid="_x0000_s1030" alt="background" style="position:absolute;left:254;top:912;width:58837;height:4442;visibility:visible;mso-wrap-style:square;v-text-anchor:top" coordsize="1808,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GzNb8A&#10;AADbAAAADwAAAGRycy9kb3ducmV2LnhtbESPzQrCMBCE74LvEFbwIprqoUg1igiCV6uIx6XZ/miz&#10;KU3U6tMbQfA4zMw3zHLdmVo8qHWVZQXTSQSCOLO64kLB6bgbz0E4j6yxtkwKXuRgver3lpho++QD&#10;PVJfiABhl6CC0vsmkdJlJRl0E9sQBy+3rUEfZFtI3eIzwE0tZ1EUS4MVh4USG9qWlN3Su1FwOe9T&#10;l3fX7cnl6ebNt1Gs53elhoNuswDhqfP/8K+91wpmMXy/hB8gVx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AbM1vwAAANsAAAAPAAAAAAAAAAAAAAAAAJgCAABkcnMvZG93bnJl&#10;di54bWxQSwUGAAAAAAQABAD1AAAAhAMAAAAA&#10;" path="m1808,116c1698,54,1548,,1354,,,,,,,,,136,,136,,136v1524,,1524,,1524,c1709,136,1769,131,1808,116e" fillcolor="#00313c [3205]" stroked="f">
                      <v:path arrowok="t" o:connecttype="custom" o:connectlocs="2147483646,2147483646;2147483646,0;0,0;0,2147483646;2147483646,2147483646;2147483646,2147483646" o:connectangles="0,0,0,0,0,0"/>
                    </v:shape>
                    <v:group id="Group 105" o:spid="_x0000_s1031" style="position:absolute;left:9186;top:3326;width:8853;height:1049" coordorigin="6800,3263" coordsize="8851,10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72" o:spid="_x0000_s1032" alt="background" style="position:absolute;left:6800;top:3556;width:1042;height:717;visibility:visible;mso-wrap-style:square;v-text-anchor:top" coordsize="32,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PcO8IA&#10;AADbAAAADwAAAGRycy9kb3ducmV2LnhtbERPyW7CMBC9V+IfrEHqrXHgwJJiEKKqQKIXlrYcB3tI&#10;AvE4il1I/x4fkDg+vX0ya20lrtT40rGCXpKCINbOlJwr2O8+30YgfEA2WDkmBf/kYTbtvEwwM+7G&#10;G7puQy5iCPsMFRQh1JmUXhdk0SeuJo7cyTUWQ4RNLk2DtxhuK9lP04G0WHJsKLCmRUH6sv2zCvTy&#10;d3M56J+x/5p/rHZ2ffw++6FSr912/g4iUBue4od7ZRT049j4Jf4AOb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Q9w7wgAAANsAAAAPAAAAAAAAAAAAAAAAAJgCAABkcnMvZG93&#10;bnJldi54bWxQSwUGAAAAAAQABAD1AAAAhwMAAAAA&#10;" path="m32,c31,8,29,15,26,22v-6,,-6,,-6,c17,9,17,9,17,9,16,7,16,7,16,7v,,,,,c15,9,15,9,15,9,12,22,12,22,12,22v-6,,-6,,-6,c3,15,1,8,,,5,,5,,5,,6,5,7,9,8,13v1,1,1,3,1,4c9,17,9,17,9,17v1,-4,1,-4,1,-4c13,,13,,13,v6,,6,,6,c23,14,23,14,23,14v,3,,3,,3c23,17,23,17,23,17v1,-1,1,-3,1,-4c25,9,26,5,27,r5,xe" fillcolor="#00a9ce [3204]" stroked="f">
                        <v:path arrowok="t" o:connecttype="custom" o:connectlocs="2147483646,0;2147483646,2147483646;2147483646,2147483646;1910147282,1016147881;1797797214,790340659;1797797214,790340659;1685448220,1016147881;1348365128,2147483646;674165078,2147483646;0,0;561816084,0;898899144,1467795274;1011248138,1919408642;1011248138,1919408642;1123632136,1467795274;1460715196,0;2134880274,0;2147483646,1580681351;2147483646,1919408642;2147483646,1919408642;2147483646,1467795274;2147483646,0;2147483646,0" o:connectangles="0,0,0,0,0,0,0,0,0,0,0,0,0,0,0,0,0,0,0,0,0,0,0"/>
                      </v:shape>
                      <v:shape id="Freeform 73" o:spid="_x0000_s1033" alt="background" style="position:absolute;left:7969;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1cEA&#10;AADbAAAADwAAAGRycy9kb3ducmV2LnhtbESPzarCMBSE94LvEI7gTlNdeLUaRRSl0I1/D3BoTn+w&#10;OSlNtPXtzYULdznMzDfMZtebWrypdZVlBbNpBII4s7riQsHjfposQTiPrLG2TAo+5GC3HQ42GGvb&#10;8ZXeN1+IAGEXo4LS+yaW0mUlGXRT2xAHL7etQR9kW0jdYhfgppbzKFpIgxWHhRIbOpSUPW8vo+Cn&#10;kNd0cU56m3TydPykeXq+5EqNR/1+DcJT7//Df+1EK5iv4PdL+AF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1ev9XBAAAA2wAAAA8AAAAAAAAAAAAAAAAAmAIAAGRycy9kb3du&#10;cmV2LnhtbFBLBQYAAAAABAAEAPUAAACGAwAAAAA=&#10;" path="m33,c31,8,29,15,26,22v-6,,-6,,-6,c17,9,17,9,17,9,16,7,16,7,16,7v,,,,,c16,9,16,9,16,9,12,22,12,22,12,22v-6,,-6,,-6,c4,15,1,8,,,5,,5,,5,,6,5,7,9,9,13v,1,,3,,4c9,17,9,17,9,17v1,-4,1,-4,1,-4c14,,14,,14,v5,,5,,5,c23,14,23,14,23,14v1,3,1,3,1,3c24,17,24,17,24,17v,-1,,-3,1,-4c26,9,27,5,28,r5,xe" fillcolor="#00a9ce [3204]" stroked="f">
                        <v:path arrowok="t" o:connecttype="custom" o:connectlocs="2147483646,0;2147483646,2147483646;2147483646,2147483646;1900417060,1016147881;1788659916,790340659;1788659916,790340659;1788659916,1016147881;1341494937,2147483646;670748005,2147483646;0,0;558955972,0;1006120918,1467795274;1006120918,1919408642;1006120918,1919408642;1117912984,1467795274;1565077963,0;2124000086,0;2147483646,1580681351;2147483646,1919408642;2147483646,1919408642;2147483646,1467795274;2147483646,0;2147483646,0" o:connectangles="0,0,0,0,0,0,0,0,0,0,0,0,0,0,0,0,0,0,0,0,0,0,0"/>
                      </v:shape>
                      <v:shape id="Freeform 74" o:spid="_x0000_s1034" alt="background" style="position:absolute;left:9144;top:3556;width:1073;height:717;visibility:visible;mso-wrap-style:square;v-text-anchor:top" coordsize="3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2Alb8A&#10;AADbAAAADwAAAGRycy9kb3ducmV2LnhtbERPy4rCMBTdC/5DuII7TZ0BlY5pGRyUQjda5wMuze2D&#10;aW5Kk7H1781CcHk470M6mU7caXCtZQWbdQSCuLS65VrB7+202oNwHlljZ5kUPMhBmsxnB4y1HflK&#10;98LXIoSwi1FB430fS+nKhgy6te2JA1fZwaAPcKilHnAM4aaTH1G0lQZbDg0N9nRsqPwr/o2CXS2v&#10;+facTTYb5ennkVf5+VIptVxM318gPE3+LX65M63gM6wPX8IPkM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vYCVvwAAANsAAAAPAAAAAAAAAAAAAAAAAJgCAABkcnMvZG93bnJl&#10;di54bWxQSwUGAAAAAAQABAD1AAAAhAMAAAAA&#10;" path="m33,c31,8,29,15,27,22v-6,,-6,,-6,c17,9,17,9,17,9,16,7,16,7,16,7v,,,,,c16,9,16,9,16,9,13,22,13,22,13,22v-7,,-7,,-7,c4,15,2,8,,,6,,6,,6,,7,5,8,9,9,13v,1,,3,1,4c10,17,10,17,10,17v1,-4,1,-4,1,-4c14,,14,,14,v5,,5,,5,c23,14,23,14,23,14v1,3,1,3,1,3c24,17,24,17,24,17v,-1,1,-3,1,-4c26,9,27,5,28,r5,xe" fillcolor="#00a9ce [3204]" stroked="f">
                        <v:path arrowok="t" o:connecttype="custom" o:connectlocs="2147483646,0;2147483646,2147483646;2147483646,2147483646;1900417060,1016147881;1788659916,790340659;1788659916,790340659;1788659916,1016147881;1453286970,2147483646;670748005,2147483646;0,0;670748005,0;1006120918,1467795274;1117912984,1919408642;1117912984,1919408642;1229703944,1467795274;1565077963,0;2124000086,0;2147483646,1580681351;2147483646,1919408642;2147483646,1919408642;2147483646,1467795274;2147483646,0;2147483646,0" o:connectangles="0,0,0,0,0,0,0,0,0,0,0,0,0,0,0,0,0,0,0,0,0,0,0"/>
                      </v:shape>
                      <v:oval id="Oval 75" o:spid="_x0000_s1035" alt="background" style="position:absolute;left:10312;top:4044;width:229;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w/cQA&#10;AADbAAAADwAAAGRycy9kb3ducmV2LnhtbESPQWvCQBSE74X+h+UJvdVdW5ASXUVLW3pRGivi8Zl9&#10;JsHs25B91fTfdwWhx2FmvmGm89436kxdrANbGA0NKOIiuJpLC9vv98cXUFGQHTaBycIvRZjP7u+m&#10;mLlw4ZzOGylVgnDM0EIl0mZax6Iij3EYWuLkHUPnUZLsSu06vCS4b/STMWPtsea0UGFLrxUVp82P&#10;t7A6Ld+OZrtbf7Vi8v2Hz/uDLK19GPSLCSihXv7Dt/ans/A8guuX9AP0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CsP3EAAAA2wAAAA8AAAAAAAAAAAAAAAAAmAIAAGRycy9k&#10;b3ducmV2LnhtbFBLBQYAAAAABAAEAPUAAACJAwAAAAA=&#10;" fillcolor="#00a9ce [3204]" stroked="f"/>
                      <v:shape id="Freeform 76" o:spid="_x0000_s1036" alt="background" style="position:absolute;left:10674;top:3556;width:552;height:717;visibility:visible;mso-wrap-style:square;v-text-anchor:top" coordsize="17,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rIcQA&#10;AADbAAAADwAAAGRycy9kb3ducmV2LnhtbESPX2vCMBTF3wW/Q7jCXoamq8ONaiwyGAgbis6HPV6a&#10;a1tsbrok1rpPbwYDHw/nz4+zyHvTiI6cry0reJokIIgLq2suFRy+3sevIHxA1thYJgVX8pAvh4MF&#10;ZtpeeEfdPpQijrDPUEEVQptJ6YuKDPqJbYmjd7TOYIjSlVI7vMRx08g0SWbSYM2RUGFLbxUVp/3Z&#10;RMj3Z7dJ0G1/1/xM8ufl7D/aR6UeRv1qDiJQH+7h//ZaK5im8Pcl/gC5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8CKyHEAAAA2wAAAA8AAAAAAAAAAAAAAAAAmAIAAGRycy9k&#10;b3ducmV2LnhtbFBLBQYAAAAABAAEAPUAAACJAwAAAAA=&#10;" path="m17,21v-3,1,-5,1,-7,1c3,22,,18,,12,,4,5,,11,v2,,4,,5,1c15,5,15,5,15,5,14,5,13,4,11,4,8,4,6,7,6,11v,5,2,7,5,7c13,18,14,18,16,17r1,4xe" fillcolor="#00a9ce [3204]" stroked="f">
                        <v:path arrowok="t" o:connecttype="custom" o:connectlocs="1891313541,2147483646;1112535446,2147483646;0,1354875172;1223798807,0;1780049142,112921145;1668819518,564534513;1223798807,451613368;667514735,1241989095;1223798807,2032329786;1780049142,1919408642;1891313541,2147483646" o:connectangles="0,0,0,0,0,0,0,0,0,0,0"/>
                      </v:shape>
                      <v:shape id="Freeform 77" o:spid="_x0000_s1037" alt="background" style="position:absolute;left:11322;top:3556;width:520;height:755;visibility:visible;mso-wrap-style:square;v-text-anchor:top" coordsize="16,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s8QA&#10;AADbAAAADwAAAGRycy9kb3ducmV2LnhtbESPQWvCQBSE7wX/w/IEb3WjUi2pG5GC4MEeEsXza/Y1&#10;Ccm+DbvbGP313UKhx2FmvmG2u9F0YiDnG8sKFvMEBHFpdcOVgsv58PwKwgdkjZ1lUnAnD7ts8rTF&#10;VNsb5zQUoRIRwj5FBXUIfSqlL2sy6Oe2J47el3UGQ5SuktrhLcJNJ5dJspYGG44LNfb0XlPZFt9G&#10;wXpTOXnNP8bPl/a0LAs3PPKzVGo2HfdvIAKN4T/81z5qBasV/H6JP0Bm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m7PEAAAA2wAAAA8AAAAAAAAAAAAAAAAAmAIAAGRycy9k&#10;b3ducmV2LnhtbFBLBQYAAAAABAAEAPUAAACJAwAAAAA=&#10;" path="m7,23c5,23,3,22,,22,1,17,1,17,1,17v2,1,4,1,6,1c9,18,10,18,10,16,10,15,9,14,6,13,3,12,1,10,1,7,1,3,4,,9,v2,,4,,5,1c14,5,14,5,14,5,12,4,11,4,9,4,7,4,6,5,6,6v,2,1,2,4,3c14,10,16,12,16,15v,5,-4,8,-9,8xe" fillcolor="#00a9ce [3204]" stroked="f">
                        <v:path arrowok="t" o:connecttype="custom" o:connectlocs="782029560,2147483646;0,2147483646;111703735,1975587032;782029560,2091818264;1117174500,1859390300;670290985,1510765603;111703735,813480626;1005436998,0;1564024248,116196732;1564024248,581052661;1005436998,464855929;670290985,697284977;1117174500,1045909674;1787465485,1743193567;782029560,2147483646" o:connectangles="0,0,0,0,0,0,0,0,0,0,0,0,0,0,0"/>
                      </v:shape>
                      <v:shape id="Freeform 78" o:spid="_x0000_s1038" alt="background" style="position:absolute;left:11938;top:3263;width:298;height:1010;visibility:visible;mso-wrap-style:square;v-text-anchor:top" coordsize="9,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gf7sYA&#10;AADbAAAADwAAAGRycy9kb3ducmV2LnhtbESPS0/DMBCE70j9D9YicaMOtLQl1K14qIILqvq4cFvF&#10;SxI1Xod4SdL++hoJqcfRzHyjmS97V6mWmlB6NnA3TEARZ96WnBvY71a3M1BBkC1WnsnAkQIsF4Or&#10;OabWd7yhdiu5ihAOKRooROpU65AV5DAMfU0cvW/fOJQom1zbBrsId5W+T5KJdlhyXCiwpteCssP2&#10;1xl44el79zby65M8JGNpvz5/dtNHY26u++cnUEK9XML/7Q9rYDSGvy/xB+jFG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gf7sYAAADbAAAADwAAAAAAAAAAAAAAAACYAgAAZHJz&#10;L2Rvd25yZXYueG1sUEsFBgAAAAAEAAQA9QAAAIsDAAAAAA==&#10;" path="m3,31c3,13,3,13,3,13,,13,,13,,13,,9,,9,,9v8,,8,,8,c8,31,8,31,8,31r-5,xm6,6c4,6,2,5,2,3,2,1,4,,6,,8,,9,1,9,3,9,5,8,6,6,6xe" fillcolor="#00a9ce [3204]" stroked="f">
                        <v:path arrowok="t" o:connecttype="custom" o:connectlocs="361124214,2147483646;361124214,1464299955;0,1464299955;0,1013735241;963035541,1013735241;963035541,2147483646;361124214,2147483646;722285678,675846517;240749829,337922705;722285678,0;1083409893,337922705;722285678,675846517" o:connectangles="0,0,0,0,0,0,0,0,0,0,0,0"/>
                        <o:lock v:ext="edit" verticies="t"/>
                      </v:shape>
                      <v:shape id="Freeform 79" o:spid="_x0000_s1039" alt="background" style="position:absolute;left:12426;top:3556;width:426;height:717;visibility:visible;mso-wrap-style:square;v-text-anchor:top" coordsize="1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28wsMA&#10;AADbAAAADwAAAGRycy9kb3ducmV2LnhtbESPQYvCMBSE74L/IbwFL6KpW12kGkXFBQ8ebNeDx0fz&#10;bMs2L6XJavffG0HwOMzMN8xy3Zla3Kh1lWUFk3EEgji3uuJCwfnnezQH4TyyxtoyKfgnB+tVv7fE&#10;RNs7p3TLfCEChF2CCkrvm0RKl5dk0I1tQxy8q20N+iDbQuoW7wFuavkZRV/SYMVhocSGdiXlv9mf&#10;UZBm0/gYnbbzGK8p7Sml3fQyVGrw0W0WIDx1/h1+tQ9aQTyD55fwA+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28wsMAAADbAAAADwAAAAAAAAAAAAAAAACYAgAAZHJzL2Rv&#10;d25yZXYueG1sUEsFBgAAAAAEAAQA9QAAAIgDAAAAAA==&#10;" path="m12,5v,,-1,,-2,c9,5,7,6,5,9v,13,,13,,13c,22,,22,,22,,,,,,,4,,4,,4,,5,4,5,4,5,4,7,1,8,,10,v1,,2,,3,l12,5xe" fillcolor="#00a9ce [3204]" stroked="f">
                        <v:path arrowok="t" o:connecttype="custom" o:connectlocs="1381916113,564534513;1151609110,564534513;575786843,1016147881;575786843,2147483646;0,2147483646;0,0;460650512,0;575786843,451613368;1151609110,0;1497087868,0;1381916113,564534513" o:connectangles="0,0,0,0,0,0,0,0,0,0,0"/>
                      </v:shape>
                      <v:shape id="Freeform 80" o:spid="_x0000_s1040" alt="background" style="position:absolute;left:12947;top:3556;width:718;height:755;visibility:visible;mso-wrap-style:square;v-text-anchor:top" coordsize="2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WSvMMA&#10;AADbAAAADwAAAGRycy9kb3ducmV2LnhtbESPQUvDQBSE7wX/w/IEb3ajQpDYbamC6EWorQSPj+xL&#10;sjb7NmRf0uivdwWhx2FmvmFWm9l3aqIhusAGbpYZKOIqWMeNgY/D8/U9qCjIFrvAZOCbImzWF4sV&#10;Fjac+J2mvTQqQTgWaKAV6QutY9WSx7gMPXHy6jB4lCSHRtsBTwnuO32bZbn26DgttNjTU0vVcT96&#10;A7sXXe9KQfeJ9ZjXj19v7qcUY64u5+0DKKFZzuH/9qs1cJfD35f0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WSvMMAAADbAAAADwAAAAAAAAAAAAAAAACYAgAAZHJzL2Rv&#10;d25yZXYueG1sUEsFBgAAAAAEAAQA9QAAAIgDAAAAAA==&#10;" path="m11,23c3,23,,18,,12,,4,4,,11,v7,,11,4,11,11c22,18,18,23,11,23xm11,4c7,4,5,7,5,11v,4,2,7,6,7c15,18,16,15,16,11,16,7,15,4,11,4xe" fillcolor="#00a9ce [3204]" stroked="f">
                        <v:path arrowok="t" o:connecttype="custom" o:connectlocs="1247192076,2147483646;0,1394533287;1247192076,0;2147483646,1278337638;1247192076,2147483646;1247192076,464855929;566899576,1278337638;1247192076,2091818264;1814057580,1278337638;1247192076,464855929" o:connectangles="0,0,0,0,0,0,0,0,0,0"/>
                        <o:lock v:ext="edit" verticies="t"/>
                      </v:shape>
                      <v:oval id="Oval 81" o:spid="_x0000_s1041" alt="background" style="position:absolute;left:13830;top:4044;width:190;height: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eNEsUA&#10;AADbAAAADwAAAGRycy9kb3ducmV2LnhtbESPQWvCQBSE74X+h+UVvNXdttCW6Cpa2tKLxaiIx2f2&#10;mQSzb0P2qem/dwuFHoeZ+YYZT3vfqDN1sQ5s4WFoQBEXwdVcWtisP+5fQUVBdtgEJgs/FGE6ub0Z&#10;Y+bChXM6r6RUCcIxQwuVSJtpHYuKPMZhaImTdwidR0myK7Xr8JLgvtGPxjxrjzWnhQpbequoOK5O&#10;3sLiOH8/mM32e9mKyXefPu/3Mrd2cNfPRqCEevkP/7W/nIWnF/j9kn6Anl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Z40SxQAAANsAAAAPAAAAAAAAAAAAAAAAAJgCAABkcnMv&#10;ZG93bnJldi54bWxQSwUGAAAAAAQABAD1AAAAigMAAAAA&#10;" fillcolor="#00a9ce [3204]" stroked="f"/>
                      <v:shape id="Freeform 82" o:spid="_x0000_s1042" alt="background" style="position:absolute;left:14217;top:3556;width:584;height:755;visibility:visible;mso-wrap-style:square;v-text-anchor:top" coordsize="18,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TnisAA&#10;AADbAAAADwAAAGRycy9kb3ducmV2LnhtbERPTWsCMRC9C/0PYQq9abIValmNItLSHuvqod6Gzbi7&#10;uJksm1TTf985FDw+3vdqk32vrjTGLrCFYmZAEdfBddxYOB7ep6+gYkJ22AcmC78UYbN+mKywdOHG&#10;e7pWqVESwrFEC21KQ6l1rFvyGGdhIBbuHEaPSeDYaDfiTcJ9r5+NedEeO5aGFgfatVRfqh8vvaYq&#10;PsyOz8Xb3C/McZG/vk/Z2qfHvF2CSpTTXfzv/nQW5jJWvsgP0Os/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xTnisAAAADbAAAADwAAAAAAAAAAAAAAAACYAgAAZHJzL2Rvd25y&#10;ZXYueG1sUEsFBgAAAAAEAAQA9QAAAIUDAAAAAA==&#10;" path="m14,22v,-2,,-2,,-2c12,22,10,23,7,23,2,23,,20,,16,,11,4,9,10,9v3,,3,,3,c13,8,13,8,13,8,13,5,12,4,8,4,6,4,4,4,2,5,1,1,1,1,1,1,3,,6,,9,v7,,9,3,9,7c18,22,18,22,18,22r-4,xm13,12v-3,,-3,,-3,c7,12,5,14,5,16v,1,1,3,3,3c10,19,12,18,13,17r,-5xe" fillcolor="#00a9ce [3204]" stroked="f">
                        <v:path arrowok="t" o:connecttype="custom" o:connectlocs="1551816383,2147483646;1551816383,2147483646;775907656,2147483646;0,1859390300;1108449909,1045909674;1440957382,1045909674;1440957382,929677358;886732979,464855929;221683253,581052661;110859000,116196732;997590909,0;1995181818,813480626;1995181818,2147483646;1551816383,2147483646;1440957382,1394533287;1108449909,1394533287;554224436,1859390300;886732979,2147483646;1440957382,1975587032;1440957382,1394533287" o:connectangles="0,0,0,0,0,0,0,0,0,0,0,0,0,0,0,0,0,0,0,0"/>
                        <o:lock v:ext="edit" verticies="t"/>
                      </v:shape>
                      <v:shape id="Freeform 83" o:spid="_x0000_s1043" alt="background" style="position:absolute;left:15030;top:3556;width:622;height:755;visibility:visible;mso-wrap-style:square;v-text-anchor:top" coordsize="19,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H2M8MA&#10;AADbAAAADwAAAGRycy9kb3ducmV2LnhtbESP3YrCMBSE74V9h3AWvNN0lfWnGkWWdRHxxuoDHJtj&#10;W7Y5KU1s69sbQfBymJlvmOW6M6VoqHaFZQVfwwgEcWp1wZmC82k7mIFwHlljaZkU3MnBevXRW2Ks&#10;bctHahKfiQBhF6OC3PsqltKlORl0Q1sRB+9qa4M+yDqTusY2wE0pR1E0kQYLDgs5VvSTU/qf3IyC&#10;6bjdbwvqbHNLT8317/fwfYkOSvU/u80ChKfOv8Ov9k4rGM/h+SX8AL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H2M8MAAADbAAAADwAAAAAAAAAAAAAAAACYAgAAZHJzL2Rv&#10;d25yZXYueG1sUEsFBgAAAAAEAAQA9QAAAIgDAAAAAA==&#10;" path="m15,22v,-3,,-3,,-3c12,22,10,23,7,23,2,23,,19,,14,,,,,,,5,,5,,5,v,13,,13,,13c5,16,6,18,9,18v2,,3,-1,5,-3c14,,14,,14,v5,,5,,5,c19,22,19,22,19,22r-4,xe" fillcolor="#00a9ce [3204]" stroked="f">
                        <v:path arrowok="t" o:connecttype="custom" o:connectlocs="1723646461,2147483646;1723646461,2147483646;804373641,2147483646;0,1626962335;0,0;574537733,0;574537733,1510765603;1034174160,2091818264;1608746202,1743193567;1608746202,0;2147483646,0;2147483646,2147483646;1723646461,2147483646" o:connectangles="0,0,0,0,0,0,0,0,0,0,0,0,0"/>
                      </v:shape>
                    </v:group>
                    <v:shape id="Freeform 84" o:spid="_x0000_s1044" style="position:absolute;left:59091;top:912;width:22125;height:8883;visibility:visible;mso-wrap-style:square;v-text-anchor:top" coordsize="680,2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Ppfr4A&#10;AADbAAAADwAAAGRycy9kb3ducmV2LnhtbERPz2vCMBS+C/4P4Q28abqxiXRGEWHQHTys6v3RvDWl&#10;yUtJMtv99+YgePz4fm/3k7PiRiF2nhW8rgoQxI3XHbcKLuev5QZETMgarWdS8E8R9rv5bIul9iP/&#10;0K1OrcghHEtUYFIaSiljY8hhXPmBOHO/PjhMGYZW6oBjDndWvhXFWjrsODcYHOhoqOnrP6cgfVhf&#10;6asLfXX6nirTrw9MqNTiZTp8gkg0paf44a60gve8Pn/JP0Du7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6z6X6+AAAA2wAAAA8AAAAAAAAAAAAAAAAAmAIAAGRycy9kb3ducmV2&#10;LnhtbFBLBQYAAAAABAAEAPUAAACDAwAAAAA=&#10;" path="m476,c186,,79,86,,116v128,73,229,156,470,156c528,272,680,272,680,272,680,,680,,680,l476,xe" fillcolor="white [3212]" stroked="f">
                      <v:path arrowok="t" o:connecttype="custom" o:connectlocs="2147483646,0;0,2147483646;2147483646,2147483646;2147483646,2147483646;2147483646,0;2147483646,0" o:connectangles="0,0,0,0,0,0"/>
                    </v:shape>
                    <v:shape id="Freeform 104" o:spid="_x0000_s1045" alt="background" style="position:absolute;left:59103;top:929;width:22106;height:8861;visibility:visible;mso-wrap-style:square;v-text-anchor:top" coordsize="680,2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tERMUA&#10;AADbAAAADwAAAGRycy9kb3ducmV2LnhtbESP3WrCQBSE7wt9h+UUetfsKkXa1I20gkFBEWMf4JA9&#10;+aHZsyG7avTpuwWhl8PMfMPMF6PtxJkG3zrWMEkUCOLSmZZrDd/H1csbCB+QDXaOScOVPCyyx4c5&#10;psZd+EDnItQiQtinqKEJoU+l9GVDFn3ieuLoVW6wGKIcamkGvES47eRUqZm02HJcaLCnZUPlT3Gy&#10;GjZutVHvt6/dtloWudqGPD/urdbPT+PnB4hAY/gP39tro+F1An9f4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m0RExQAAANsAAAAPAAAAAAAAAAAAAAAAAJgCAABkcnMv&#10;ZG93bnJldi54bWxQSwUGAAAAAAQABAD1AAAAigMAAAAA&#10;" adj="-11796480,,5400" path="m476,c186,,79,86,,116v128,73,229,156,470,156c528,272,680,272,680,272,680,,680,,680,l476,xe" fillcolor="white [3212]" stroked="f">
                      <v:stroke joinstyle="miter"/>
                      <v:formulas/>
                      <v:path arrowok="t" o:connecttype="custom" o:connectlocs="2147483646,0;0,2147483646;2147483646,2147483646;2147483646,2147483646;2147483646,0;2147483646,0" o:connectangles="0,0,0,0,0,0" textboxrect="0,0,680,272"/>
                      <v:textbox>
                        <w:txbxContent>
                          <w:p w14:paraId="0009D414" w14:textId="77777777" w:rsidR="004D1EEA" w:rsidRPr="007367A7" w:rsidRDefault="004D1EEA" w:rsidP="00A65678">
                            <w:pPr>
                              <w:rPr>
                                <w:rFonts w:eastAsia="Times New Roman"/>
                                <w:color w:val="00A9CE" w:themeColor="accent1"/>
                              </w:rPr>
                            </w:pP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46" type="#_x0000_t75" alt="CSIRO logo" style="position:absolute;left:65836;top:863;width:8941;height:8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SXV/EAAAA2wAAAA8AAABkcnMvZG93bnJldi54bWxEj0FrAjEUhO8F/0N4grearRStW6OIIJSy&#10;RbQ96O1189ws3bysm6jpv28EocdhZr5hZotoG3GhzteOFTwNMxDEpdM1Vwq+PtePLyB8QNbYOCYF&#10;v+RhMe89zDDX7spbuuxCJRKEfY4KTAhtLqUvDVn0Q9cSJ+/oOoshya6SusNrgttGjrJsLC3WnBYM&#10;trQyVP7szlbBd3Fq9ns3HW9M/Ih4eC+OEy6UGvTj8hVEoBj+w/f2m1bwPILbl/QD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SXV/EAAAA2wAAAA8AAAAAAAAAAAAAAAAA&#10;nwIAAGRycy9kb3ducmV2LnhtbFBLBQYAAAAABAAEAPcAAACQAwAAAAA=&#10;">
                    <v:imagedata r:id="rId8" o:title="CSIRO logo"/>
                    <v:path arrowok="t"/>
                  </v:shape>
                </v:group>
                <v:group id="Group 69" o:spid="_x0000_s1047" style="position:absolute;left:-827;top:10206;width:14774;height:6659" coordsize="93818,422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rect id="Rectangle 68" o:spid="_x0000_s1048" style="position:absolute;left:5257;top:10287;width:75990;height:320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122cQA&#10;AADbAAAADwAAAGRycy9kb3ducmV2LnhtbESPzWrDMBCE74W8g9hAb42cXxcnSgglNW5uceueF2tj&#10;m1gr11IS9+2rQqHHYWa+YTa7wbTiRr1rLCuYTiIQxKXVDVcKPt5fn55BOI+ssbVMCr7JwW47ethg&#10;ou2dT3TLfSUChF2CCmrvu0RKV9Zk0E1sRxy8s+0N+iD7Suoe7wFuWjmLopU02HBYqLGjl5rKS341&#10;Cq7L+O0wfH6l8yIq4mPRLjOfdko9jof9GoSnwf+H/9qZVrBYwO+X8AP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dtnEAAAA2wAAAA8AAAAAAAAAAAAAAAAAmAIAAGRycy9k&#10;b3ducmV2LnhtbFBLBQYAAAAABAAEAPUAAACJAwAAAAA=&#10;" fillcolor="white [3212]" stroked="f" strokeweight="2pt"/>
                  <v:group id="Group 67" o:spid="_x0000_s1049" style="position:absolute;width:93818;height:26426" coordsize="93818,264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Freeform 115" o:spid="_x0000_s1050" alt="background" style="position:absolute;width:47104;height:12071;visibility:visible;mso-wrap-style:square;v-text-anchor:top" coordsize="1458,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6jRMUA&#10;AADbAAAADwAAAGRycy9kb3ducmV2LnhtbESPQUvDQBSE74L/YXmCN7tpKKXEbos0aD0I1Wo9P7Kv&#10;2Wj2bdjdpPHfd4VCj8PMfMMs16NtxUA+NI4VTCcZCOLK6YZrBV+fzw8LECEia2wdk4I/CrBe3d4s&#10;sdDuxB807GMtEoRDgQpMjF0hZagMWQwT1xEn7+i8xZikr6X2eEpw28o8y+bSYsNpwWBHG0PV7763&#10;CnzIzW5bHo55//PyPhz68vutL5W6vxufHkFEGuM1fGm/agWzOfx/ST9Ars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HqNExQAAANsAAAAPAAAAAAAAAAAAAAAAAJgCAABkcnMv&#10;ZG93bnJldi54bWxQSwUGAAAAAAQABAD1AAAAigMAAAAA&#10;" path="m1458,321c1158,150,746,,214,,,,,,,,,374,,374,,374v680,,680,,680,c1186,374,1351,362,1458,321e" fillcolor="#00313c [3205]" stroked="f">
                      <v:path arrowok="t" o:connecttype="custom" o:connectlocs="2147483646,2147483646;2147483646,0;0,0;0,2147483646;2147483646,2147483646;2147483646,2147483646" o:connectangles="0,0,0,0,0,0"/>
                    </v:shape>
                    <v:shape id="Freeform 116" o:spid="_x0000_s1051" alt="background" style="position:absolute;top:14031;width:21545;height:6197;visibility:visible;mso-wrap-style:square;v-text-anchor:top" coordsize="667,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KTiMQA&#10;AADbAAAADwAAAGRycy9kb3ducmV2LnhtbESPT2vCQBTE70K/w/IKvemmVqym2UgotOjNv6C3R/Y1&#10;Cc2+DbtbTfvpXUHocZiZ3zDZojetOJPzjWUFz6MEBHFpdcOVgv3uYzgD4QOyxtYyKfglD4v8YZBh&#10;qu2FN3TehkpECPsUFdQhdKmUvqzJoB/Zjjh6X9YZDFG6SmqHlwg3rRwnyVQabDgu1NjRe03l9/bH&#10;KHixp4Mumr/PYu1oZY/zbjw9rZR6euyLNxCB+vAfvreXWsHkFW5f4g+Q+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yk4jEAAAA2wAAAA8AAAAAAAAAAAAAAAAAmAIAAGRycy9k&#10;b3ducmV2LnhtbFBLBQYAAAAABAAEAPUAAACJAwAAAAA=&#10;" path="m667,165c513,77,302,,29,,,,,,,,,192,,192,,192v268,,268,,268,c528,192,612,186,667,165e" fillcolor="#00a9ce [3204]" stroked="f">
                      <v:path arrowok="t" o:connecttype="custom" o:connectlocs="2147483646,2147483646;2147483646,0;0,0;0,2147483646;2147483646,2147483646;2147483646,2147483646" o:connectangles="0,0,0,0,0,0"/>
                    </v:shape>
                    <v:shape id="Freeform 117" o:spid="_x0000_s1052" alt="background" style="position:absolute;left:21441;top:14031;width:72269;height:12395;visibility:visible;mso-wrap-style:square;v-text-anchor:top" coordsize="2237,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MKlrwA&#10;AADbAAAADwAAAGRycy9kb3ducmV2LnhtbERPvQrCMBDeBd8hnOCmqSIi1SgqiIKTVeh6NGdbbC6l&#10;ibb69GYQHD++/9WmM5V4UeNKywom4wgEcWZ1ybmC2/UwWoBwHlljZZkUvMnBZt3vrTDWtuULvRKf&#10;ixDCLkYFhfd1LKXLCjLoxrYmDtzdNgZ9gE0udYNtCDeVnEbRXBosOTQUWNO+oOyRPI2CY325t7tt&#10;ahM6nCef+Sed5XxUajjotksQnjr/F//cJ61gFsaGL+EHyP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towqWvAAAANsAAAAPAAAAAAAAAAAAAAAAAJgCAABkcnMvZG93bnJldi54&#10;bWxQSwUGAAAAAAQABAD1AAAAgQMAAAAA&#10;" path="m669,c262,,112,122,,165,180,268,322,384,661,384v82,,1576,,1576,c2237,,2237,,2237,l669,xe" fillcolor="#00a9ce [3204]" stroked="f">
                      <v:path arrowok="t" o:connecttype="custom" o:connectlocs="2147483646,0;0,2147483646;2147483646,2147483646;2147483646,2147483646;2147483646,0;2147483646,0" o:connectangles="0,0,0,0,0,0"/>
                    </v:shape>
                    <v:shape id="Freeform 118" o:spid="_x0000_s1053" alt="background" style="position:absolute;left:46981;width:46837;height:24180;visibility:visible;mso-wrap-style:square;v-text-anchor:top" coordsize="1450,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v7MMA&#10;AADbAAAADwAAAGRycy9kb3ducmV2LnhtbESP3YrCMBSE74V9h3AWvNPUZSnaNYqrLBTBC38e4NCc&#10;bavNSWiiVp/eCIKXw8x8w0znnWnEhVpfW1YwGiYgiAuray4VHPZ/gzEIH5A1NpZJwY08zGcfvSlm&#10;2l55S5ddKEWEsM9QQRWCy6T0RUUG/dA64uj929ZgiLItpW7xGuGmkV9JkkqDNceFCh0tKypOu7NR&#10;kC4x/10dc7fe8MQd76ZM1+lCqf5nt/gBEagL7/CrnWsF3xN4fok/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v7MMAAADbAAAADwAAAAAAAAAAAAAAAACYAgAAZHJzL2Rv&#10;d25yZXYueG1sUEsFBgAAAAAEAAQA9QAAAIgDAAAAAA==&#10;" path="m1306,c512,,218,238,,321,351,522,628,749,1291,749v159,,155,,155,c1446,,1446,,1446,l1306,xe" fillcolor="#00313c [3205]" stroked="f">
                      <v:path arrowok="t" o:connecttype="custom" o:connectlocs="2147483646,0;0,2147483646;2147483646,2147483646;2147483646,2147483646;2147483646,0;2147483646,0" o:connectangles="0,0,0,0,0,0"/>
                    </v:shape>
                    <v:shape id="Freeform 119" o:spid="_x0000_s1054" alt="background" style="position:absolute;top:22702;width:71170;height:1422;visibility:visible;mso-wrap-style:square;v-text-anchor:top" coordsize="2203,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Raf8AA&#10;AADbAAAADwAAAGRycy9kb3ducmV2LnhtbERP3WrCMBS+F/YO4Qy809SiIrVRZDARxi78eYBDc9aU&#10;Niclydq6p18uBrv8+P7L42Q7MZAPjWMFq2UGgrhyuuFaweP+vtiBCBFZY+eYFDwpwPHwMiux0G7k&#10;Kw23WIsUwqFABSbGvpAyVIYshqXriRP35bzFmKCvpfY4pnDbyTzLttJiw6nBYE9vhqr29m0VXD5+&#10;znxt9Wqz3Z2M/1zrKh+jUvPX6bQHEWmK/+I/90Ur2KT16Uv6AfLw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FRaf8AAAADbAAAADwAAAAAAAAAAAAAAAACYAgAAZHJzL2Rvd25y&#10;ZXYueG1sUEsFBgAAAAAEAAQA9QAAAIUDAAAAAA==&#10;" path="m2203,38c2169,21,2120,,2058,,,,,,,,,44,,44,,44v2112,,2112,,2112,c2112,44,2193,40,2203,38e" fillcolor="#00313c [3205]" stroked="f">
                      <v:path arrowok="t" o:connecttype="custom" o:connectlocs="2147483646,2147483646;2147483646,0;0,0;0,2147483646;2147483646,2147483646;2147483646,2147483646" o:connectangles="0,0,0,0,0,0"/>
                    </v:shape>
                    <v:shape id="Freeform 120" o:spid="_x0000_s1055" alt="background" style="position:absolute;left:71102;top:22702;width:22644;height:2838;visibility:visible;mso-wrap-style:square;v-text-anchor:top" coordsize="701,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IrMEA&#10;AADbAAAADwAAAGRycy9kb3ducmV2LnhtbESPQWuDQBSE74X8h+UFeqtrSluCyRpCINQeq+b+cF9U&#10;dN8u7lbtv+8WCj0OM/MNczytZhQzTb63rGCXpCCIG6t7bhXU1fVpD8IHZI2jZVLwTR5O+ebhiJm2&#10;C3/SXIZWRAj7DBV0IbhMSt90ZNAn1hFH724ngyHKqZV6wiXCzSif0/RNGuw5LnTo6NJRM5RfRoFx&#10;Lx/1zd376vK+MF7rlJdiUOpxu54PIAKt4T/81y60gtcd/H6JP0Dm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kiKzBAAAA2wAAAA8AAAAAAAAAAAAAAAAAmAIAAGRycy9kb3du&#10;cmV2LnhtbFBLBQYAAAAABAAEAPUAAACGAwAAAAA=&#10;" path="m153,c60,,26,28,,38,41,61,74,88,151,88v550,,550,,550,c701,,701,,701,l153,xe" stroked="f">
                      <v:path arrowok="t" o:connecttype="custom" o:connectlocs="2147483646,0;0,2147483646;2147483646,2147483646;2147483646,2147483646;2147483646,0;2147483646,0" o:connectangles="0,0,0,0,0,0"/>
                    </v:shape>
                    <v:shape id="Freeform 122" o:spid="_x0000_s1056" alt="background" style="position:absolute;top:18445;width:60090;height:2807;visibility:visible;mso-wrap-style:square;v-text-anchor:top" coordsize="1860,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Fj0sUA&#10;AADbAAAADwAAAGRycy9kb3ducmV2LnhtbESPQWsCMRSE7wX/Q3iCt5pVaLVbo6goehFa7aHeHpvn&#10;7uLmZZvEde2vN0Khx2FmvmEms9ZUoiHnS8sKBv0EBHFmdcm5gq/D+nkMwgdkjZVlUnAjD7Np52mC&#10;qbZX/qRmH3IRIexTVFCEUKdS+qwgg75va+LonawzGKJ0udQOrxFuKjlMkldpsOS4UGBNy4Ky8/5i&#10;FLz5Wzh+L1Yfi+3uZ/N7bJxZrkZK9brt/B1EoDb8h//aW63gZQiP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EWPSxQAAANsAAAAPAAAAAAAAAAAAAAAAAJgCAABkcnMv&#10;ZG93bnJldi54bWxQSwUGAAAAAAQABAD1AAAAigMAAAAA&#10;" path="m1707,87v93,,127,-28,153,-37c1819,26,1786,,1709,,,,,,,,,87,,87,,87r1707,xe" stroked="f">
                      <v:path arrowok="t" o:connecttype="custom" o:connectlocs="2147483646,2147483646;2147483646,2147483646;2147483646,0;0,0;0,2147483646;2147483646,2147483646" o:connectangles="0,0,0,0,0,0"/>
                    </v:shape>
                  </v:group>
                </v:group>
              </v:group>
            </w:pict>
          </mc:Fallback>
        </mc:AlternateContent>
      </w:r>
      <w:r w:rsidRPr="00B0618E">
        <w:rPr>
          <w:color w:val="FFFFFF" w:themeColor="background1"/>
          <w:sz w:val="72"/>
        </w:rPr>
        <w:t xml:space="preserve">Sensitivity and uncertainty analysis of a regional-scale groundwater flow </w:t>
      </w:r>
      <w:r w:rsidR="00921014" w:rsidRPr="00B0618E">
        <w:rPr>
          <w:color w:val="FFFFFF" w:themeColor="background1"/>
          <w:sz w:val="72"/>
        </w:rPr>
        <w:t>model</w:t>
      </w:r>
      <w:r w:rsidRPr="00B0618E">
        <w:rPr>
          <w:color w:val="FFFFFF" w:themeColor="background1"/>
          <w:sz w:val="72"/>
        </w:rPr>
        <w:t xml:space="preserve"> </w:t>
      </w:r>
      <w:r w:rsidR="00921014" w:rsidRPr="00B0618E">
        <w:rPr>
          <w:color w:val="FFFFFF" w:themeColor="background1"/>
          <w:sz w:val="72"/>
        </w:rPr>
        <w:t xml:space="preserve">featuring </w:t>
      </w:r>
      <w:r w:rsidRPr="00B0618E">
        <w:rPr>
          <w:color w:val="FFFFFF" w:themeColor="background1"/>
          <w:sz w:val="72"/>
        </w:rPr>
        <w:t>coal seam gas extraction</w:t>
      </w:r>
    </w:p>
    <w:p w14:paraId="056A83E0" w14:textId="77777777" w:rsidR="00730D8D" w:rsidRPr="00B0618E" w:rsidRDefault="00730D8D" w:rsidP="00A65678">
      <w:pPr>
        <w:pStyle w:val="BodyText"/>
        <w:rPr>
          <w:color w:val="FFFFFF" w:themeColor="background1"/>
        </w:rPr>
      </w:pPr>
    </w:p>
    <w:p w14:paraId="6251CF90" w14:textId="77777777" w:rsidR="00730D8D" w:rsidRPr="00B0618E" w:rsidRDefault="00730D8D" w:rsidP="00A65678">
      <w:pPr>
        <w:pStyle w:val="BodyText"/>
        <w:rPr>
          <w:b/>
          <w:color w:val="FFFFFF" w:themeColor="background1"/>
          <w:szCs w:val="24"/>
        </w:rPr>
      </w:pPr>
      <w:r w:rsidRPr="00B0618E">
        <w:rPr>
          <w:b/>
          <w:color w:val="FFFFFF" w:themeColor="background1"/>
          <w:szCs w:val="24"/>
        </w:rPr>
        <w:t>Chris Turnadge, Dirk Mallants and Luk Peeters</w:t>
      </w:r>
    </w:p>
    <w:p w14:paraId="7794A113" w14:textId="77777777" w:rsidR="007D2883" w:rsidRPr="00B0618E" w:rsidRDefault="007D2883" w:rsidP="00A65678">
      <w:pPr>
        <w:pStyle w:val="BodyText"/>
        <w:rPr>
          <w:b/>
          <w:color w:val="FFFFFF" w:themeColor="background1"/>
          <w:szCs w:val="24"/>
        </w:rPr>
      </w:pPr>
    </w:p>
    <w:p w14:paraId="1BF446F9" w14:textId="3B20135E" w:rsidR="007D2883" w:rsidRDefault="007D2883" w:rsidP="007D2883">
      <w:pPr>
        <w:pStyle w:val="Body"/>
        <w:rPr>
          <w:color w:val="FFFFFF" w:themeColor="background1"/>
          <w:sz w:val="24"/>
          <w:szCs w:val="24"/>
        </w:rPr>
      </w:pPr>
      <w:r w:rsidRPr="00B0618E">
        <w:rPr>
          <w:color w:val="FFFFFF" w:themeColor="background1"/>
          <w:sz w:val="24"/>
          <w:szCs w:val="24"/>
        </w:rPr>
        <w:t>This report was commissioned by the Department of the Environment</w:t>
      </w:r>
      <w:r w:rsidR="007E0DDC">
        <w:rPr>
          <w:color w:val="FFFFFF" w:themeColor="background1"/>
          <w:sz w:val="24"/>
          <w:szCs w:val="24"/>
        </w:rPr>
        <w:t xml:space="preserve"> and Energy</w:t>
      </w:r>
      <w:r w:rsidR="00DE7B51">
        <w:rPr>
          <w:color w:val="FFFFFF" w:themeColor="background1"/>
          <w:sz w:val="24"/>
          <w:szCs w:val="24"/>
        </w:rPr>
        <w:t xml:space="preserve"> and </w:t>
      </w:r>
      <w:r w:rsidR="00F24FEC">
        <w:rPr>
          <w:color w:val="FFFFFF" w:themeColor="background1"/>
          <w:sz w:val="24"/>
          <w:szCs w:val="24"/>
        </w:rPr>
        <w:t>was prepared by CSIRO.</w:t>
      </w:r>
    </w:p>
    <w:p w14:paraId="54B75D64" w14:textId="77777777" w:rsidR="005F7988" w:rsidRDefault="005F7988" w:rsidP="007D2883">
      <w:pPr>
        <w:pStyle w:val="Body"/>
        <w:rPr>
          <w:color w:val="FFFFFF" w:themeColor="background1"/>
          <w:sz w:val="24"/>
          <w:szCs w:val="24"/>
        </w:rPr>
      </w:pPr>
    </w:p>
    <w:p w14:paraId="1986A457" w14:textId="03D791EB" w:rsidR="005F7988" w:rsidRPr="00B0618E" w:rsidRDefault="00F24FEC" w:rsidP="007D2883">
      <w:pPr>
        <w:pStyle w:val="Body"/>
        <w:rPr>
          <w:color w:val="FFFFFF" w:themeColor="background1"/>
          <w:sz w:val="24"/>
          <w:szCs w:val="24"/>
        </w:rPr>
      </w:pPr>
      <w:r>
        <w:rPr>
          <w:color w:val="FFFFFF" w:themeColor="background1"/>
          <w:sz w:val="24"/>
          <w:szCs w:val="24"/>
        </w:rPr>
        <w:t>2018</w:t>
      </w:r>
    </w:p>
    <w:p w14:paraId="055375AF" w14:textId="77777777" w:rsidR="00A943B2" w:rsidRPr="00B0618E" w:rsidRDefault="00A943B2" w:rsidP="007D2883">
      <w:pPr>
        <w:pStyle w:val="BodyText"/>
        <w:rPr>
          <w:b/>
          <w:color w:val="FFFFFF" w:themeColor="background1"/>
        </w:rPr>
      </w:pPr>
    </w:p>
    <w:p w14:paraId="6DD66907" w14:textId="77777777" w:rsidR="00787338" w:rsidRPr="00B0618E" w:rsidRDefault="00787338" w:rsidP="00DC2413">
      <w:pPr>
        <w:pStyle w:val="BodyText"/>
      </w:pPr>
    </w:p>
    <w:p w14:paraId="5588230F" w14:textId="77777777" w:rsidR="00A943B2" w:rsidRPr="00B0618E" w:rsidRDefault="00A943B2" w:rsidP="00DC2413">
      <w:pPr>
        <w:pStyle w:val="BodyText"/>
      </w:pPr>
      <w:r w:rsidRPr="00B0618E">
        <w:br w:type="page"/>
      </w:r>
    </w:p>
    <w:p w14:paraId="62B5D77B" w14:textId="77777777" w:rsidR="007D2883" w:rsidRPr="00B0618E" w:rsidRDefault="007D2883" w:rsidP="007D2883">
      <w:pPr>
        <w:pStyle w:val="Heading4"/>
      </w:pPr>
      <w:r w:rsidRPr="00B0618E">
        <w:lastRenderedPageBreak/>
        <w:t xml:space="preserve">Copyright </w:t>
      </w:r>
    </w:p>
    <w:p w14:paraId="75186C23" w14:textId="070B3CA6" w:rsidR="007D2883" w:rsidRPr="00B0618E" w:rsidRDefault="007D2883" w:rsidP="007D2883">
      <w:pPr>
        <w:pStyle w:val="BodyText"/>
      </w:pPr>
      <w:r w:rsidRPr="00B0618E">
        <w:t xml:space="preserve">© Commonwealth Scientific and Industrial Research Organisation </w:t>
      </w:r>
      <w:r w:rsidRPr="00B0618E">
        <w:rPr>
          <w:color w:val="auto"/>
        </w:rPr>
        <w:t>201</w:t>
      </w:r>
      <w:r w:rsidR="00DE7B51">
        <w:rPr>
          <w:color w:val="auto"/>
        </w:rPr>
        <w:t>8</w:t>
      </w:r>
      <w:r w:rsidRPr="00B0618E">
        <w:t>. To the extent permitted by law, all rights are reserved and no part of this publication covered by copyright may be reproduced or copied in any form or by any means except with the written permission of CSIRO.</w:t>
      </w:r>
    </w:p>
    <w:p w14:paraId="44F96E7B" w14:textId="77777777" w:rsidR="00A943B2" w:rsidRPr="00B0618E" w:rsidRDefault="00A943B2" w:rsidP="007D2883">
      <w:pPr>
        <w:pStyle w:val="Heading4"/>
      </w:pPr>
      <w:r w:rsidRPr="00B0618E">
        <w:t>Citation</w:t>
      </w:r>
    </w:p>
    <w:p w14:paraId="30103096" w14:textId="0ECDFD88" w:rsidR="00A943B2" w:rsidRPr="00B0618E" w:rsidRDefault="00CE24B7" w:rsidP="00DC2413">
      <w:pPr>
        <w:pStyle w:val="BodyText"/>
        <w:rPr>
          <w:color w:val="auto"/>
        </w:rPr>
      </w:pPr>
      <w:r w:rsidRPr="00B0618E">
        <w:rPr>
          <w:color w:val="auto"/>
        </w:rPr>
        <w:t>Turnadge C, Mallants D and Peeters L (201</w:t>
      </w:r>
      <w:r w:rsidR="00B6041F">
        <w:rPr>
          <w:color w:val="auto"/>
        </w:rPr>
        <w:t>8</w:t>
      </w:r>
      <w:r w:rsidR="00A943B2" w:rsidRPr="00B0618E">
        <w:rPr>
          <w:color w:val="auto"/>
        </w:rPr>
        <w:t xml:space="preserve">) </w:t>
      </w:r>
      <w:r w:rsidRPr="00B0618E">
        <w:rPr>
          <w:color w:val="auto"/>
        </w:rPr>
        <w:t>Sensitivity and uncertainty analysis of a regional-scale groundwater flow system stressed by coal seam gas extraction</w:t>
      </w:r>
      <w:r w:rsidR="00A943B2" w:rsidRPr="00B0618E">
        <w:rPr>
          <w:color w:val="auto"/>
        </w:rPr>
        <w:t>. CSIRO, Australia</w:t>
      </w:r>
      <w:r w:rsidRPr="00B0618E">
        <w:rPr>
          <w:color w:val="auto"/>
        </w:rPr>
        <w:t>.</w:t>
      </w:r>
    </w:p>
    <w:p w14:paraId="7824C467" w14:textId="77777777" w:rsidR="00A943B2" w:rsidRPr="00B0618E" w:rsidRDefault="00A943B2" w:rsidP="007D2883">
      <w:pPr>
        <w:pStyle w:val="Heading4"/>
      </w:pPr>
      <w:r w:rsidRPr="00B0618E">
        <w:t>Important disclaimer</w:t>
      </w:r>
    </w:p>
    <w:p w14:paraId="358FA26C" w14:textId="77777777" w:rsidR="00A943B2" w:rsidRPr="00B0618E" w:rsidRDefault="00A943B2" w:rsidP="00DC2413">
      <w:pPr>
        <w:pStyle w:val="BodyText"/>
      </w:pPr>
      <w:r w:rsidRPr="00B0618E">
        <w:t>CSIRO advises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To the extent permitted by law, CSIRO (including its employees and consultants) excludes all liability to any person for any consequences, including but not limited to all losses, damages, costs, expenses and any other compensation, arising directly or indirectly from using this publication (in part or in whole) and any information or material contained in it.</w:t>
      </w:r>
    </w:p>
    <w:p w14:paraId="6256DE93" w14:textId="77777777" w:rsidR="002F6753" w:rsidRPr="00B0618E" w:rsidRDefault="002F6753" w:rsidP="00DC2413">
      <w:pPr>
        <w:pStyle w:val="BodyText"/>
        <w:sectPr w:rsidR="002F6753" w:rsidRPr="00B0618E" w:rsidSect="005D5D01">
          <w:headerReference w:type="even" r:id="rId9"/>
          <w:headerReference w:type="default" r:id="rId10"/>
          <w:footerReference w:type="even" r:id="rId11"/>
          <w:footerReference w:type="default" r:id="rId12"/>
          <w:headerReference w:type="first" r:id="rId13"/>
          <w:footerReference w:type="first" r:id="rId14"/>
          <w:type w:val="continuous"/>
          <w:pgSz w:w="11906" w:h="16838" w:code="9"/>
          <w:pgMar w:top="1106" w:right="1134" w:bottom="1134" w:left="1134" w:header="510" w:footer="624" w:gutter="0"/>
          <w:pgNumType w:fmt="lowerRoman" w:start="1"/>
          <w:cols w:space="284"/>
          <w:titlePg/>
          <w:docGrid w:linePitch="360"/>
        </w:sectPr>
      </w:pPr>
      <w:r w:rsidRPr="00B0618E">
        <w:t xml:space="preserve">CSIRO is committed to providing web accessible content wherever possible. If you are having difficulties with accessing this document please contact </w:t>
      </w:r>
      <w:hyperlink r:id="rId15" w:tooltip="Email CSIRO Enquiries" w:history="1">
        <w:r w:rsidR="00D578AD" w:rsidRPr="00B0618E">
          <w:rPr>
            <w:rStyle w:val="Hyperlink"/>
          </w:rPr>
          <w:t>csiroenquiries@csiro.au</w:t>
        </w:r>
      </w:hyperlink>
      <w:r w:rsidRPr="00B0618E">
        <w:t xml:space="preserve">. </w:t>
      </w:r>
    </w:p>
    <w:p w14:paraId="39A5A956" w14:textId="77777777" w:rsidR="00A943B2" w:rsidRPr="00B0618E" w:rsidRDefault="00A943B2" w:rsidP="008573A8">
      <w:pPr>
        <w:pStyle w:val="Heading1noTOC"/>
        <w:spacing w:after="600"/>
      </w:pPr>
      <w:r w:rsidRPr="00B0618E">
        <w:t>Contents</w:t>
      </w:r>
    </w:p>
    <w:p w14:paraId="53A7D1D6" w14:textId="77777777" w:rsidR="00643BE4" w:rsidRDefault="009959BB">
      <w:pPr>
        <w:pStyle w:val="TOC2"/>
        <w:rPr>
          <w:rFonts w:asciiTheme="minorHAnsi" w:eastAsiaTheme="minorEastAsia" w:hAnsiTheme="minorHAnsi" w:cstheme="minorBidi"/>
          <w:color w:val="auto"/>
          <w:sz w:val="22"/>
        </w:rPr>
      </w:pPr>
      <w:r w:rsidRPr="00B0618E">
        <w:fldChar w:fldCharType="begin"/>
      </w:r>
      <w:r w:rsidR="00462182" w:rsidRPr="00B0618E">
        <w:instrText xml:space="preserve"> TOC \h \z \t "Heading 1,2,Heading 2,3,PartTitle,1,Heading 1 Numbered,2,Heading 1 not numbered,2,Heading 2 not numbered,3,Appendix Heading 1,2" </w:instrText>
      </w:r>
      <w:r w:rsidRPr="00B0618E">
        <w:fldChar w:fldCharType="separate"/>
      </w:r>
      <w:hyperlink w:anchor="_Toc483127556" w:history="1">
        <w:r w:rsidR="00643BE4" w:rsidRPr="00F63067">
          <w:rPr>
            <w:rStyle w:val="Hyperlink"/>
          </w:rPr>
          <w:t>Acknowledgments</w:t>
        </w:r>
        <w:r w:rsidR="00643BE4">
          <w:rPr>
            <w:webHidden/>
          </w:rPr>
          <w:tab/>
        </w:r>
        <w:r w:rsidR="00643BE4">
          <w:rPr>
            <w:webHidden/>
          </w:rPr>
          <w:fldChar w:fldCharType="begin"/>
        </w:r>
        <w:r w:rsidR="00643BE4">
          <w:rPr>
            <w:webHidden/>
          </w:rPr>
          <w:instrText xml:space="preserve"> PAGEREF _Toc483127556 \h </w:instrText>
        </w:r>
        <w:r w:rsidR="00643BE4">
          <w:rPr>
            <w:webHidden/>
          </w:rPr>
        </w:r>
        <w:r w:rsidR="00643BE4">
          <w:rPr>
            <w:webHidden/>
          </w:rPr>
          <w:fldChar w:fldCharType="separate"/>
        </w:r>
        <w:r w:rsidR="000B6FA5">
          <w:rPr>
            <w:webHidden/>
          </w:rPr>
          <w:t>xvi</w:t>
        </w:r>
        <w:r w:rsidR="00643BE4">
          <w:rPr>
            <w:webHidden/>
          </w:rPr>
          <w:fldChar w:fldCharType="end"/>
        </w:r>
      </w:hyperlink>
    </w:p>
    <w:p w14:paraId="6829D1C3" w14:textId="77777777" w:rsidR="00643BE4" w:rsidRDefault="00A2085C">
      <w:pPr>
        <w:pStyle w:val="TOC2"/>
        <w:rPr>
          <w:rFonts w:asciiTheme="minorHAnsi" w:eastAsiaTheme="minorEastAsia" w:hAnsiTheme="minorHAnsi" w:cstheme="minorBidi"/>
          <w:color w:val="auto"/>
          <w:sz w:val="22"/>
        </w:rPr>
      </w:pPr>
      <w:hyperlink w:anchor="_Toc483127557" w:history="1">
        <w:r w:rsidR="00643BE4" w:rsidRPr="00F63067">
          <w:rPr>
            <w:rStyle w:val="Hyperlink"/>
          </w:rPr>
          <w:t>Executive summary</w:t>
        </w:r>
        <w:r w:rsidR="00643BE4">
          <w:rPr>
            <w:webHidden/>
          </w:rPr>
          <w:tab/>
        </w:r>
        <w:r w:rsidR="00643BE4">
          <w:rPr>
            <w:webHidden/>
          </w:rPr>
          <w:fldChar w:fldCharType="begin"/>
        </w:r>
        <w:r w:rsidR="00643BE4">
          <w:rPr>
            <w:webHidden/>
          </w:rPr>
          <w:instrText xml:space="preserve"> PAGEREF _Toc483127557 \h </w:instrText>
        </w:r>
        <w:r w:rsidR="00643BE4">
          <w:rPr>
            <w:webHidden/>
          </w:rPr>
        </w:r>
        <w:r w:rsidR="00643BE4">
          <w:rPr>
            <w:webHidden/>
          </w:rPr>
          <w:fldChar w:fldCharType="separate"/>
        </w:r>
        <w:r w:rsidR="000B6FA5">
          <w:rPr>
            <w:webHidden/>
          </w:rPr>
          <w:t>xvii</w:t>
        </w:r>
        <w:r w:rsidR="00643BE4">
          <w:rPr>
            <w:webHidden/>
          </w:rPr>
          <w:fldChar w:fldCharType="end"/>
        </w:r>
      </w:hyperlink>
    </w:p>
    <w:p w14:paraId="27610992" w14:textId="77777777" w:rsidR="00643BE4" w:rsidRDefault="00A2085C">
      <w:pPr>
        <w:pStyle w:val="TOC2"/>
        <w:rPr>
          <w:rFonts w:asciiTheme="minorHAnsi" w:eastAsiaTheme="minorEastAsia" w:hAnsiTheme="minorHAnsi" w:cstheme="minorBidi"/>
          <w:color w:val="auto"/>
          <w:sz w:val="22"/>
        </w:rPr>
      </w:pPr>
      <w:hyperlink w:anchor="_Toc483127558" w:history="1">
        <w:r w:rsidR="00643BE4" w:rsidRPr="00F63067">
          <w:rPr>
            <w:rStyle w:val="Hyperlink"/>
          </w:rPr>
          <w:t>1</w:t>
        </w:r>
        <w:r w:rsidR="00643BE4">
          <w:rPr>
            <w:rFonts w:asciiTheme="minorHAnsi" w:eastAsiaTheme="minorEastAsia" w:hAnsiTheme="minorHAnsi" w:cstheme="minorBidi"/>
            <w:color w:val="auto"/>
            <w:sz w:val="22"/>
          </w:rPr>
          <w:tab/>
        </w:r>
        <w:r w:rsidR="00643BE4" w:rsidRPr="00F63067">
          <w:rPr>
            <w:rStyle w:val="Hyperlink"/>
          </w:rPr>
          <w:t>Introduction</w:t>
        </w:r>
        <w:r w:rsidR="00643BE4">
          <w:rPr>
            <w:webHidden/>
          </w:rPr>
          <w:tab/>
        </w:r>
        <w:r w:rsidR="00643BE4">
          <w:rPr>
            <w:webHidden/>
          </w:rPr>
          <w:fldChar w:fldCharType="begin"/>
        </w:r>
        <w:r w:rsidR="00643BE4">
          <w:rPr>
            <w:webHidden/>
          </w:rPr>
          <w:instrText xml:space="preserve"> PAGEREF _Toc483127558 \h </w:instrText>
        </w:r>
        <w:r w:rsidR="00643BE4">
          <w:rPr>
            <w:webHidden/>
          </w:rPr>
        </w:r>
        <w:r w:rsidR="00643BE4">
          <w:rPr>
            <w:webHidden/>
          </w:rPr>
          <w:fldChar w:fldCharType="separate"/>
        </w:r>
        <w:r w:rsidR="000B6FA5">
          <w:rPr>
            <w:webHidden/>
          </w:rPr>
          <w:t>1</w:t>
        </w:r>
        <w:r w:rsidR="00643BE4">
          <w:rPr>
            <w:webHidden/>
          </w:rPr>
          <w:fldChar w:fldCharType="end"/>
        </w:r>
      </w:hyperlink>
    </w:p>
    <w:p w14:paraId="50B8F6D0" w14:textId="77777777" w:rsidR="00643BE4" w:rsidRDefault="00A2085C">
      <w:pPr>
        <w:pStyle w:val="TOC3"/>
        <w:rPr>
          <w:rFonts w:asciiTheme="minorHAnsi" w:eastAsiaTheme="minorEastAsia" w:hAnsiTheme="minorHAnsi" w:cstheme="minorBidi"/>
          <w:noProof/>
          <w:color w:val="auto"/>
          <w:sz w:val="22"/>
        </w:rPr>
      </w:pPr>
      <w:hyperlink w:anchor="_Toc483127559" w:history="1">
        <w:r w:rsidR="00643BE4" w:rsidRPr="00F63067">
          <w:rPr>
            <w:rStyle w:val="Hyperlink"/>
            <w:noProof/>
          </w:rPr>
          <w:t>1.1</w:t>
        </w:r>
        <w:r w:rsidR="00643BE4">
          <w:rPr>
            <w:rFonts w:asciiTheme="minorHAnsi" w:eastAsiaTheme="minorEastAsia" w:hAnsiTheme="minorHAnsi" w:cstheme="minorBidi"/>
            <w:noProof/>
            <w:color w:val="auto"/>
            <w:sz w:val="22"/>
          </w:rPr>
          <w:tab/>
        </w:r>
        <w:r w:rsidR="00643BE4" w:rsidRPr="00F63067">
          <w:rPr>
            <w:rStyle w:val="Hyperlink"/>
            <w:noProof/>
          </w:rPr>
          <w:t>Terms of reference</w:t>
        </w:r>
        <w:r w:rsidR="00643BE4">
          <w:rPr>
            <w:noProof/>
            <w:webHidden/>
          </w:rPr>
          <w:tab/>
        </w:r>
        <w:r w:rsidR="00643BE4">
          <w:rPr>
            <w:noProof/>
            <w:webHidden/>
          </w:rPr>
          <w:fldChar w:fldCharType="begin"/>
        </w:r>
        <w:r w:rsidR="00643BE4">
          <w:rPr>
            <w:noProof/>
            <w:webHidden/>
          </w:rPr>
          <w:instrText xml:space="preserve"> PAGEREF _Toc483127559 \h </w:instrText>
        </w:r>
        <w:r w:rsidR="00643BE4">
          <w:rPr>
            <w:noProof/>
            <w:webHidden/>
          </w:rPr>
        </w:r>
        <w:r w:rsidR="00643BE4">
          <w:rPr>
            <w:noProof/>
            <w:webHidden/>
          </w:rPr>
          <w:fldChar w:fldCharType="separate"/>
        </w:r>
        <w:r w:rsidR="000B6FA5">
          <w:rPr>
            <w:noProof/>
            <w:webHidden/>
          </w:rPr>
          <w:t>1</w:t>
        </w:r>
        <w:r w:rsidR="00643BE4">
          <w:rPr>
            <w:noProof/>
            <w:webHidden/>
          </w:rPr>
          <w:fldChar w:fldCharType="end"/>
        </w:r>
      </w:hyperlink>
    </w:p>
    <w:p w14:paraId="62E15C0F" w14:textId="77777777" w:rsidR="00643BE4" w:rsidRDefault="00A2085C">
      <w:pPr>
        <w:pStyle w:val="TOC3"/>
        <w:rPr>
          <w:rFonts w:asciiTheme="minorHAnsi" w:eastAsiaTheme="minorEastAsia" w:hAnsiTheme="minorHAnsi" w:cstheme="minorBidi"/>
          <w:noProof/>
          <w:color w:val="auto"/>
          <w:sz w:val="22"/>
        </w:rPr>
      </w:pPr>
      <w:hyperlink w:anchor="_Toc483127560" w:history="1">
        <w:r w:rsidR="00643BE4" w:rsidRPr="00F63067">
          <w:rPr>
            <w:rStyle w:val="Hyperlink"/>
            <w:noProof/>
          </w:rPr>
          <w:t>1.2</w:t>
        </w:r>
        <w:r w:rsidR="00643BE4">
          <w:rPr>
            <w:rFonts w:asciiTheme="minorHAnsi" w:eastAsiaTheme="minorEastAsia" w:hAnsiTheme="minorHAnsi" w:cstheme="minorBidi"/>
            <w:noProof/>
            <w:color w:val="auto"/>
            <w:sz w:val="22"/>
          </w:rPr>
          <w:tab/>
        </w:r>
        <w:r w:rsidR="00643BE4" w:rsidRPr="00F63067">
          <w:rPr>
            <w:rStyle w:val="Hyperlink"/>
            <w:noProof/>
          </w:rPr>
          <w:t>Rationale</w:t>
        </w:r>
        <w:r w:rsidR="00643BE4">
          <w:rPr>
            <w:noProof/>
            <w:webHidden/>
          </w:rPr>
          <w:tab/>
        </w:r>
        <w:r w:rsidR="00643BE4">
          <w:rPr>
            <w:noProof/>
            <w:webHidden/>
          </w:rPr>
          <w:fldChar w:fldCharType="begin"/>
        </w:r>
        <w:r w:rsidR="00643BE4">
          <w:rPr>
            <w:noProof/>
            <w:webHidden/>
          </w:rPr>
          <w:instrText xml:space="preserve"> PAGEREF _Toc483127560 \h </w:instrText>
        </w:r>
        <w:r w:rsidR="00643BE4">
          <w:rPr>
            <w:noProof/>
            <w:webHidden/>
          </w:rPr>
        </w:r>
        <w:r w:rsidR="00643BE4">
          <w:rPr>
            <w:noProof/>
            <w:webHidden/>
          </w:rPr>
          <w:fldChar w:fldCharType="separate"/>
        </w:r>
        <w:r w:rsidR="000B6FA5">
          <w:rPr>
            <w:noProof/>
            <w:webHidden/>
          </w:rPr>
          <w:t>2</w:t>
        </w:r>
        <w:r w:rsidR="00643BE4">
          <w:rPr>
            <w:noProof/>
            <w:webHidden/>
          </w:rPr>
          <w:fldChar w:fldCharType="end"/>
        </w:r>
      </w:hyperlink>
    </w:p>
    <w:p w14:paraId="7A9584C3" w14:textId="77777777" w:rsidR="00643BE4" w:rsidRDefault="00A2085C">
      <w:pPr>
        <w:pStyle w:val="TOC2"/>
        <w:rPr>
          <w:rFonts w:asciiTheme="minorHAnsi" w:eastAsiaTheme="minorEastAsia" w:hAnsiTheme="minorHAnsi" w:cstheme="minorBidi"/>
          <w:color w:val="auto"/>
          <w:sz w:val="22"/>
        </w:rPr>
      </w:pPr>
      <w:hyperlink w:anchor="_Toc483127561" w:history="1">
        <w:r w:rsidR="00643BE4" w:rsidRPr="00F63067">
          <w:rPr>
            <w:rStyle w:val="Hyperlink"/>
          </w:rPr>
          <w:t>2</w:t>
        </w:r>
        <w:r w:rsidR="00643BE4">
          <w:rPr>
            <w:rFonts w:asciiTheme="minorHAnsi" w:eastAsiaTheme="minorEastAsia" w:hAnsiTheme="minorHAnsi" w:cstheme="minorBidi"/>
            <w:color w:val="auto"/>
            <w:sz w:val="22"/>
          </w:rPr>
          <w:tab/>
        </w:r>
        <w:r w:rsidR="00643BE4" w:rsidRPr="00F63067">
          <w:rPr>
            <w:rStyle w:val="Hyperlink"/>
          </w:rPr>
          <w:t>CDM Smith (2016) Gunnedah and Surat basins groundwater flow model</w:t>
        </w:r>
        <w:r w:rsidR="00643BE4">
          <w:rPr>
            <w:webHidden/>
          </w:rPr>
          <w:tab/>
        </w:r>
        <w:r w:rsidR="00643BE4">
          <w:rPr>
            <w:webHidden/>
          </w:rPr>
          <w:fldChar w:fldCharType="begin"/>
        </w:r>
        <w:r w:rsidR="00643BE4">
          <w:rPr>
            <w:webHidden/>
          </w:rPr>
          <w:instrText xml:space="preserve"> PAGEREF _Toc483127561 \h </w:instrText>
        </w:r>
        <w:r w:rsidR="00643BE4">
          <w:rPr>
            <w:webHidden/>
          </w:rPr>
        </w:r>
        <w:r w:rsidR="00643BE4">
          <w:rPr>
            <w:webHidden/>
          </w:rPr>
          <w:fldChar w:fldCharType="separate"/>
        </w:r>
        <w:r w:rsidR="000B6FA5">
          <w:rPr>
            <w:webHidden/>
          </w:rPr>
          <w:t>15</w:t>
        </w:r>
        <w:r w:rsidR="00643BE4">
          <w:rPr>
            <w:webHidden/>
          </w:rPr>
          <w:fldChar w:fldCharType="end"/>
        </w:r>
      </w:hyperlink>
    </w:p>
    <w:p w14:paraId="55131A75" w14:textId="77777777" w:rsidR="00643BE4" w:rsidRDefault="00A2085C">
      <w:pPr>
        <w:pStyle w:val="TOC3"/>
        <w:rPr>
          <w:rFonts w:asciiTheme="minorHAnsi" w:eastAsiaTheme="minorEastAsia" w:hAnsiTheme="minorHAnsi" w:cstheme="minorBidi"/>
          <w:noProof/>
          <w:color w:val="auto"/>
          <w:sz w:val="22"/>
        </w:rPr>
      </w:pPr>
      <w:hyperlink w:anchor="_Toc483127562" w:history="1">
        <w:r w:rsidR="00643BE4" w:rsidRPr="00F63067">
          <w:rPr>
            <w:rStyle w:val="Hyperlink"/>
            <w:noProof/>
          </w:rPr>
          <w:t>2.1</w:t>
        </w:r>
        <w:r w:rsidR="00643BE4">
          <w:rPr>
            <w:rFonts w:asciiTheme="minorHAnsi" w:eastAsiaTheme="minorEastAsia" w:hAnsiTheme="minorHAnsi" w:cstheme="minorBidi"/>
            <w:noProof/>
            <w:color w:val="auto"/>
            <w:sz w:val="22"/>
          </w:rPr>
          <w:tab/>
        </w:r>
        <w:r w:rsidR="00643BE4" w:rsidRPr="00F63067">
          <w:rPr>
            <w:rStyle w:val="Hyperlink"/>
            <w:noProof/>
          </w:rPr>
          <w:t>Geographic context</w:t>
        </w:r>
        <w:r w:rsidR="00643BE4">
          <w:rPr>
            <w:noProof/>
            <w:webHidden/>
          </w:rPr>
          <w:tab/>
        </w:r>
        <w:r w:rsidR="00643BE4">
          <w:rPr>
            <w:noProof/>
            <w:webHidden/>
          </w:rPr>
          <w:fldChar w:fldCharType="begin"/>
        </w:r>
        <w:r w:rsidR="00643BE4">
          <w:rPr>
            <w:noProof/>
            <w:webHidden/>
          </w:rPr>
          <w:instrText xml:space="preserve"> PAGEREF _Toc483127562 \h </w:instrText>
        </w:r>
        <w:r w:rsidR="00643BE4">
          <w:rPr>
            <w:noProof/>
            <w:webHidden/>
          </w:rPr>
        </w:r>
        <w:r w:rsidR="00643BE4">
          <w:rPr>
            <w:noProof/>
            <w:webHidden/>
          </w:rPr>
          <w:fldChar w:fldCharType="separate"/>
        </w:r>
        <w:r w:rsidR="000B6FA5">
          <w:rPr>
            <w:noProof/>
            <w:webHidden/>
          </w:rPr>
          <w:t>15</w:t>
        </w:r>
        <w:r w:rsidR="00643BE4">
          <w:rPr>
            <w:noProof/>
            <w:webHidden/>
          </w:rPr>
          <w:fldChar w:fldCharType="end"/>
        </w:r>
      </w:hyperlink>
    </w:p>
    <w:p w14:paraId="58EAF0D1" w14:textId="77777777" w:rsidR="00643BE4" w:rsidRDefault="00A2085C">
      <w:pPr>
        <w:pStyle w:val="TOC3"/>
        <w:rPr>
          <w:rFonts w:asciiTheme="minorHAnsi" w:eastAsiaTheme="minorEastAsia" w:hAnsiTheme="minorHAnsi" w:cstheme="minorBidi"/>
          <w:noProof/>
          <w:color w:val="auto"/>
          <w:sz w:val="22"/>
        </w:rPr>
      </w:pPr>
      <w:hyperlink w:anchor="_Toc483127563" w:history="1">
        <w:r w:rsidR="00643BE4" w:rsidRPr="00F63067">
          <w:rPr>
            <w:rStyle w:val="Hyperlink"/>
            <w:noProof/>
          </w:rPr>
          <w:t>2.2</w:t>
        </w:r>
        <w:r w:rsidR="00643BE4">
          <w:rPr>
            <w:rFonts w:asciiTheme="minorHAnsi" w:eastAsiaTheme="minorEastAsia" w:hAnsiTheme="minorHAnsi" w:cstheme="minorBidi"/>
            <w:noProof/>
            <w:color w:val="auto"/>
            <w:sz w:val="22"/>
          </w:rPr>
          <w:tab/>
        </w:r>
        <w:r w:rsidR="00643BE4" w:rsidRPr="00F63067">
          <w:rPr>
            <w:rStyle w:val="Hyperlink"/>
            <w:noProof/>
          </w:rPr>
          <w:t>Geology</w:t>
        </w:r>
        <w:r w:rsidR="00643BE4">
          <w:rPr>
            <w:noProof/>
            <w:webHidden/>
          </w:rPr>
          <w:tab/>
        </w:r>
        <w:r w:rsidR="00643BE4">
          <w:rPr>
            <w:noProof/>
            <w:webHidden/>
          </w:rPr>
          <w:fldChar w:fldCharType="begin"/>
        </w:r>
        <w:r w:rsidR="00643BE4">
          <w:rPr>
            <w:noProof/>
            <w:webHidden/>
          </w:rPr>
          <w:instrText xml:space="preserve"> PAGEREF _Toc483127563 \h </w:instrText>
        </w:r>
        <w:r w:rsidR="00643BE4">
          <w:rPr>
            <w:noProof/>
            <w:webHidden/>
          </w:rPr>
        </w:r>
        <w:r w:rsidR="00643BE4">
          <w:rPr>
            <w:noProof/>
            <w:webHidden/>
          </w:rPr>
          <w:fldChar w:fldCharType="separate"/>
        </w:r>
        <w:r w:rsidR="000B6FA5">
          <w:rPr>
            <w:noProof/>
            <w:webHidden/>
          </w:rPr>
          <w:t>16</w:t>
        </w:r>
        <w:r w:rsidR="00643BE4">
          <w:rPr>
            <w:noProof/>
            <w:webHidden/>
          </w:rPr>
          <w:fldChar w:fldCharType="end"/>
        </w:r>
      </w:hyperlink>
    </w:p>
    <w:p w14:paraId="4825547F" w14:textId="77777777" w:rsidR="00643BE4" w:rsidRDefault="00A2085C">
      <w:pPr>
        <w:pStyle w:val="TOC3"/>
        <w:rPr>
          <w:rFonts w:asciiTheme="minorHAnsi" w:eastAsiaTheme="minorEastAsia" w:hAnsiTheme="minorHAnsi" w:cstheme="minorBidi"/>
          <w:noProof/>
          <w:color w:val="auto"/>
          <w:sz w:val="22"/>
        </w:rPr>
      </w:pPr>
      <w:hyperlink w:anchor="_Toc483127564" w:history="1">
        <w:r w:rsidR="00643BE4" w:rsidRPr="00F63067">
          <w:rPr>
            <w:rStyle w:val="Hyperlink"/>
            <w:noProof/>
          </w:rPr>
          <w:t>2.3</w:t>
        </w:r>
        <w:r w:rsidR="00643BE4">
          <w:rPr>
            <w:rFonts w:asciiTheme="minorHAnsi" w:eastAsiaTheme="minorEastAsia" w:hAnsiTheme="minorHAnsi" w:cstheme="minorBidi"/>
            <w:noProof/>
            <w:color w:val="auto"/>
            <w:sz w:val="22"/>
          </w:rPr>
          <w:tab/>
        </w:r>
        <w:r w:rsidR="00643BE4" w:rsidRPr="00F63067">
          <w:rPr>
            <w:rStyle w:val="Hyperlink"/>
            <w:noProof/>
          </w:rPr>
          <w:t>Hydrostratigraphy</w:t>
        </w:r>
        <w:r w:rsidR="00643BE4">
          <w:rPr>
            <w:noProof/>
            <w:webHidden/>
          </w:rPr>
          <w:tab/>
        </w:r>
        <w:r w:rsidR="00643BE4">
          <w:rPr>
            <w:noProof/>
            <w:webHidden/>
          </w:rPr>
          <w:fldChar w:fldCharType="begin"/>
        </w:r>
        <w:r w:rsidR="00643BE4">
          <w:rPr>
            <w:noProof/>
            <w:webHidden/>
          </w:rPr>
          <w:instrText xml:space="preserve"> PAGEREF _Toc483127564 \h </w:instrText>
        </w:r>
        <w:r w:rsidR="00643BE4">
          <w:rPr>
            <w:noProof/>
            <w:webHidden/>
          </w:rPr>
        </w:r>
        <w:r w:rsidR="00643BE4">
          <w:rPr>
            <w:noProof/>
            <w:webHidden/>
          </w:rPr>
          <w:fldChar w:fldCharType="separate"/>
        </w:r>
        <w:r w:rsidR="000B6FA5">
          <w:rPr>
            <w:noProof/>
            <w:webHidden/>
          </w:rPr>
          <w:t>16</w:t>
        </w:r>
        <w:r w:rsidR="00643BE4">
          <w:rPr>
            <w:noProof/>
            <w:webHidden/>
          </w:rPr>
          <w:fldChar w:fldCharType="end"/>
        </w:r>
      </w:hyperlink>
    </w:p>
    <w:p w14:paraId="5B276C6B" w14:textId="77777777" w:rsidR="00643BE4" w:rsidRDefault="00A2085C">
      <w:pPr>
        <w:pStyle w:val="TOC3"/>
        <w:rPr>
          <w:rFonts w:asciiTheme="minorHAnsi" w:eastAsiaTheme="minorEastAsia" w:hAnsiTheme="minorHAnsi" w:cstheme="minorBidi"/>
          <w:noProof/>
          <w:color w:val="auto"/>
          <w:sz w:val="22"/>
        </w:rPr>
      </w:pPr>
      <w:hyperlink w:anchor="_Toc483127565" w:history="1">
        <w:r w:rsidR="00643BE4" w:rsidRPr="00F63067">
          <w:rPr>
            <w:rStyle w:val="Hyperlink"/>
            <w:noProof/>
          </w:rPr>
          <w:t>2.4</w:t>
        </w:r>
        <w:r w:rsidR="00643BE4">
          <w:rPr>
            <w:rFonts w:asciiTheme="minorHAnsi" w:eastAsiaTheme="minorEastAsia" w:hAnsiTheme="minorHAnsi" w:cstheme="minorBidi"/>
            <w:noProof/>
            <w:color w:val="auto"/>
            <w:sz w:val="22"/>
          </w:rPr>
          <w:tab/>
        </w:r>
        <w:r w:rsidR="00643BE4" w:rsidRPr="00F63067">
          <w:rPr>
            <w:rStyle w:val="Hyperlink"/>
            <w:noProof/>
          </w:rPr>
          <w:t>Inflows and outflows</w:t>
        </w:r>
        <w:r w:rsidR="00643BE4">
          <w:rPr>
            <w:noProof/>
            <w:webHidden/>
          </w:rPr>
          <w:tab/>
        </w:r>
        <w:r w:rsidR="00643BE4">
          <w:rPr>
            <w:noProof/>
            <w:webHidden/>
          </w:rPr>
          <w:fldChar w:fldCharType="begin"/>
        </w:r>
        <w:r w:rsidR="00643BE4">
          <w:rPr>
            <w:noProof/>
            <w:webHidden/>
          </w:rPr>
          <w:instrText xml:space="preserve"> PAGEREF _Toc483127565 \h </w:instrText>
        </w:r>
        <w:r w:rsidR="00643BE4">
          <w:rPr>
            <w:noProof/>
            <w:webHidden/>
          </w:rPr>
        </w:r>
        <w:r w:rsidR="00643BE4">
          <w:rPr>
            <w:noProof/>
            <w:webHidden/>
          </w:rPr>
          <w:fldChar w:fldCharType="separate"/>
        </w:r>
        <w:r w:rsidR="000B6FA5">
          <w:rPr>
            <w:noProof/>
            <w:webHidden/>
          </w:rPr>
          <w:t>21</w:t>
        </w:r>
        <w:r w:rsidR="00643BE4">
          <w:rPr>
            <w:noProof/>
            <w:webHidden/>
          </w:rPr>
          <w:fldChar w:fldCharType="end"/>
        </w:r>
      </w:hyperlink>
    </w:p>
    <w:p w14:paraId="12772E60" w14:textId="77777777" w:rsidR="00643BE4" w:rsidRDefault="00A2085C">
      <w:pPr>
        <w:pStyle w:val="TOC3"/>
        <w:rPr>
          <w:rFonts w:asciiTheme="minorHAnsi" w:eastAsiaTheme="minorEastAsia" w:hAnsiTheme="minorHAnsi" w:cstheme="minorBidi"/>
          <w:noProof/>
          <w:color w:val="auto"/>
          <w:sz w:val="22"/>
        </w:rPr>
      </w:pPr>
      <w:hyperlink w:anchor="_Toc483127566" w:history="1">
        <w:r w:rsidR="00643BE4" w:rsidRPr="00F63067">
          <w:rPr>
            <w:rStyle w:val="Hyperlink"/>
            <w:noProof/>
          </w:rPr>
          <w:t>2.5</w:t>
        </w:r>
        <w:r w:rsidR="00643BE4">
          <w:rPr>
            <w:rFonts w:asciiTheme="minorHAnsi" w:eastAsiaTheme="minorEastAsia" w:hAnsiTheme="minorHAnsi" w:cstheme="minorBidi"/>
            <w:noProof/>
            <w:color w:val="auto"/>
            <w:sz w:val="22"/>
          </w:rPr>
          <w:tab/>
        </w:r>
        <w:r w:rsidR="00643BE4" w:rsidRPr="00F63067">
          <w:rPr>
            <w:rStyle w:val="Hyperlink"/>
            <w:noProof/>
          </w:rPr>
          <w:t>Representation of coal seam gas extraction</w:t>
        </w:r>
        <w:r w:rsidR="00643BE4">
          <w:rPr>
            <w:noProof/>
            <w:webHidden/>
          </w:rPr>
          <w:tab/>
        </w:r>
        <w:r w:rsidR="00643BE4">
          <w:rPr>
            <w:noProof/>
            <w:webHidden/>
          </w:rPr>
          <w:fldChar w:fldCharType="begin"/>
        </w:r>
        <w:r w:rsidR="00643BE4">
          <w:rPr>
            <w:noProof/>
            <w:webHidden/>
          </w:rPr>
          <w:instrText xml:space="preserve"> PAGEREF _Toc483127566 \h </w:instrText>
        </w:r>
        <w:r w:rsidR="00643BE4">
          <w:rPr>
            <w:noProof/>
            <w:webHidden/>
          </w:rPr>
        </w:r>
        <w:r w:rsidR="00643BE4">
          <w:rPr>
            <w:noProof/>
            <w:webHidden/>
          </w:rPr>
          <w:fldChar w:fldCharType="separate"/>
        </w:r>
        <w:r w:rsidR="000B6FA5">
          <w:rPr>
            <w:noProof/>
            <w:webHidden/>
          </w:rPr>
          <w:t>21</w:t>
        </w:r>
        <w:r w:rsidR="00643BE4">
          <w:rPr>
            <w:noProof/>
            <w:webHidden/>
          </w:rPr>
          <w:fldChar w:fldCharType="end"/>
        </w:r>
      </w:hyperlink>
    </w:p>
    <w:p w14:paraId="013AC2C4" w14:textId="77777777" w:rsidR="00643BE4" w:rsidRDefault="00A2085C">
      <w:pPr>
        <w:pStyle w:val="TOC3"/>
        <w:rPr>
          <w:rFonts w:asciiTheme="minorHAnsi" w:eastAsiaTheme="minorEastAsia" w:hAnsiTheme="minorHAnsi" w:cstheme="minorBidi"/>
          <w:noProof/>
          <w:color w:val="auto"/>
          <w:sz w:val="22"/>
        </w:rPr>
      </w:pPr>
      <w:hyperlink w:anchor="_Toc483127567" w:history="1">
        <w:r w:rsidR="00643BE4" w:rsidRPr="00F63067">
          <w:rPr>
            <w:rStyle w:val="Hyperlink"/>
            <w:noProof/>
          </w:rPr>
          <w:t>2.6</w:t>
        </w:r>
        <w:r w:rsidR="00643BE4">
          <w:rPr>
            <w:rFonts w:asciiTheme="minorHAnsi" w:eastAsiaTheme="minorEastAsia" w:hAnsiTheme="minorHAnsi" w:cstheme="minorBidi"/>
            <w:noProof/>
            <w:color w:val="auto"/>
            <w:sz w:val="22"/>
          </w:rPr>
          <w:tab/>
        </w:r>
        <w:r w:rsidR="00643BE4" w:rsidRPr="00F63067">
          <w:rPr>
            <w:rStyle w:val="Hyperlink"/>
            <w:noProof/>
          </w:rPr>
          <w:t>Numerical solution scheme</w:t>
        </w:r>
        <w:r w:rsidR="00643BE4">
          <w:rPr>
            <w:noProof/>
            <w:webHidden/>
          </w:rPr>
          <w:tab/>
        </w:r>
        <w:r w:rsidR="00643BE4">
          <w:rPr>
            <w:noProof/>
            <w:webHidden/>
          </w:rPr>
          <w:fldChar w:fldCharType="begin"/>
        </w:r>
        <w:r w:rsidR="00643BE4">
          <w:rPr>
            <w:noProof/>
            <w:webHidden/>
          </w:rPr>
          <w:instrText xml:space="preserve"> PAGEREF _Toc483127567 \h </w:instrText>
        </w:r>
        <w:r w:rsidR="00643BE4">
          <w:rPr>
            <w:noProof/>
            <w:webHidden/>
          </w:rPr>
        </w:r>
        <w:r w:rsidR="00643BE4">
          <w:rPr>
            <w:noProof/>
            <w:webHidden/>
          </w:rPr>
          <w:fldChar w:fldCharType="separate"/>
        </w:r>
        <w:r w:rsidR="000B6FA5">
          <w:rPr>
            <w:noProof/>
            <w:webHidden/>
          </w:rPr>
          <w:t>22</w:t>
        </w:r>
        <w:r w:rsidR="00643BE4">
          <w:rPr>
            <w:noProof/>
            <w:webHidden/>
          </w:rPr>
          <w:fldChar w:fldCharType="end"/>
        </w:r>
      </w:hyperlink>
    </w:p>
    <w:p w14:paraId="464E7AEC" w14:textId="77777777" w:rsidR="00643BE4" w:rsidRDefault="00A2085C">
      <w:pPr>
        <w:pStyle w:val="TOC3"/>
        <w:rPr>
          <w:rFonts w:asciiTheme="minorHAnsi" w:eastAsiaTheme="minorEastAsia" w:hAnsiTheme="minorHAnsi" w:cstheme="minorBidi"/>
          <w:noProof/>
          <w:color w:val="auto"/>
          <w:sz w:val="22"/>
        </w:rPr>
      </w:pPr>
      <w:hyperlink w:anchor="_Toc483127568" w:history="1">
        <w:r w:rsidR="00643BE4" w:rsidRPr="00F63067">
          <w:rPr>
            <w:rStyle w:val="Hyperlink"/>
            <w:noProof/>
          </w:rPr>
          <w:t>2.7</w:t>
        </w:r>
        <w:r w:rsidR="00643BE4">
          <w:rPr>
            <w:rFonts w:asciiTheme="minorHAnsi" w:eastAsiaTheme="minorEastAsia" w:hAnsiTheme="minorHAnsi" w:cstheme="minorBidi"/>
            <w:noProof/>
            <w:color w:val="auto"/>
            <w:sz w:val="22"/>
          </w:rPr>
          <w:tab/>
        </w:r>
        <w:r w:rsidR="00643BE4" w:rsidRPr="00F63067">
          <w:rPr>
            <w:rStyle w:val="Hyperlink"/>
            <w:noProof/>
          </w:rPr>
          <w:t>Model modifications</w:t>
        </w:r>
        <w:r w:rsidR="00643BE4">
          <w:rPr>
            <w:noProof/>
            <w:webHidden/>
          </w:rPr>
          <w:tab/>
        </w:r>
        <w:r w:rsidR="00643BE4">
          <w:rPr>
            <w:noProof/>
            <w:webHidden/>
          </w:rPr>
          <w:fldChar w:fldCharType="begin"/>
        </w:r>
        <w:r w:rsidR="00643BE4">
          <w:rPr>
            <w:noProof/>
            <w:webHidden/>
          </w:rPr>
          <w:instrText xml:space="preserve"> PAGEREF _Toc483127568 \h </w:instrText>
        </w:r>
        <w:r w:rsidR="00643BE4">
          <w:rPr>
            <w:noProof/>
            <w:webHidden/>
          </w:rPr>
        </w:r>
        <w:r w:rsidR="00643BE4">
          <w:rPr>
            <w:noProof/>
            <w:webHidden/>
          </w:rPr>
          <w:fldChar w:fldCharType="separate"/>
        </w:r>
        <w:r w:rsidR="000B6FA5">
          <w:rPr>
            <w:noProof/>
            <w:webHidden/>
          </w:rPr>
          <w:t>22</w:t>
        </w:r>
        <w:r w:rsidR="00643BE4">
          <w:rPr>
            <w:noProof/>
            <w:webHidden/>
          </w:rPr>
          <w:fldChar w:fldCharType="end"/>
        </w:r>
      </w:hyperlink>
    </w:p>
    <w:p w14:paraId="4BCE7F89" w14:textId="77777777" w:rsidR="00643BE4" w:rsidRDefault="00A2085C">
      <w:pPr>
        <w:pStyle w:val="TOC2"/>
        <w:rPr>
          <w:rFonts w:asciiTheme="minorHAnsi" w:eastAsiaTheme="minorEastAsia" w:hAnsiTheme="minorHAnsi" w:cstheme="minorBidi"/>
          <w:color w:val="auto"/>
          <w:sz w:val="22"/>
        </w:rPr>
      </w:pPr>
      <w:hyperlink w:anchor="_Toc483127569" w:history="1">
        <w:r w:rsidR="00643BE4" w:rsidRPr="00F63067">
          <w:rPr>
            <w:rStyle w:val="Hyperlink"/>
          </w:rPr>
          <w:t>3</w:t>
        </w:r>
        <w:r w:rsidR="00643BE4">
          <w:rPr>
            <w:rFonts w:asciiTheme="minorHAnsi" w:eastAsiaTheme="minorEastAsia" w:hAnsiTheme="minorHAnsi" w:cstheme="minorBidi"/>
            <w:color w:val="auto"/>
            <w:sz w:val="22"/>
          </w:rPr>
          <w:tab/>
        </w:r>
        <w:r w:rsidR="00643BE4" w:rsidRPr="00F63067">
          <w:rPr>
            <w:rStyle w:val="Hyperlink"/>
          </w:rPr>
          <w:t>Initial prediction sensitivity and uncertainty analyses</w:t>
        </w:r>
        <w:r w:rsidR="00643BE4">
          <w:rPr>
            <w:webHidden/>
          </w:rPr>
          <w:tab/>
        </w:r>
        <w:r w:rsidR="00643BE4">
          <w:rPr>
            <w:webHidden/>
          </w:rPr>
          <w:fldChar w:fldCharType="begin"/>
        </w:r>
        <w:r w:rsidR="00643BE4">
          <w:rPr>
            <w:webHidden/>
          </w:rPr>
          <w:instrText xml:space="preserve"> PAGEREF _Toc483127569 \h </w:instrText>
        </w:r>
        <w:r w:rsidR="00643BE4">
          <w:rPr>
            <w:webHidden/>
          </w:rPr>
        </w:r>
        <w:r w:rsidR="00643BE4">
          <w:rPr>
            <w:webHidden/>
          </w:rPr>
          <w:fldChar w:fldCharType="separate"/>
        </w:r>
        <w:r w:rsidR="000B6FA5">
          <w:rPr>
            <w:webHidden/>
          </w:rPr>
          <w:t>23</w:t>
        </w:r>
        <w:r w:rsidR="00643BE4">
          <w:rPr>
            <w:webHidden/>
          </w:rPr>
          <w:fldChar w:fldCharType="end"/>
        </w:r>
      </w:hyperlink>
    </w:p>
    <w:p w14:paraId="4BFF7ADE" w14:textId="77777777" w:rsidR="00643BE4" w:rsidRDefault="00A2085C">
      <w:pPr>
        <w:pStyle w:val="TOC3"/>
        <w:rPr>
          <w:rFonts w:asciiTheme="minorHAnsi" w:eastAsiaTheme="minorEastAsia" w:hAnsiTheme="minorHAnsi" w:cstheme="minorBidi"/>
          <w:noProof/>
          <w:color w:val="auto"/>
          <w:sz w:val="22"/>
        </w:rPr>
      </w:pPr>
      <w:hyperlink w:anchor="_Toc483127570" w:history="1">
        <w:r w:rsidR="00643BE4" w:rsidRPr="00F63067">
          <w:rPr>
            <w:rStyle w:val="Hyperlink"/>
            <w:noProof/>
          </w:rPr>
          <w:t>3.1</w:t>
        </w:r>
        <w:r w:rsidR="00643BE4">
          <w:rPr>
            <w:rFonts w:asciiTheme="minorHAnsi" w:eastAsiaTheme="minorEastAsia" w:hAnsiTheme="minorHAnsi" w:cstheme="minorBidi"/>
            <w:noProof/>
            <w:color w:val="auto"/>
            <w:sz w:val="22"/>
          </w:rPr>
          <w:tab/>
        </w:r>
        <w:r w:rsidR="00643BE4" w:rsidRPr="00F63067">
          <w:rPr>
            <w:rStyle w:val="Hyperlink"/>
            <w:noProof/>
          </w:rPr>
          <w:t>Model predictions</w:t>
        </w:r>
        <w:r w:rsidR="00643BE4">
          <w:rPr>
            <w:noProof/>
            <w:webHidden/>
          </w:rPr>
          <w:tab/>
        </w:r>
        <w:r w:rsidR="00643BE4">
          <w:rPr>
            <w:noProof/>
            <w:webHidden/>
          </w:rPr>
          <w:fldChar w:fldCharType="begin"/>
        </w:r>
        <w:r w:rsidR="00643BE4">
          <w:rPr>
            <w:noProof/>
            <w:webHidden/>
          </w:rPr>
          <w:instrText xml:space="preserve"> PAGEREF _Toc483127570 \h </w:instrText>
        </w:r>
        <w:r w:rsidR="00643BE4">
          <w:rPr>
            <w:noProof/>
            <w:webHidden/>
          </w:rPr>
        </w:r>
        <w:r w:rsidR="00643BE4">
          <w:rPr>
            <w:noProof/>
            <w:webHidden/>
          </w:rPr>
          <w:fldChar w:fldCharType="separate"/>
        </w:r>
        <w:r w:rsidR="000B6FA5">
          <w:rPr>
            <w:noProof/>
            <w:webHidden/>
          </w:rPr>
          <w:t>23</w:t>
        </w:r>
        <w:r w:rsidR="00643BE4">
          <w:rPr>
            <w:noProof/>
            <w:webHidden/>
          </w:rPr>
          <w:fldChar w:fldCharType="end"/>
        </w:r>
      </w:hyperlink>
    </w:p>
    <w:p w14:paraId="23197728" w14:textId="77777777" w:rsidR="00643BE4" w:rsidRDefault="00A2085C">
      <w:pPr>
        <w:pStyle w:val="TOC3"/>
        <w:rPr>
          <w:rFonts w:asciiTheme="minorHAnsi" w:eastAsiaTheme="minorEastAsia" w:hAnsiTheme="minorHAnsi" w:cstheme="minorBidi"/>
          <w:noProof/>
          <w:color w:val="auto"/>
          <w:sz w:val="22"/>
        </w:rPr>
      </w:pPr>
      <w:hyperlink w:anchor="_Toc483127571" w:history="1">
        <w:r w:rsidR="00643BE4" w:rsidRPr="00F63067">
          <w:rPr>
            <w:rStyle w:val="Hyperlink"/>
            <w:noProof/>
          </w:rPr>
          <w:t>3.2</w:t>
        </w:r>
        <w:r w:rsidR="00643BE4">
          <w:rPr>
            <w:rFonts w:asciiTheme="minorHAnsi" w:eastAsiaTheme="minorEastAsia" w:hAnsiTheme="minorHAnsi" w:cstheme="minorBidi"/>
            <w:noProof/>
            <w:color w:val="auto"/>
            <w:sz w:val="22"/>
          </w:rPr>
          <w:tab/>
        </w:r>
        <w:r w:rsidR="00643BE4" w:rsidRPr="00F63067">
          <w:rPr>
            <w:rStyle w:val="Hyperlink"/>
            <w:noProof/>
          </w:rPr>
          <w:t>Model parameters</w:t>
        </w:r>
        <w:r w:rsidR="00643BE4">
          <w:rPr>
            <w:noProof/>
            <w:webHidden/>
          </w:rPr>
          <w:tab/>
        </w:r>
        <w:r w:rsidR="00643BE4">
          <w:rPr>
            <w:noProof/>
            <w:webHidden/>
          </w:rPr>
          <w:fldChar w:fldCharType="begin"/>
        </w:r>
        <w:r w:rsidR="00643BE4">
          <w:rPr>
            <w:noProof/>
            <w:webHidden/>
          </w:rPr>
          <w:instrText xml:space="preserve"> PAGEREF _Toc483127571 \h </w:instrText>
        </w:r>
        <w:r w:rsidR="00643BE4">
          <w:rPr>
            <w:noProof/>
            <w:webHidden/>
          </w:rPr>
        </w:r>
        <w:r w:rsidR="00643BE4">
          <w:rPr>
            <w:noProof/>
            <w:webHidden/>
          </w:rPr>
          <w:fldChar w:fldCharType="separate"/>
        </w:r>
        <w:r w:rsidR="000B6FA5">
          <w:rPr>
            <w:noProof/>
            <w:webHidden/>
          </w:rPr>
          <w:t>23</w:t>
        </w:r>
        <w:r w:rsidR="00643BE4">
          <w:rPr>
            <w:noProof/>
            <w:webHidden/>
          </w:rPr>
          <w:fldChar w:fldCharType="end"/>
        </w:r>
      </w:hyperlink>
    </w:p>
    <w:p w14:paraId="22FD1193" w14:textId="77777777" w:rsidR="00643BE4" w:rsidRDefault="00A2085C">
      <w:pPr>
        <w:pStyle w:val="TOC3"/>
        <w:rPr>
          <w:rFonts w:asciiTheme="minorHAnsi" w:eastAsiaTheme="minorEastAsia" w:hAnsiTheme="minorHAnsi" w:cstheme="minorBidi"/>
          <w:noProof/>
          <w:color w:val="auto"/>
          <w:sz w:val="22"/>
        </w:rPr>
      </w:pPr>
      <w:hyperlink w:anchor="_Toc483127572" w:history="1">
        <w:r w:rsidR="00643BE4" w:rsidRPr="00F63067">
          <w:rPr>
            <w:rStyle w:val="Hyperlink"/>
            <w:noProof/>
          </w:rPr>
          <w:t>3.3</w:t>
        </w:r>
        <w:r w:rsidR="00643BE4">
          <w:rPr>
            <w:rFonts w:asciiTheme="minorHAnsi" w:eastAsiaTheme="minorEastAsia" w:hAnsiTheme="minorHAnsi" w:cstheme="minorBidi"/>
            <w:noProof/>
            <w:color w:val="auto"/>
            <w:sz w:val="22"/>
          </w:rPr>
          <w:tab/>
        </w:r>
        <w:r w:rsidR="00643BE4" w:rsidRPr="00F63067">
          <w:rPr>
            <w:rStyle w:val="Hyperlink"/>
            <w:noProof/>
          </w:rPr>
          <w:t>Model stress testing</w:t>
        </w:r>
        <w:r w:rsidR="00643BE4">
          <w:rPr>
            <w:noProof/>
            <w:webHidden/>
          </w:rPr>
          <w:tab/>
        </w:r>
        <w:r w:rsidR="00643BE4">
          <w:rPr>
            <w:noProof/>
            <w:webHidden/>
          </w:rPr>
          <w:fldChar w:fldCharType="begin"/>
        </w:r>
        <w:r w:rsidR="00643BE4">
          <w:rPr>
            <w:noProof/>
            <w:webHidden/>
          </w:rPr>
          <w:instrText xml:space="preserve"> PAGEREF _Toc483127572 \h </w:instrText>
        </w:r>
        <w:r w:rsidR="00643BE4">
          <w:rPr>
            <w:noProof/>
            <w:webHidden/>
          </w:rPr>
        </w:r>
        <w:r w:rsidR="00643BE4">
          <w:rPr>
            <w:noProof/>
            <w:webHidden/>
          </w:rPr>
          <w:fldChar w:fldCharType="separate"/>
        </w:r>
        <w:r w:rsidR="000B6FA5">
          <w:rPr>
            <w:noProof/>
            <w:webHidden/>
          </w:rPr>
          <w:t>23</w:t>
        </w:r>
        <w:r w:rsidR="00643BE4">
          <w:rPr>
            <w:noProof/>
            <w:webHidden/>
          </w:rPr>
          <w:fldChar w:fldCharType="end"/>
        </w:r>
      </w:hyperlink>
    </w:p>
    <w:p w14:paraId="6197F849" w14:textId="77777777" w:rsidR="00643BE4" w:rsidRDefault="00A2085C">
      <w:pPr>
        <w:pStyle w:val="TOC3"/>
        <w:rPr>
          <w:rFonts w:asciiTheme="minorHAnsi" w:eastAsiaTheme="minorEastAsia" w:hAnsiTheme="minorHAnsi" w:cstheme="minorBidi"/>
          <w:noProof/>
          <w:color w:val="auto"/>
          <w:sz w:val="22"/>
        </w:rPr>
      </w:pPr>
      <w:hyperlink w:anchor="_Toc483127573" w:history="1">
        <w:r w:rsidR="00643BE4" w:rsidRPr="00F63067">
          <w:rPr>
            <w:rStyle w:val="Hyperlink"/>
            <w:noProof/>
          </w:rPr>
          <w:t>3.4</w:t>
        </w:r>
        <w:r w:rsidR="00643BE4">
          <w:rPr>
            <w:rFonts w:asciiTheme="minorHAnsi" w:eastAsiaTheme="minorEastAsia" w:hAnsiTheme="minorHAnsi" w:cstheme="minorBidi"/>
            <w:noProof/>
            <w:color w:val="auto"/>
            <w:sz w:val="22"/>
          </w:rPr>
          <w:tab/>
        </w:r>
        <w:r w:rsidR="00643BE4" w:rsidRPr="00F63067">
          <w:rPr>
            <w:rStyle w:val="Hyperlink"/>
            <w:noProof/>
          </w:rPr>
          <w:t>Prediction sensitivity and uncertainty analysis - Methods</w:t>
        </w:r>
        <w:r w:rsidR="00643BE4">
          <w:rPr>
            <w:noProof/>
            <w:webHidden/>
          </w:rPr>
          <w:tab/>
        </w:r>
        <w:r w:rsidR="00643BE4">
          <w:rPr>
            <w:noProof/>
            <w:webHidden/>
          </w:rPr>
          <w:fldChar w:fldCharType="begin"/>
        </w:r>
        <w:r w:rsidR="00643BE4">
          <w:rPr>
            <w:noProof/>
            <w:webHidden/>
          </w:rPr>
          <w:instrText xml:space="preserve"> PAGEREF _Toc483127573 \h </w:instrText>
        </w:r>
        <w:r w:rsidR="00643BE4">
          <w:rPr>
            <w:noProof/>
            <w:webHidden/>
          </w:rPr>
        </w:r>
        <w:r w:rsidR="00643BE4">
          <w:rPr>
            <w:noProof/>
            <w:webHidden/>
          </w:rPr>
          <w:fldChar w:fldCharType="separate"/>
        </w:r>
        <w:r w:rsidR="000B6FA5">
          <w:rPr>
            <w:noProof/>
            <w:webHidden/>
          </w:rPr>
          <w:t>24</w:t>
        </w:r>
        <w:r w:rsidR="00643BE4">
          <w:rPr>
            <w:noProof/>
            <w:webHidden/>
          </w:rPr>
          <w:fldChar w:fldCharType="end"/>
        </w:r>
      </w:hyperlink>
    </w:p>
    <w:p w14:paraId="1E1CF817" w14:textId="77777777" w:rsidR="00643BE4" w:rsidRDefault="00A2085C">
      <w:pPr>
        <w:pStyle w:val="TOC3"/>
        <w:rPr>
          <w:rFonts w:asciiTheme="minorHAnsi" w:eastAsiaTheme="minorEastAsia" w:hAnsiTheme="minorHAnsi" w:cstheme="minorBidi"/>
          <w:noProof/>
          <w:color w:val="auto"/>
          <w:sz w:val="22"/>
        </w:rPr>
      </w:pPr>
      <w:hyperlink w:anchor="_Toc483127574" w:history="1">
        <w:r w:rsidR="00643BE4" w:rsidRPr="00F63067">
          <w:rPr>
            <w:rStyle w:val="Hyperlink"/>
            <w:noProof/>
          </w:rPr>
          <w:t>3.5</w:t>
        </w:r>
        <w:r w:rsidR="00643BE4">
          <w:rPr>
            <w:rFonts w:asciiTheme="minorHAnsi" w:eastAsiaTheme="minorEastAsia" w:hAnsiTheme="minorHAnsi" w:cstheme="minorBidi"/>
            <w:noProof/>
            <w:color w:val="auto"/>
            <w:sz w:val="22"/>
          </w:rPr>
          <w:tab/>
        </w:r>
        <w:r w:rsidR="00643BE4" w:rsidRPr="00F63067">
          <w:rPr>
            <w:rStyle w:val="Hyperlink"/>
            <w:noProof/>
          </w:rPr>
          <w:t>Prediction sensitivity analysis - Results and Discussion</w:t>
        </w:r>
        <w:r w:rsidR="00643BE4">
          <w:rPr>
            <w:noProof/>
            <w:webHidden/>
          </w:rPr>
          <w:tab/>
        </w:r>
        <w:r w:rsidR="00643BE4">
          <w:rPr>
            <w:noProof/>
            <w:webHidden/>
          </w:rPr>
          <w:fldChar w:fldCharType="begin"/>
        </w:r>
        <w:r w:rsidR="00643BE4">
          <w:rPr>
            <w:noProof/>
            <w:webHidden/>
          </w:rPr>
          <w:instrText xml:space="preserve"> PAGEREF _Toc483127574 \h </w:instrText>
        </w:r>
        <w:r w:rsidR="00643BE4">
          <w:rPr>
            <w:noProof/>
            <w:webHidden/>
          </w:rPr>
        </w:r>
        <w:r w:rsidR="00643BE4">
          <w:rPr>
            <w:noProof/>
            <w:webHidden/>
          </w:rPr>
          <w:fldChar w:fldCharType="separate"/>
        </w:r>
        <w:r w:rsidR="000B6FA5">
          <w:rPr>
            <w:noProof/>
            <w:webHidden/>
          </w:rPr>
          <w:t>30</w:t>
        </w:r>
        <w:r w:rsidR="00643BE4">
          <w:rPr>
            <w:noProof/>
            <w:webHidden/>
          </w:rPr>
          <w:fldChar w:fldCharType="end"/>
        </w:r>
      </w:hyperlink>
    </w:p>
    <w:p w14:paraId="58664F97" w14:textId="77777777" w:rsidR="00643BE4" w:rsidRDefault="00A2085C">
      <w:pPr>
        <w:pStyle w:val="TOC3"/>
        <w:rPr>
          <w:rFonts w:asciiTheme="minorHAnsi" w:eastAsiaTheme="minorEastAsia" w:hAnsiTheme="minorHAnsi" w:cstheme="minorBidi"/>
          <w:noProof/>
          <w:color w:val="auto"/>
          <w:sz w:val="22"/>
        </w:rPr>
      </w:pPr>
      <w:hyperlink w:anchor="_Toc483127575" w:history="1">
        <w:r w:rsidR="00643BE4" w:rsidRPr="00F63067">
          <w:rPr>
            <w:rStyle w:val="Hyperlink"/>
            <w:noProof/>
          </w:rPr>
          <w:t>3.6</w:t>
        </w:r>
        <w:r w:rsidR="00643BE4">
          <w:rPr>
            <w:rFonts w:asciiTheme="minorHAnsi" w:eastAsiaTheme="minorEastAsia" w:hAnsiTheme="minorHAnsi" w:cstheme="minorBidi"/>
            <w:noProof/>
            <w:color w:val="auto"/>
            <w:sz w:val="22"/>
          </w:rPr>
          <w:tab/>
        </w:r>
        <w:r w:rsidR="00643BE4" w:rsidRPr="00F63067">
          <w:rPr>
            <w:rStyle w:val="Hyperlink"/>
            <w:noProof/>
          </w:rPr>
          <w:t>Prediction uncertainty analysis - Results and Discussion</w:t>
        </w:r>
        <w:r w:rsidR="00643BE4">
          <w:rPr>
            <w:noProof/>
            <w:webHidden/>
          </w:rPr>
          <w:tab/>
        </w:r>
        <w:r w:rsidR="00643BE4">
          <w:rPr>
            <w:noProof/>
            <w:webHidden/>
          </w:rPr>
          <w:fldChar w:fldCharType="begin"/>
        </w:r>
        <w:r w:rsidR="00643BE4">
          <w:rPr>
            <w:noProof/>
            <w:webHidden/>
          </w:rPr>
          <w:instrText xml:space="preserve"> PAGEREF _Toc483127575 \h </w:instrText>
        </w:r>
        <w:r w:rsidR="00643BE4">
          <w:rPr>
            <w:noProof/>
            <w:webHidden/>
          </w:rPr>
        </w:r>
        <w:r w:rsidR="00643BE4">
          <w:rPr>
            <w:noProof/>
            <w:webHidden/>
          </w:rPr>
          <w:fldChar w:fldCharType="separate"/>
        </w:r>
        <w:r w:rsidR="000B6FA5">
          <w:rPr>
            <w:noProof/>
            <w:webHidden/>
          </w:rPr>
          <w:t>37</w:t>
        </w:r>
        <w:r w:rsidR="00643BE4">
          <w:rPr>
            <w:noProof/>
            <w:webHidden/>
          </w:rPr>
          <w:fldChar w:fldCharType="end"/>
        </w:r>
      </w:hyperlink>
    </w:p>
    <w:p w14:paraId="68082766" w14:textId="77777777" w:rsidR="00643BE4" w:rsidRDefault="00A2085C">
      <w:pPr>
        <w:pStyle w:val="TOC2"/>
        <w:rPr>
          <w:rFonts w:asciiTheme="minorHAnsi" w:eastAsiaTheme="minorEastAsia" w:hAnsiTheme="minorHAnsi" w:cstheme="minorBidi"/>
          <w:color w:val="auto"/>
          <w:sz w:val="22"/>
        </w:rPr>
      </w:pPr>
      <w:hyperlink w:anchor="_Toc483127576" w:history="1">
        <w:r w:rsidR="00643BE4" w:rsidRPr="00F63067">
          <w:rPr>
            <w:rStyle w:val="Hyperlink"/>
          </w:rPr>
          <w:t>4</w:t>
        </w:r>
        <w:r w:rsidR="00643BE4">
          <w:rPr>
            <w:rFonts w:asciiTheme="minorHAnsi" w:eastAsiaTheme="minorEastAsia" w:hAnsiTheme="minorHAnsi" w:cstheme="minorBidi"/>
            <w:color w:val="auto"/>
            <w:sz w:val="22"/>
          </w:rPr>
          <w:tab/>
        </w:r>
        <w:r w:rsidR="00643BE4" w:rsidRPr="00F63067">
          <w:rPr>
            <w:rStyle w:val="Hyperlink"/>
          </w:rPr>
          <w:t>Improved characterisation of aquitard vertical hydraulic conductivity</w:t>
        </w:r>
        <w:r w:rsidR="00643BE4">
          <w:rPr>
            <w:webHidden/>
          </w:rPr>
          <w:tab/>
        </w:r>
        <w:r w:rsidR="00643BE4">
          <w:rPr>
            <w:webHidden/>
          </w:rPr>
          <w:fldChar w:fldCharType="begin"/>
        </w:r>
        <w:r w:rsidR="00643BE4">
          <w:rPr>
            <w:webHidden/>
          </w:rPr>
          <w:instrText xml:space="preserve"> PAGEREF _Toc483127576 \h </w:instrText>
        </w:r>
        <w:r w:rsidR="00643BE4">
          <w:rPr>
            <w:webHidden/>
          </w:rPr>
        </w:r>
        <w:r w:rsidR="00643BE4">
          <w:rPr>
            <w:webHidden/>
          </w:rPr>
          <w:fldChar w:fldCharType="separate"/>
        </w:r>
        <w:r w:rsidR="000B6FA5">
          <w:rPr>
            <w:webHidden/>
          </w:rPr>
          <w:t>42</w:t>
        </w:r>
        <w:r w:rsidR="00643BE4">
          <w:rPr>
            <w:webHidden/>
          </w:rPr>
          <w:fldChar w:fldCharType="end"/>
        </w:r>
      </w:hyperlink>
    </w:p>
    <w:p w14:paraId="1BDC6234" w14:textId="77777777" w:rsidR="00643BE4" w:rsidRDefault="00A2085C">
      <w:pPr>
        <w:pStyle w:val="TOC3"/>
        <w:rPr>
          <w:rFonts w:asciiTheme="minorHAnsi" w:eastAsiaTheme="minorEastAsia" w:hAnsiTheme="minorHAnsi" w:cstheme="minorBidi"/>
          <w:noProof/>
          <w:color w:val="auto"/>
          <w:sz w:val="22"/>
        </w:rPr>
      </w:pPr>
      <w:hyperlink w:anchor="_Toc483127577" w:history="1">
        <w:r w:rsidR="00643BE4" w:rsidRPr="00F63067">
          <w:rPr>
            <w:rStyle w:val="Hyperlink"/>
            <w:noProof/>
          </w:rPr>
          <w:t>4.1</w:t>
        </w:r>
        <w:r w:rsidR="00643BE4">
          <w:rPr>
            <w:rFonts w:asciiTheme="minorHAnsi" w:eastAsiaTheme="minorEastAsia" w:hAnsiTheme="minorHAnsi" w:cstheme="minorBidi"/>
            <w:noProof/>
            <w:color w:val="auto"/>
            <w:sz w:val="22"/>
          </w:rPr>
          <w:tab/>
        </w:r>
        <w:r w:rsidR="00643BE4" w:rsidRPr="00F63067">
          <w:rPr>
            <w:rStyle w:val="Hyperlink"/>
            <w:noProof/>
          </w:rPr>
          <w:t>Core testing</w:t>
        </w:r>
        <w:r w:rsidR="00643BE4">
          <w:rPr>
            <w:noProof/>
            <w:webHidden/>
          </w:rPr>
          <w:tab/>
        </w:r>
        <w:r w:rsidR="00643BE4">
          <w:rPr>
            <w:noProof/>
            <w:webHidden/>
          </w:rPr>
          <w:fldChar w:fldCharType="begin"/>
        </w:r>
        <w:r w:rsidR="00643BE4">
          <w:rPr>
            <w:noProof/>
            <w:webHidden/>
          </w:rPr>
          <w:instrText xml:space="preserve"> PAGEREF _Toc483127577 \h </w:instrText>
        </w:r>
        <w:r w:rsidR="00643BE4">
          <w:rPr>
            <w:noProof/>
            <w:webHidden/>
          </w:rPr>
        </w:r>
        <w:r w:rsidR="00643BE4">
          <w:rPr>
            <w:noProof/>
            <w:webHidden/>
          </w:rPr>
          <w:fldChar w:fldCharType="separate"/>
        </w:r>
        <w:r w:rsidR="000B6FA5">
          <w:rPr>
            <w:noProof/>
            <w:webHidden/>
          </w:rPr>
          <w:t>42</w:t>
        </w:r>
        <w:r w:rsidR="00643BE4">
          <w:rPr>
            <w:noProof/>
            <w:webHidden/>
          </w:rPr>
          <w:fldChar w:fldCharType="end"/>
        </w:r>
      </w:hyperlink>
    </w:p>
    <w:p w14:paraId="70B018D0" w14:textId="77777777" w:rsidR="00643BE4" w:rsidRDefault="00A2085C">
      <w:pPr>
        <w:pStyle w:val="TOC3"/>
        <w:rPr>
          <w:rFonts w:asciiTheme="minorHAnsi" w:eastAsiaTheme="minorEastAsia" w:hAnsiTheme="minorHAnsi" w:cstheme="minorBidi"/>
          <w:noProof/>
          <w:color w:val="auto"/>
          <w:sz w:val="22"/>
        </w:rPr>
      </w:pPr>
      <w:hyperlink w:anchor="_Toc483127578" w:history="1">
        <w:r w:rsidR="00643BE4" w:rsidRPr="00F63067">
          <w:rPr>
            <w:rStyle w:val="Hyperlink"/>
            <w:noProof/>
          </w:rPr>
          <w:t>4.2</w:t>
        </w:r>
        <w:r w:rsidR="00643BE4">
          <w:rPr>
            <w:rFonts w:asciiTheme="minorHAnsi" w:eastAsiaTheme="minorEastAsia" w:hAnsiTheme="minorHAnsi" w:cstheme="minorBidi"/>
            <w:noProof/>
            <w:color w:val="auto"/>
            <w:sz w:val="22"/>
          </w:rPr>
          <w:tab/>
        </w:r>
        <w:r w:rsidR="00643BE4" w:rsidRPr="00F63067">
          <w:rPr>
            <w:rStyle w:val="Hyperlink"/>
            <w:noProof/>
          </w:rPr>
          <w:t>Parameter upscaling</w:t>
        </w:r>
        <w:r w:rsidR="00643BE4">
          <w:rPr>
            <w:noProof/>
            <w:webHidden/>
          </w:rPr>
          <w:tab/>
        </w:r>
        <w:r w:rsidR="00643BE4">
          <w:rPr>
            <w:noProof/>
            <w:webHidden/>
          </w:rPr>
          <w:fldChar w:fldCharType="begin"/>
        </w:r>
        <w:r w:rsidR="00643BE4">
          <w:rPr>
            <w:noProof/>
            <w:webHidden/>
          </w:rPr>
          <w:instrText xml:space="preserve"> PAGEREF _Toc483127578 \h </w:instrText>
        </w:r>
        <w:r w:rsidR="00643BE4">
          <w:rPr>
            <w:noProof/>
            <w:webHidden/>
          </w:rPr>
        </w:r>
        <w:r w:rsidR="00643BE4">
          <w:rPr>
            <w:noProof/>
            <w:webHidden/>
          </w:rPr>
          <w:fldChar w:fldCharType="separate"/>
        </w:r>
        <w:r w:rsidR="000B6FA5">
          <w:rPr>
            <w:noProof/>
            <w:webHidden/>
          </w:rPr>
          <w:t>42</w:t>
        </w:r>
        <w:r w:rsidR="00643BE4">
          <w:rPr>
            <w:noProof/>
            <w:webHidden/>
          </w:rPr>
          <w:fldChar w:fldCharType="end"/>
        </w:r>
      </w:hyperlink>
    </w:p>
    <w:p w14:paraId="2EB4DF0C" w14:textId="77777777" w:rsidR="00643BE4" w:rsidRDefault="00A2085C">
      <w:pPr>
        <w:pStyle w:val="TOC2"/>
        <w:rPr>
          <w:rFonts w:asciiTheme="minorHAnsi" w:eastAsiaTheme="minorEastAsia" w:hAnsiTheme="minorHAnsi" w:cstheme="minorBidi"/>
          <w:color w:val="auto"/>
          <w:sz w:val="22"/>
        </w:rPr>
      </w:pPr>
      <w:hyperlink w:anchor="_Toc483127579" w:history="1">
        <w:r w:rsidR="00643BE4" w:rsidRPr="00F63067">
          <w:rPr>
            <w:rStyle w:val="Hyperlink"/>
          </w:rPr>
          <w:t>5</w:t>
        </w:r>
        <w:r w:rsidR="00643BE4">
          <w:rPr>
            <w:rFonts w:asciiTheme="minorHAnsi" w:eastAsiaTheme="minorEastAsia" w:hAnsiTheme="minorHAnsi" w:cstheme="minorBidi"/>
            <w:color w:val="auto"/>
            <w:sz w:val="22"/>
          </w:rPr>
          <w:tab/>
        </w:r>
        <w:r w:rsidR="00643BE4" w:rsidRPr="00F63067">
          <w:rPr>
            <w:rStyle w:val="Hyperlink"/>
          </w:rPr>
          <w:t>Prediction sensitivity and uncertainty analyses using revised models</w:t>
        </w:r>
        <w:r w:rsidR="00643BE4">
          <w:rPr>
            <w:webHidden/>
          </w:rPr>
          <w:tab/>
        </w:r>
        <w:r w:rsidR="00643BE4">
          <w:rPr>
            <w:webHidden/>
          </w:rPr>
          <w:fldChar w:fldCharType="begin"/>
        </w:r>
        <w:r w:rsidR="00643BE4">
          <w:rPr>
            <w:webHidden/>
          </w:rPr>
          <w:instrText xml:space="preserve"> PAGEREF _Toc483127579 \h </w:instrText>
        </w:r>
        <w:r w:rsidR="00643BE4">
          <w:rPr>
            <w:webHidden/>
          </w:rPr>
        </w:r>
        <w:r w:rsidR="00643BE4">
          <w:rPr>
            <w:webHidden/>
          </w:rPr>
          <w:fldChar w:fldCharType="separate"/>
        </w:r>
        <w:r w:rsidR="000B6FA5">
          <w:rPr>
            <w:webHidden/>
          </w:rPr>
          <w:t>48</w:t>
        </w:r>
        <w:r w:rsidR="00643BE4">
          <w:rPr>
            <w:webHidden/>
          </w:rPr>
          <w:fldChar w:fldCharType="end"/>
        </w:r>
      </w:hyperlink>
    </w:p>
    <w:p w14:paraId="6BDD9005" w14:textId="77777777" w:rsidR="00643BE4" w:rsidRDefault="00A2085C">
      <w:pPr>
        <w:pStyle w:val="TOC3"/>
        <w:rPr>
          <w:rFonts w:asciiTheme="minorHAnsi" w:eastAsiaTheme="minorEastAsia" w:hAnsiTheme="minorHAnsi" w:cstheme="minorBidi"/>
          <w:noProof/>
          <w:color w:val="auto"/>
          <w:sz w:val="22"/>
        </w:rPr>
      </w:pPr>
      <w:hyperlink w:anchor="_Toc483127580" w:history="1">
        <w:r w:rsidR="00643BE4" w:rsidRPr="00F63067">
          <w:rPr>
            <w:rStyle w:val="Hyperlink"/>
            <w:noProof/>
          </w:rPr>
          <w:t>5.1</w:t>
        </w:r>
        <w:r w:rsidR="00643BE4">
          <w:rPr>
            <w:rFonts w:asciiTheme="minorHAnsi" w:eastAsiaTheme="minorEastAsia" w:hAnsiTheme="minorHAnsi" w:cstheme="minorBidi"/>
            <w:noProof/>
            <w:color w:val="auto"/>
            <w:sz w:val="22"/>
          </w:rPr>
          <w:tab/>
        </w:r>
        <w:r w:rsidR="00643BE4" w:rsidRPr="00F63067">
          <w:rPr>
            <w:rStyle w:val="Hyperlink"/>
            <w:noProof/>
          </w:rPr>
          <w:t>Prediction sensitivity and uncertainty analysis - Methods</w:t>
        </w:r>
        <w:r w:rsidR="00643BE4">
          <w:rPr>
            <w:noProof/>
            <w:webHidden/>
          </w:rPr>
          <w:tab/>
        </w:r>
        <w:r w:rsidR="00643BE4">
          <w:rPr>
            <w:noProof/>
            <w:webHidden/>
          </w:rPr>
          <w:fldChar w:fldCharType="begin"/>
        </w:r>
        <w:r w:rsidR="00643BE4">
          <w:rPr>
            <w:noProof/>
            <w:webHidden/>
          </w:rPr>
          <w:instrText xml:space="preserve"> PAGEREF _Toc483127580 \h </w:instrText>
        </w:r>
        <w:r w:rsidR="00643BE4">
          <w:rPr>
            <w:noProof/>
            <w:webHidden/>
          </w:rPr>
        </w:r>
        <w:r w:rsidR="00643BE4">
          <w:rPr>
            <w:noProof/>
            <w:webHidden/>
          </w:rPr>
          <w:fldChar w:fldCharType="separate"/>
        </w:r>
        <w:r w:rsidR="000B6FA5">
          <w:rPr>
            <w:noProof/>
            <w:webHidden/>
          </w:rPr>
          <w:t>48</w:t>
        </w:r>
        <w:r w:rsidR="00643BE4">
          <w:rPr>
            <w:noProof/>
            <w:webHidden/>
          </w:rPr>
          <w:fldChar w:fldCharType="end"/>
        </w:r>
      </w:hyperlink>
    </w:p>
    <w:p w14:paraId="2DEB06A7" w14:textId="77777777" w:rsidR="00643BE4" w:rsidRDefault="00A2085C">
      <w:pPr>
        <w:pStyle w:val="TOC3"/>
        <w:rPr>
          <w:rFonts w:asciiTheme="minorHAnsi" w:eastAsiaTheme="minorEastAsia" w:hAnsiTheme="minorHAnsi" w:cstheme="minorBidi"/>
          <w:noProof/>
          <w:color w:val="auto"/>
          <w:sz w:val="22"/>
        </w:rPr>
      </w:pPr>
      <w:hyperlink w:anchor="_Toc483127581" w:history="1">
        <w:r w:rsidR="00643BE4" w:rsidRPr="00F63067">
          <w:rPr>
            <w:rStyle w:val="Hyperlink"/>
            <w:noProof/>
          </w:rPr>
          <w:t>5.2</w:t>
        </w:r>
        <w:r w:rsidR="00643BE4">
          <w:rPr>
            <w:rFonts w:asciiTheme="minorHAnsi" w:eastAsiaTheme="minorEastAsia" w:hAnsiTheme="minorHAnsi" w:cstheme="minorBidi"/>
            <w:noProof/>
            <w:color w:val="auto"/>
            <w:sz w:val="22"/>
          </w:rPr>
          <w:tab/>
        </w:r>
        <w:r w:rsidR="00643BE4" w:rsidRPr="00F63067">
          <w:rPr>
            <w:rStyle w:val="Hyperlink"/>
            <w:noProof/>
          </w:rPr>
          <w:t>Prediction sensitivity analysis – Results and Discussion</w:t>
        </w:r>
        <w:r w:rsidR="00643BE4">
          <w:rPr>
            <w:noProof/>
            <w:webHidden/>
          </w:rPr>
          <w:tab/>
        </w:r>
        <w:r w:rsidR="00643BE4">
          <w:rPr>
            <w:noProof/>
            <w:webHidden/>
          </w:rPr>
          <w:fldChar w:fldCharType="begin"/>
        </w:r>
        <w:r w:rsidR="00643BE4">
          <w:rPr>
            <w:noProof/>
            <w:webHidden/>
          </w:rPr>
          <w:instrText xml:space="preserve"> PAGEREF _Toc483127581 \h </w:instrText>
        </w:r>
        <w:r w:rsidR="00643BE4">
          <w:rPr>
            <w:noProof/>
            <w:webHidden/>
          </w:rPr>
        </w:r>
        <w:r w:rsidR="00643BE4">
          <w:rPr>
            <w:noProof/>
            <w:webHidden/>
          </w:rPr>
          <w:fldChar w:fldCharType="separate"/>
        </w:r>
        <w:r w:rsidR="000B6FA5">
          <w:rPr>
            <w:noProof/>
            <w:webHidden/>
          </w:rPr>
          <w:t>50</w:t>
        </w:r>
        <w:r w:rsidR="00643BE4">
          <w:rPr>
            <w:noProof/>
            <w:webHidden/>
          </w:rPr>
          <w:fldChar w:fldCharType="end"/>
        </w:r>
      </w:hyperlink>
    </w:p>
    <w:p w14:paraId="2C6B11CE" w14:textId="77777777" w:rsidR="00643BE4" w:rsidRDefault="00A2085C">
      <w:pPr>
        <w:pStyle w:val="TOC3"/>
        <w:rPr>
          <w:rFonts w:asciiTheme="minorHAnsi" w:eastAsiaTheme="minorEastAsia" w:hAnsiTheme="minorHAnsi" w:cstheme="minorBidi"/>
          <w:noProof/>
          <w:color w:val="auto"/>
          <w:sz w:val="22"/>
        </w:rPr>
      </w:pPr>
      <w:hyperlink w:anchor="_Toc483127582" w:history="1">
        <w:r w:rsidR="00643BE4" w:rsidRPr="00F63067">
          <w:rPr>
            <w:rStyle w:val="Hyperlink"/>
            <w:noProof/>
          </w:rPr>
          <w:t>5.3</w:t>
        </w:r>
        <w:r w:rsidR="00643BE4">
          <w:rPr>
            <w:rFonts w:asciiTheme="minorHAnsi" w:eastAsiaTheme="minorEastAsia" w:hAnsiTheme="minorHAnsi" w:cstheme="minorBidi"/>
            <w:noProof/>
            <w:color w:val="auto"/>
            <w:sz w:val="22"/>
          </w:rPr>
          <w:tab/>
        </w:r>
        <w:r w:rsidR="00643BE4" w:rsidRPr="00F63067">
          <w:rPr>
            <w:rStyle w:val="Hyperlink"/>
            <w:noProof/>
          </w:rPr>
          <w:t>Prediction uncertainty analysis – Results and Discussion</w:t>
        </w:r>
        <w:r w:rsidR="00643BE4">
          <w:rPr>
            <w:noProof/>
            <w:webHidden/>
          </w:rPr>
          <w:tab/>
        </w:r>
        <w:r w:rsidR="00643BE4">
          <w:rPr>
            <w:noProof/>
            <w:webHidden/>
          </w:rPr>
          <w:fldChar w:fldCharType="begin"/>
        </w:r>
        <w:r w:rsidR="00643BE4">
          <w:rPr>
            <w:noProof/>
            <w:webHidden/>
          </w:rPr>
          <w:instrText xml:space="preserve"> PAGEREF _Toc483127582 \h </w:instrText>
        </w:r>
        <w:r w:rsidR="00643BE4">
          <w:rPr>
            <w:noProof/>
            <w:webHidden/>
          </w:rPr>
        </w:r>
        <w:r w:rsidR="00643BE4">
          <w:rPr>
            <w:noProof/>
            <w:webHidden/>
          </w:rPr>
          <w:fldChar w:fldCharType="separate"/>
        </w:r>
        <w:r w:rsidR="000B6FA5">
          <w:rPr>
            <w:noProof/>
            <w:webHidden/>
          </w:rPr>
          <w:t>56</w:t>
        </w:r>
        <w:r w:rsidR="00643BE4">
          <w:rPr>
            <w:noProof/>
            <w:webHidden/>
          </w:rPr>
          <w:fldChar w:fldCharType="end"/>
        </w:r>
      </w:hyperlink>
    </w:p>
    <w:p w14:paraId="2296DD36" w14:textId="77777777" w:rsidR="00643BE4" w:rsidRDefault="00A2085C">
      <w:pPr>
        <w:pStyle w:val="TOC2"/>
        <w:rPr>
          <w:rFonts w:asciiTheme="minorHAnsi" w:eastAsiaTheme="minorEastAsia" w:hAnsiTheme="minorHAnsi" w:cstheme="minorBidi"/>
          <w:color w:val="auto"/>
          <w:sz w:val="22"/>
        </w:rPr>
      </w:pPr>
      <w:hyperlink w:anchor="_Toc483127583" w:history="1">
        <w:r w:rsidR="00643BE4" w:rsidRPr="00F63067">
          <w:rPr>
            <w:rStyle w:val="Hyperlink"/>
          </w:rPr>
          <w:t>6</w:t>
        </w:r>
        <w:r w:rsidR="00643BE4">
          <w:rPr>
            <w:rFonts w:asciiTheme="minorHAnsi" w:eastAsiaTheme="minorEastAsia" w:hAnsiTheme="minorHAnsi" w:cstheme="minorBidi"/>
            <w:color w:val="auto"/>
            <w:sz w:val="22"/>
          </w:rPr>
          <w:tab/>
        </w:r>
        <w:r w:rsidR="00643BE4" w:rsidRPr="00F63067">
          <w:rPr>
            <w:rStyle w:val="Hyperlink"/>
          </w:rPr>
          <w:t>Analyses of the spatial variability of aquitard hydraulic properties</w:t>
        </w:r>
        <w:r w:rsidR="00643BE4">
          <w:rPr>
            <w:webHidden/>
          </w:rPr>
          <w:tab/>
        </w:r>
        <w:r w:rsidR="00643BE4">
          <w:rPr>
            <w:webHidden/>
          </w:rPr>
          <w:fldChar w:fldCharType="begin"/>
        </w:r>
        <w:r w:rsidR="00643BE4">
          <w:rPr>
            <w:webHidden/>
          </w:rPr>
          <w:instrText xml:space="preserve"> PAGEREF _Toc483127583 \h </w:instrText>
        </w:r>
        <w:r w:rsidR="00643BE4">
          <w:rPr>
            <w:webHidden/>
          </w:rPr>
        </w:r>
        <w:r w:rsidR="00643BE4">
          <w:rPr>
            <w:webHidden/>
          </w:rPr>
          <w:fldChar w:fldCharType="separate"/>
        </w:r>
        <w:r w:rsidR="000B6FA5">
          <w:rPr>
            <w:webHidden/>
          </w:rPr>
          <w:t>63</w:t>
        </w:r>
        <w:r w:rsidR="00643BE4">
          <w:rPr>
            <w:webHidden/>
          </w:rPr>
          <w:fldChar w:fldCharType="end"/>
        </w:r>
      </w:hyperlink>
    </w:p>
    <w:p w14:paraId="10B11E23" w14:textId="77777777" w:rsidR="00643BE4" w:rsidRDefault="00A2085C">
      <w:pPr>
        <w:pStyle w:val="TOC3"/>
        <w:rPr>
          <w:rFonts w:asciiTheme="minorHAnsi" w:eastAsiaTheme="minorEastAsia" w:hAnsiTheme="minorHAnsi" w:cstheme="minorBidi"/>
          <w:noProof/>
          <w:color w:val="auto"/>
          <w:sz w:val="22"/>
        </w:rPr>
      </w:pPr>
      <w:hyperlink w:anchor="_Toc483127584" w:history="1">
        <w:r w:rsidR="00643BE4" w:rsidRPr="00F63067">
          <w:rPr>
            <w:rStyle w:val="Hyperlink"/>
            <w:noProof/>
          </w:rPr>
          <w:t>6.1</w:t>
        </w:r>
        <w:r w:rsidR="00643BE4">
          <w:rPr>
            <w:rFonts w:asciiTheme="minorHAnsi" w:eastAsiaTheme="minorEastAsia" w:hAnsiTheme="minorHAnsi" w:cstheme="minorBidi"/>
            <w:noProof/>
            <w:color w:val="auto"/>
            <w:sz w:val="22"/>
          </w:rPr>
          <w:tab/>
        </w:r>
        <w:r w:rsidR="00643BE4" w:rsidRPr="00F63067">
          <w:rPr>
            <w:rStyle w:val="Hyperlink"/>
            <w:noProof/>
          </w:rPr>
          <w:t>Spatial distributions of aquitard vertical hydraulic conductivity</w:t>
        </w:r>
        <w:r w:rsidR="00643BE4">
          <w:rPr>
            <w:noProof/>
            <w:webHidden/>
          </w:rPr>
          <w:tab/>
        </w:r>
        <w:r w:rsidR="00643BE4">
          <w:rPr>
            <w:noProof/>
            <w:webHidden/>
          </w:rPr>
          <w:fldChar w:fldCharType="begin"/>
        </w:r>
        <w:r w:rsidR="00643BE4">
          <w:rPr>
            <w:noProof/>
            <w:webHidden/>
          </w:rPr>
          <w:instrText xml:space="preserve"> PAGEREF _Toc483127584 \h </w:instrText>
        </w:r>
        <w:r w:rsidR="00643BE4">
          <w:rPr>
            <w:noProof/>
            <w:webHidden/>
          </w:rPr>
        </w:r>
        <w:r w:rsidR="00643BE4">
          <w:rPr>
            <w:noProof/>
            <w:webHidden/>
          </w:rPr>
          <w:fldChar w:fldCharType="separate"/>
        </w:r>
        <w:r w:rsidR="000B6FA5">
          <w:rPr>
            <w:noProof/>
            <w:webHidden/>
          </w:rPr>
          <w:t>63</w:t>
        </w:r>
        <w:r w:rsidR="00643BE4">
          <w:rPr>
            <w:noProof/>
            <w:webHidden/>
          </w:rPr>
          <w:fldChar w:fldCharType="end"/>
        </w:r>
      </w:hyperlink>
    </w:p>
    <w:p w14:paraId="75DDDD0F" w14:textId="77777777" w:rsidR="00643BE4" w:rsidRDefault="00A2085C">
      <w:pPr>
        <w:pStyle w:val="TOC3"/>
        <w:rPr>
          <w:rFonts w:asciiTheme="minorHAnsi" w:eastAsiaTheme="minorEastAsia" w:hAnsiTheme="minorHAnsi" w:cstheme="minorBidi"/>
          <w:noProof/>
          <w:color w:val="auto"/>
          <w:sz w:val="22"/>
        </w:rPr>
      </w:pPr>
      <w:hyperlink w:anchor="_Toc483127585" w:history="1">
        <w:r w:rsidR="00643BE4" w:rsidRPr="00F63067">
          <w:rPr>
            <w:rStyle w:val="Hyperlink"/>
            <w:noProof/>
          </w:rPr>
          <w:t>6.2</w:t>
        </w:r>
        <w:r w:rsidR="00643BE4">
          <w:rPr>
            <w:rFonts w:asciiTheme="minorHAnsi" w:eastAsiaTheme="minorEastAsia" w:hAnsiTheme="minorHAnsi" w:cstheme="minorBidi"/>
            <w:noProof/>
            <w:color w:val="auto"/>
            <w:sz w:val="22"/>
          </w:rPr>
          <w:tab/>
        </w:r>
        <w:r w:rsidR="00643BE4" w:rsidRPr="00F63067">
          <w:rPr>
            <w:rStyle w:val="Hyperlink"/>
            <w:noProof/>
          </w:rPr>
          <w:t>Variogram analyses</w:t>
        </w:r>
        <w:r w:rsidR="00643BE4">
          <w:rPr>
            <w:noProof/>
            <w:webHidden/>
          </w:rPr>
          <w:tab/>
        </w:r>
        <w:r w:rsidR="00643BE4">
          <w:rPr>
            <w:noProof/>
            <w:webHidden/>
          </w:rPr>
          <w:fldChar w:fldCharType="begin"/>
        </w:r>
        <w:r w:rsidR="00643BE4">
          <w:rPr>
            <w:noProof/>
            <w:webHidden/>
          </w:rPr>
          <w:instrText xml:space="preserve"> PAGEREF _Toc483127585 \h </w:instrText>
        </w:r>
        <w:r w:rsidR="00643BE4">
          <w:rPr>
            <w:noProof/>
            <w:webHidden/>
          </w:rPr>
        </w:r>
        <w:r w:rsidR="00643BE4">
          <w:rPr>
            <w:noProof/>
            <w:webHidden/>
          </w:rPr>
          <w:fldChar w:fldCharType="separate"/>
        </w:r>
        <w:r w:rsidR="000B6FA5">
          <w:rPr>
            <w:noProof/>
            <w:webHidden/>
          </w:rPr>
          <w:t>65</w:t>
        </w:r>
        <w:r w:rsidR="00643BE4">
          <w:rPr>
            <w:noProof/>
            <w:webHidden/>
          </w:rPr>
          <w:fldChar w:fldCharType="end"/>
        </w:r>
      </w:hyperlink>
    </w:p>
    <w:p w14:paraId="5B767911" w14:textId="77777777" w:rsidR="00643BE4" w:rsidRDefault="00A2085C">
      <w:pPr>
        <w:pStyle w:val="TOC3"/>
        <w:rPr>
          <w:rFonts w:asciiTheme="minorHAnsi" w:eastAsiaTheme="minorEastAsia" w:hAnsiTheme="minorHAnsi" w:cstheme="minorBidi"/>
          <w:noProof/>
          <w:color w:val="auto"/>
          <w:sz w:val="22"/>
        </w:rPr>
      </w:pPr>
      <w:hyperlink w:anchor="_Toc483127586" w:history="1">
        <w:r w:rsidR="00643BE4" w:rsidRPr="00F63067">
          <w:rPr>
            <w:rStyle w:val="Hyperlink"/>
            <w:noProof/>
          </w:rPr>
          <w:t>6.3</w:t>
        </w:r>
        <w:r w:rsidR="00643BE4">
          <w:rPr>
            <w:rFonts w:asciiTheme="minorHAnsi" w:eastAsiaTheme="minorEastAsia" w:hAnsiTheme="minorHAnsi" w:cstheme="minorBidi"/>
            <w:noProof/>
            <w:color w:val="auto"/>
            <w:sz w:val="22"/>
          </w:rPr>
          <w:tab/>
        </w:r>
        <w:r w:rsidR="00643BE4" w:rsidRPr="00F63067">
          <w:rPr>
            <w:rStyle w:val="Hyperlink"/>
            <w:noProof/>
          </w:rPr>
          <w:t>Stochastic generation of spatially distributed parameter fields</w:t>
        </w:r>
        <w:r w:rsidR="00643BE4">
          <w:rPr>
            <w:noProof/>
            <w:webHidden/>
          </w:rPr>
          <w:tab/>
        </w:r>
        <w:r w:rsidR="00643BE4">
          <w:rPr>
            <w:noProof/>
            <w:webHidden/>
          </w:rPr>
          <w:fldChar w:fldCharType="begin"/>
        </w:r>
        <w:r w:rsidR="00643BE4">
          <w:rPr>
            <w:noProof/>
            <w:webHidden/>
          </w:rPr>
          <w:instrText xml:space="preserve"> PAGEREF _Toc483127586 \h </w:instrText>
        </w:r>
        <w:r w:rsidR="00643BE4">
          <w:rPr>
            <w:noProof/>
            <w:webHidden/>
          </w:rPr>
        </w:r>
        <w:r w:rsidR="00643BE4">
          <w:rPr>
            <w:noProof/>
            <w:webHidden/>
          </w:rPr>
          <w:fldChar w:fldCharType="separate"/>
        </w:r>
        <w:r w:rsidR="000B6FA5">
          <w:rPr>
            <w:noProof/>
            <w:webHidden/>
          </w:rPr>
          <w:t>70</w:t>
        </w:r>
        <w:r w:rsidR="00643BE4">
          <w:rPr>
            <w:noProof/>
            <w:webHidden/>
          </w:rPr>
          <w:fldChar w:fldCharType="end"/>
        </w:r>
      </w:hyperlink>
    </w:p>
    <w:p w14:paraId="6B0F5B50" w14:textId="77777777" w:rsidR="00643BE4" w:rsidRDefault="00A2085C">
      <w:pPr>
        <w:pStyle w:val="TOC3"/>
        <w:rPr>
          <w:rFonts w:asciiTheme="minorHAnsi" w:eastAsiaTheme="minorEastAsia" w:hAnsiTheme="minorHAnsi" w:cstheme="minorBidi"/>
          <w:noProof/>
          <w:color w:val="auto"/>
          <w:sz w:val="22"/>
        </w:rPr>
      </w:pPr>
      <w:hyperlink w:anchor="_Toc483127587" w:history="1">
        <w:r w:rsidR="00643BE4" w:rsidRPr="00F63067">
          <w:rPr>
            <w:rStyle w:val="Hyperlink"/>
            <w:noProof/>
          </w:rPr>
          <w:t>6.4</w:t>
        </w:r>
        <w:r w:rsidR="00643BE4">
          <w:rPr>
            <w:rFonts w:asciiTheme="minorHAnsi" w:eastAsiaTheme="minorEastAsia" w:hAnsiTheme="minorHAnsi" w:cstheme="minorBidi"/>
            <w:noProof/>
            <w:color w:val="auto"/>
            <w:sz w:val="22"/>
          </w:rPr>
          <w:tab/>
        </w:r>
        <w:r w:rsidR="00643BE4" w:rsidRPr="00F63067">
          <w:rPr>
            <w:rStyle w:val="Hyperlink"/>
            <w:noProof/>
          </w:rPr>
          <w:t>Prediction uncertainty analysis using spatially distributed parameter fields</w:t>
        </w:r>
        <w:r w:rsidR="00643BE4">
          <w:rPr>
            <w:noProof/>
            <w:webHidden/>
          </w:rPr>
          <w:tab/>
        </w:r>
        <w:r w:rsidR="00643BE4">
          <w:rPr>
            <w:noProof/>
            <w:webHidden/>
          </w:rPr>
          <w:fldChar w:fldCharType="begin"/>
        </w:r>
        <w:r w:rsidR="00643BE4">
          <w:rPr>
            <w:noProof/>
            <w:webHidden/>
          </w:rPr>
          <w:instrText xml:space="preserve"> PAGEREF _Toc483127587 \h </w:instrText>
        </w:r>
        <w:r w:rsidR="00643BE4">
          <w:rPr>
            <w:noProof/>
            <w:webHidden/>
          </w:rPr>
        </w:r>
        <w:r w:rsidR="00643BE4">
          <w:rPr>
            <w:noProof/>
            <w:webHidden/>
          </w:rPr>
          <w:fldChar w:fldCharType="separate"/>
        </w:r>
        <w:r w:rsidR="000B6FA5">
          <w:rPr>
            <w:noProof/>
            <w:webHidden/>
          </w:rPr>
          <w:t>71</w:t>
        </w:r>
        <w:r w:rsidR="00643BE4">
          <w:rPr>
            <w:noProof/>
            <w:webHidden/>
          </w:rPr>
          <w:fldChar w:fldCharType="end"/>
        </w:r>
      </w:hyperlink>
    </w:p>
    <w:p w14:paraId="472EF99C" w14:textId="77777777" w:rsidR="00643BE4" w:rsidRDefault="00A2085C">
      <w:pPr>
        <w:pStyle w:val="TOC3"/>
        <w:rPr>
          <w:rFonts w:asciiTheme="minorHAnsi" w:eastAsiaTheme="minorEastAsia" w:hAnsiTheme="minorHAnsi" w:cstheme="minorBidi"/>
          <w:noProof/>
          <w:color w:val="auto"/>
          <w:sz w:val="22"/>
        </w:rPr>
      </w:pPr>
      <w:hyperlink w:anchor="_Toc483127588" w:history="1">
        <w:r w:rsidR="00643BE4" w:rsidRPr="00F63067">
          <w:rPr>
            <w:rStyle w:val="Hyperlink"/>
            <w:noProof/>
          </w:rPr>
          <w:t>6.5</w:t>
        </w:r>
        <w:r w:rsidR="00643BE4">
          <w:rPr>
            <w:rFonts w:asciiTheme="minorHAnsi" w:eastAsiaTheme="minorEastAsia" w:hAnsiTheme="minorHAnsi" w:cstheme="minorBidi"/>
            <w:noProof/>
            <w:color w:val="auto"/>
            <w:sz w:val="22"/>
          </w:rPr>
          <w:tab/>
        </w:r>
        <w:r w:rsidR="00643BE4" w:rsidRPr="00F63067">
          <w:rPr>
            <w:rStyle w:val="Hyperlink"/>
            <w:noProof/>
          </w:rPr>
          <w:t>Prediction uncertainty and groundwater management</w:t>
        </w:r>
        <w:r w:rsidR="00643BE4">
          <w:rPr>
            <w:noProof/>
            <w:webHidden/>
          </w:rPr>
          <w:tab/>
        </w:r>
        <w:r w:rsidR="00643BE4">
          <w:rPr>
            <w:noProof/>
            <w:webHidden/>
          </w:rPr>
          <w:fldChar w:fldCharType="begin"/>
        </w:r>
        <w:r w:rsidR="00643BE4">
          <w:rPr>
            <w:noProof/>
            <w:webHidden/>
          </w:rPr>
          <w:instrText xml:space="preserve"> PAGEREF _Toc483127588 \h </w:instrText>
        </w:r>
        <w:r w:rsidR="00643BE4">
          <w:rPr>
            <w:noProof/>
            <w:webHidden/>
          </w:rPr>
        </w:r>
        <w:r w:rsidR="00643BE4">
          <w:rPr>
            <w:noProof/>
            <w:webHidden/>
          </w:rPr>
          <w:fldChar w:fldCharType="separate"/>
        </w:r>
        <w:r w:rsidR="000B6FA5">
          <w:rPr>
            <w:noProof/>
            <w:webHidden/>
          </w:rPr>
          <w:t>78</w:t>
        </w:r>
        <w:r w:rsidR="00643BE4">
          <w:rPr>
            <w:noProof/>
            <w:webHidden/>
          </w:rPr>
          <w:fldChar w:fldCharType="end"/>
        </w:r>
      </w:hyperlink>
    </w:p>
    <w:p w14:paraId="702A9EB9" w14:textId="77777777" w:rsidR="00643BE4" w:rsidRDefault="00A2085C">
      <w:pPr>
        <w:pStyle w:val="TOC2"/>
        <w:rPr>
          <w:rFonts w:asciiTheme="minorHAnsi" w:eastAsiaTheme="minorEastAsia" w:hAnsiTheme="minorHAnsi" w:cstheme="minorBidi"/>
          <w:color w:val="auto"/>
          <w:sz w:val="22"/>
        </w:rPr>
      </w:pPr>
      <w:hyperlink w:anchor="_Toc483127589" w:history="1">
        <w:r w:rsidR="00643BE4" w:rsidRPr="00F63067">
          <w:rPr>
            <w:rStyle w:val="Hyperlink"/>
          </w:rPr>
          <w:t>7</w:t>
        </w:r>
        <w:r w:rsidR="00643BE4">
          <w:rPr>
            <w:rFonts w:asciiTheme="minorHAnsi" w:eastAsiaTheme="minorEastAsia" w:hAnsiTheme="minorHAnsi" w:cstheme="minorBidi"/>
            <w:color w:val="auto"/>
            <w:sz w:val="22"/>
          </w:rPr>
          <w:tab/>
        </w:r>
        <w:r w:rsidR="00643BE4" w:rsidRPr="00F63067">
          <w:rPr>
            <w:rStyle w:val="Hyperlink"/>
          </w:rPr>
          <w:t>Data worth analysis</w:t>
        </w:r>
        <w:r w:rsidR="00643BE4">
          <w:rPr>
            <w:webHidden/>
          </w:rPr>
          <w:tab/>
        </w:r>
        <w:r w:rsidR="00643BE4">
          <w:rPr>
            <w:webHidden/>
          </w:rPr>
          <w:fldChar w:fldCharType="begin"/>
        </w:r>
        <w:r w:rsidR="00643BE4">
          <w:rPr>
            <w:webHidden/>
          </w:rPr>
          <w:instrText xml:space="preserve"> PAGEREF _Toc483127589 \h </w:instrText>
        </w:r>
        <w:r w:rsidR="00643BE4">
          <w:rPr>
            <w:webHidden/>
          </w:rPr>
        </w:r>
        <w:r w:rsidR="00643BE4">
          <w:rPr>
            <w:webHidden/>
          </w:rPr>
          <w:fldChar w:fldCharType="separate"/>
        </w:r>
        <w:r w:rsidR="000B6FA5">
          <w:rPr>
            <w:webHidden/>
          </w:rPr>
          <w:t>82</w:t>
        </w:r>
        <w:r w:rsidR="00643BE4">
          <w:rPr>
            <w:webHidden/>
          </w:rPr>
          <w:fldChar w:fldCharType="end"/>
        </w:r>
      </w:hyperlink>
    </w:p>
    <w:p w14:paraId="2E18233B" w14:textId="77777777" w:rsidR="00643BE4" w:rsidRDefault="00A2085C">
      <w:pPr>
        <w:pStyle w:val="TOC3"/>
        <w:rPr>
          <w:rFonts w:asciiTheme="minorHAnsi" w:eastAsiaTheme="minorEastAsia" w:hAnsiTheme="minorHAnsi" w:cstheme="minorBidi"/>
          <w:noProof/>
          <w:color w:val="auto"/>
          <w:sz w:val="22"/>
        </w:rPr>
      </w:pPr>
      <w:hyperlink w:anchor="_Toc483127590" w:history="1">
        <w:r w:rsidR="00643BE4" w:rsidRPr="00F63067">
          <w:rPr>
            <w:rStyle w:val="Hyperlink"/>
            <w:noProof/>
          </w:rPr>
          <w:t>7.1</w:t>
        </w:r>
        <w:r w:rsidR="00643BE4">
          <w:rPr>
            <w:rFonts w:asciiTheme="minorHAnsi" w:eastAsiaTheme="minorEastAsia" w:hAnsiTheme="minorHAnsi" w:cstheme="minorBidi"/>
            <w:noProof/>
            <w:color w:val="auto"/>
            <w:sz w:val="22"/>
          </w:rPr>
          <w:tab/>
        </w:r>
        <w:r w:rsidR="00643BE4" w:rsidRPr="00F63067">
          <w:rPr>
            <w:rStyle w:val="Hyperlink"/>
            <w:noProof/>
          </w:rPr>
          <w:t>Literature review</w:t>
        </w:r>
        <w:r w:rsidR="00643BE4">
          <w:rPr>
            <w:noProof/>
            <w:webHidden/>
          </w:rPr>
          <w:tab/>
        </w:r>
        <w:r w:rsidR="00643BE4">
          <w:rPr>
            <w:noProof/>
            <w:webHidden/>
          </w:rPr>
          <w:fldChar w:fldCharType="begin"/>
        </w:r>
        <w:r w:rsidR="00643BE4">
          <w:rPr>
            <w:noProof/>
            <w:webHidden/>
          </w:rPr>
          <w:instrText xml:space="preserve"> PAGEREF _Toc483127590 \h </w:instrText>
        </w:r>
        <w:r w:rsidR="00643BE4">
          <w:rPr>
            <w:noProof/>
            <w:webHidden/>
          </w:rPr>
        </w:r>
        <w:r w:rsidR="00643BE4">
          <w:rPr>
            <w:noProof/>
            <w:webHidden/>
          </w:rPr>
          <w:fldChar w:fldCharType="separate"/>
        </w:r>
        <w:r w:rsidR="000B6FA5">
          <w:rPr>
            <w:noProof/>
            <w:webHidden/>
          </w:rPr>
          <w:t>82</w:t>
        </w:r>
        <w:r w:rsidR="00643BE4">
          <w:rPr>
            <w:noProof/>
            <w:webHidden/>
          </w:rPr>
          <w:fldChar w:fldCharType="end"/>
        </w:r>
      </w:hyperlink>
    </w:p>
    <w:p w14:paraId="6F0C6A5E" w14:textId="77777777" w:rsidR="00643BE4" w:rsidRDefault="00A2085C">
      <w:pPr>
        <w:pStyle w:val="TOC3"/>
        <w:rPr>
          <w:rFonts w:asciiTheme="minorHAnsi" w:eastAsiaTheme="minorEastAsia" w:hAnsiTheme="minorHAnsi" w:cstheme="minorBidi"/>
          <w:noProof/>
          <w:color w:val="auto"/>
          <w:sz w:val="22"/>
        </w:rPr>
      </w:pPr>
      <w:hyperlink w:anchor="_Toc483127591" w:history="1">
        <w:r w:rsidR="00643BE4" w:rsidRPr="00F63067">
          <w:rPr>
            <w:rStyle w:val="Hyperlink"/>
            <w:noProof/>
          </w:rPr>
          <w:t>7.2</w:t>
        </w:r>
        <w:r w:rsidR="00643BE4">
          <w:rPr>
            <w:rFonts w:asciiTheme="minorHAnsi" w:eastAsiaTheme="minorEastAsia" w:hAnsiTheme="minorHAnsi" w:cstheme="minorBidi"/>
            <w:noProof/>
            <w:color w:val="auto"/>
            <w:sz w:val="22"/>
          </w:rPr>
          <w:tab/>
        </w:r>
        <w:r w:rsidR="00643BE4" w:rsidRPr="00F63067">
          <w:rPr>
            <w:rStyle w:val="Hyperlink"/>
            <w:noProof/>
          </w:rPr>
          <w:t>Bootstrapping resampling</w:t>
        </w:r>
        <w:r w:rsidR="00643BE4">
          <w:rPr>
            <w:noProof/>
            <w:webHidden/>
          </w:rPr>
          <w:tab/>
        </w:r>
        <w:r w:rsidR="00643BE4">
          <w:rPr>
            <w:noProof/>
            <w:webHidden/>
          </w:rPr>
          <w:fldChar w:fldCharType="begin"/>
        </w:r>
        <w:r w:rsidR="00643BE4">
          <w:rPr>
            <w:noProof/>
            <w:webHidden/>
          </w:rPr>
          <w:instrText xml:space="preserve"> PAGEREF _Toc483127591 \h </w:instrText>
        </w:r>
        <w:r w:rsidR="00643BE4">
          <w:rPr>
            <w:noProof/>
            <w:webHidden/>
          </w:rPr>
        </w:r>
        <w:r w:rsidR="00643BE4">
          <w:rPr>
            <w:noProof/>
            <w:webHidden/>
          </w:rPr>
          <w:fldChar w:fldCharType="separate"/>
        </w:r>
        <w:r w:rsidR="000B6FA5">
          <w:rPr>
            <w:noProof/>
            <w:webHidden/>
          </w:rPr>
          <w:t>84</w:t>
        </w:r>
        <w:r w:rsidR="00643BE4">
          <w:rPr>
            <w:noProof/>
            <w:webHidden/>
          </w:rPr>
          <w:fldChar w:fldCharType="end"/>
        </w:r>
      </w:hyperlink>
    </w:p>
    <w:p w14:paraId="4A59937B" w14:textId="77777777" w:rsidR="00643BE4" w:rsidRDefault="00A2085C">
      <w:pPr>
        <w:pStyle w:val="TOC2"/>
        <w:rPr>
          <w:rFonts w:asciiTheme="minorHAnsi" w:eastAsiaTheme="minorEastAsia" w:hAnsiTheme="minorHAnsi" w:cstheme="minorBidi"/>
          <w:color w:val="auto"/>
          <w:sz w:val="22"/>
        </w:rPr>
      </w:pPr>
      <w:hyperlink w:anchor="_Toc483127592" w:history="1">
        <w:r w:rsidR="00643BE4" w:rsidRPr="00F63067">
          <w:rPr>
            <w:rStyle w:val="Hyperlink"/>
          </w:rPr>
          <w:t>8</w:t>
        </w:r>
        <w:r w:rsidR="00643BE4">
          <w:rPr>
            <w:rFonts w:asciiTheme="minorHAnsi" w:eastAsiaTheme="minorEastAsia" w:hAnsiTheme="minorHAnsi" w:cstheme="minorBidi"/>
            <w:color w:val="auto"/>
            <w:sz w:val="22"/>
          </w:rPr>
          <w:tab/>
        </w:r>
        <w:r w:rsidR="00643BE4" w:rsidRPr="00F63067">
          <w:rPr>
            <w:rStyle w:val="Hyperlink"/>
          </w:rPr>
          <w:t>Summary and conclusions</w:t>
        </w:r>
        <w:r w:rsidR="00643BE4">
          <w:rPr>
            <w:webHidden/>
          </w:rPr>
          <w:tab/>
        </w:r>
        <w:r w:rsidR="00643BE4">
          <w:rPr>
            <w:webHidden/>
          </w:rPr>
          <w:fldChar w:fldCharType="begin"/>
        </w:r>
        <w:r w:rsidR="00643BE4">
          <w:rPr>
            <w:webHidden/>
          </w:rPr>
          <w:instrText xml:space="preserve"> PAGEREF _Toc483127592 \h </w:instrText>
        </w:r>
        <w:r w:rsidR="00643BE4">
          <w:rPr>
            <w:webHidden/>
          </w:rPr>
        </w:r>
        <w:r w:rsidR="00643BE4">
          <w:rPr>
            <w:webHidden/>
          </w:rPr>
          <w:fldChar w:fldCharType="separate"/>
        </w:r>
        <w:r w:rsidR="000B6FA5">
          <w:rPr>
            <w:webHidden/>
          </w:rPr>
          <w:t>89</w:t>
        </w:r>
        <w:r w:rsidR="00643BE4">
          <w:rPr>
            <w:webHidden/>
          </w:rPr>
          <w:fldChar w:fldCharType="end"/>
        </w:r>
      </w:hyperlink>
    </w:p>
    <w:p w14:paraId="697BAEEC" w14:textId="1781A6FD" w:rsidR="00643BE4" w:rsidRDefault="00A2085C">
      <w:pPr>
        <w:pStyle w:val="TOC2"/>
        <w:rPr>
          <w:rFonts w:asciiTheme="minorHAnsi" w:eastAsiaTheme="minorEastAsia" w:hAnsiTheme="minorHAnsi" w:cstheme="minorBidi"/>
          <w:color w:val="auto"/>
          <w:sz w:val="22"/>
        </w:rPr>
      </w:pPr>
      <w:hyperlink w:anchor="_Toc483127593" w:history="1">
        <w:r w:rsidR="00643BE4" w:rsidRPr="00F63067">
          <w:rPr>
            <w:rStyle w:val="Hyperlink"/>
          </w:rPr>
          <w:t>References</w:t>
        </w:r>
        <w:r w:rsidR="00643BE4">
          <w:rPr>
            <w:webHidden/>
          </w:rPr>
          <w:tab/>
        </w:r>
        <w:r w:rsidR="00152BC9">
          <w:rPr>
            <w:webHidden/>
          </w:rPr>
          <w:tab/>
        </w:r>
        <w:r w:rsidR="00643BE4">
          <w:rPr>
            <w:webHidden/>
          </w:rPr>
          <w:fldChar w:fldCharType="begin"/>
        </w:r>
        <w:r w:rsidR="00643BE4">
          <w:rPr>
            <w:webHidden/>
          </w:rPr>
          <w:instrText xml:space="preserve"> PAGEREF _Toc483127593 \h </w:instrText>
        </w:r>
        <w:r w:rsidR="00643BE4">
          <w:rPr>
            <w:webHidden/>
          </w:rPr>
        </w:r>
        <w:r w:rsidR="00643BE4">
          <w:rPr>
            <w:webHidden/>
          </w:rPr>
          <w:fldChar w:fldCharType="separate"/>
        </w:r>
        <w:r w:rsidR="000B6FA5">
          <w:rPr>
            <w:webHidden/>
          </w:rPr>
          <w:t>92</w:t>
        </w:r>
        <w:r w:rsidR="00643BE4">
          <w:rPr>
            <w:webHidden/>
          </w:rPr>
          <w:fldChar w:fldCharType="end"/>
        </w:r>
      </w:hyperlink>
    </w:p>
    <w:p w14:paraId="48F27A63" w14:textId="77777777" w:rsidR="00643BE4" w:rsidRDefault="00A2085C">
      <w:pPr>
        <w:pStyle w:val="TOC2"/>
        <w:rPr>
          <w:rFonts w:asciiTheme="minorHAnsi" w:eastAsiaTheme="minorEastAsia" w:hAnsiTheme="minorHAnsi" w:cstheme="minorBidi"/>
          <w:color w:val="auto"/>
          <w:sz w:val="22"/>
        </w:rPr>
      </w:pPr>
      <w:hyperlink w:anchor="_Toc483127594" w:history="1">
        <w:r w:rsidR="00643BE4" w:rsidRPr="00F63067">
          <w:rPr>
            <w:rStyle w:val="Hyperlink"/>
          </w:rPr>
          <w:t>9</w:t>
        </w:r>
        <w:r w:rsidR="00643BE4">
          <w:rPr>
            <w:rFonts w:asciiTheme="minorHAnsi" w:eastAsiaTheme="minorEastAsia" w:hAnsiTheme="minorHAnsi" w:cstheme="minorBidi"/>
            <w:color w:val="auto"/>
            <w:sz w:val="22"/>
          </w:rPr>
          <w:tab/>
        </w:r>
        <w:r w:rsidR="00643BE4" w:rsidRPr="00F63067">
          <w:rPr>
            <w:rStyle w:val="Hyperlink"/>
          </w:rPr>
          <w:t>Appendix 1</w:t>
        </w:r>
        <w:r w:rsidR="00643BE4">
          <w:rPr>
            <w:webHidden/>
          </w:rPr>
          <w:tab/>
        </w:r>
        <w:r w:rsidR="00643BE4">
          <w:rPr>
            <w:webHidden/>
          </w:rPr>
          <w:fldChar w:fldCharType="begin"/>
        </w:r>
        <w:r w:rsidR="00643BE4">
          <w:rPr>
            <w:webHidden/>
          </w:rPr>
          <w:instrText xml:space="preserve"> PAGEREF _Toc483127594 \h </w:instrText>
        </w:r>
        <w:r w:rsidR="00643BE4">
          <w:rPr>
            <w:webHidden/>
          </w:rPr>
        </w:r>
        <w:r w:rsidR="00643BE4">
          <w:rPr>
            <w:webHidden/>
          </w:rPr>
          <w:fldChar w:fldCharType="separate"/>
        </w:r>
        <w:r w:rsidR="000B6FA5">
          <w:rPr>
            <w:webHidden/>
          </w:rPr>
          <w:t>99</w:t>
        </w:r>
        <w:r w:rsidR="00643BE4">
          <w:rPr>
            <w:webHidden/>
          </w:rPr>
          <w:fldChar w:fldCharType="end"/>
        </w:r>
      </w:hyperlink>
    </w:p>
    <w:p w14:paraId="194DFBF6" w14:textId="77777777" w:rsidR="00643BE4" w:rsidRDefault="00A2085C">
      <w:pPr>
        <w:pStyle w:val="TOC3"/>
        <w:rPr>
          <w:rFonts w:asciiTheme="minorHAnsi" w:eastAsiaTheme="minorEastAsia" w:hAnsiTheme="minorHAnsi" w:cstheme="minorBidi"/>
          <w:noProof/>
          <w:color w:val="auto"/>
          <w:sz w:val="22"/>
        </w:rPr>
      </w:pPr>
      <w:hyperlink w:anchor="_Toc483127595" w:history="1">
        <w:r w:rsidR="00643BE4" w:rsidRPr="00F63067">
          <w:rPr>
            <w:rStyle w:val="Hyperlink"/>
            <w:noProof/>
          </w:rPr>
          <w:t>9.1</w:t>
        </w:r>
        <w:r w:rsidR="00643BE4">
          <w:rPr>
            <w:rFonts w:asciiTheme="minorHAnsi" w:eastAsiaTheme="minorEastAsia" w:hAnsiTheme="minorHAnsi" w:cstheme="minorBidi"/>
            <w:noProof/>
            <w:color w:val="auto"/>
            <w:sz w:val="22"/>
          </w:rPr>
          <w:tab/>
        </w:r>
        <w:r w:rsidR="00643BE4" w:rsidRPr="00F63067">
          <w:rPr>
            <w:rStyle w:val="Hyperlink"/>
            <w:noProof/>
          </w:rPr>
          <w:t>Initial model: Magnitude of maximum drawdown prediction (MXD)</w:t>
        </w:r>
        <w:r w:rsidR="00643BE4">
          <w:rPr>
            <w:noProof/>
            <w:webHidden/>
          </w:rPr>
          <w:tab/>
        </w:r>
        <w:r w:rsidR="00643BE4">
          <w:rPr>
            <w:noProof/>
            <w:webHidden/>
          </w:rPr>
          <w:fldChar w:fldCharType="begin"/>
        </w:r>
        <w:r w:rsidR="00643BE4">
          <w:rPr>
            <w:noProof/>
            <w:webHidden/>
          </w:rPr>
          <w:instrText xml:space="preserve"> PAGEREF _Toc483127595 \h </w:instrText>
        </w:r>
        <w:r w:rsidR="00643BE4">
          <w:rPr>
            <w:noProof/>
            <w:webHidden/>
          </w:rPr>
        </w:r>
        <w:r w:rsidR="00643BE4">
          <w:rPr>
            <w:noProof/>
            <w:webHidden/>
          </w:rPr>
          <w:fldChar w:fldCharType="separate"/>
        </w:r>
        <w:r w:rsidR="000B6FA5">
          <w:rPr>
            <w:noProof/>
            <w:webHidden/>
          </w:rPr>
          <w:t>100</w:t>
        </w:r>
        <w:r w:rsidR="00643BE4">
          <w:rPr>
            <w:noProof/>
            <w:webHidden/>
          </w:rPr>
          <w:fldChar w:fldCharType="end"/>
        </w:r>
      </w:hyperlink>
    </w:p>
    <w:p w14:paraId="5FC7D798" w14:textId="77777777" w:rsidR="00643BE4" w:rsidRDefault="00A2085C">
      <w:pPr>
        <w:pStyle w:val="TOC3"/>
        <w:rPr>
          <w:rFonts w:asciiTheme="minorHAnsi" w:eastAsiaTheme="minorEastAsia" w:hAnsiTheme="minorHAnsi" w:cstheme="minorBidi"/>
          <w:noProof/>
          <w:color w:val="auto"/>
          <w:sz w:val="22"/>
        </w:rPr>
      </w:pPr>
      <w:hyperlink w:anchor="_Toc483127596" w:history="1">
        <w:r w:rsidR="00643BE4" w:rsidRPr="00F63067">
          <w:rPr>
            <w:rStyle w:val="Hyperlink"/>
            <w:noProof/>
          </w:rPr>
          <w:t>9.2</w:t>
        </w:r>
        <w:r w:rsidR="00643BE4">
          <w:rPr>
            <w:rFonts w:asciiTheme="minorHAnsi" w:eastAsiaTheme="minorEastAsia" w:hAnsiTheme="minorHAnsi" w:cstheme="minorBidi"/>
            <w:noProof/>
            <w:color w:val="auto"/>
            <w:sz w:val="22"/>
          </w:rPr>
          <w:tab/>
        </w:r>
        <w:r w:rsidR="00643BE4" w:rsidRPr="00F63067">
          <w:rPr>
            <w:rStyle w:val="Hyperlink"/>
            <w:noProof/>
          </w:rPr>
          <w:t>Revised model: Magnitude of maximum drawdown prediction (MXD)</w:t>
        </w:r>
        <w:r w:rsidR="00643BE4">
          <w:rPr>
            <w:noProof/>
            <w:webHidden/>
          </w:rPr>
          <w:tab/>
        </w:r>
        <w:r w:rsidR="00643BE4">
          <w:rPr>
            <w:noProof/>
            <w:webHidden/>
          </w:rPr>
          <w:fldChar w:fldCharType="begin"/>
        </w:r>
        <w:r w:rsidR="00643BE4">
          <w:rPr>
            <w:noProof/>
            <w:webHidden/>
          </w:rPr>
          <w:instrText xml:space="preserve"> PAGEREF _Toc483127596 \h </w:instrText>
        </w:r>
        <w:r w:rsidR="00643BE4">
          <w:rPr>
            <w:noProof/>
            <w:webHidden/>
          </w:rPr>
        </w:r>
        <w:r w:rsidR="00643BE4">
          <w:rPr>
            <w:noProof/>
            <w:webHidden/>
          </w:rPr>
          <w:fldChar w:fldCharType="separate"/>
        </w:r>
        <w:r w:rsidR="000B6FA5">
          <w:rPr>
            <w:noProof/>
            <w:webHidden/>
          </w:rPr>
          <w:t>101</w:t>
        </w:r>
        <w:r w:rsidR="00643BE4">
          <w:rPr>
            <w:noProof/>
            <w:webHidden/>
          </w:rPr>
          <w:fldChar w:fldCharType="end"/>
        </w:r>
      </w:hyperlink>
    </w:p>
    <w:p w14:paraId="10A6CA26" w14:textId="77777777" w:rsidR="00643BE4" w:rsidRDefault="00A2085C">
      <w:pPr>
        <w:pStyle w:val="TOC3"/>
        <w:rPr>
          <w:rFonts w:asciiTheme="minorHAnsi" w:eastAsiaTheme="minorEastAsia" w:hAnsiTheme="minorHAnsi" w:cstheme="minorBidi"/>
          <w:noProof/>
          <w:color w:val="auto"/>
          <w:sz w:val="22"/>
        </w:rPr>
      </w:pPr>
      <w:hyperlink w:anchor="_Toc483127597" w:history="1">
        <w:r w:rsidR="00643BE4" w:rsidRPr="00F63067">
          <w:rPr>
            <w:rStyle w:val="Hyperlink"/>
            <w:noProof/>
          </w:rPr>
          <w:t>9.3</w:t>
        </w:r>
        <w:r w:rsidR="00643BE4">
          <w:rPr>
            <w:rFonts w:asciiTheme="minorHAnsi" w:eastAsiaTheme="minorEastAsia" w:hAnsiTheme="minorHAnsi" w:cstheme="minorBidi"/>
            <w:noProof/>
            <w:color w:val="auto"/>
            <w:sz w:val="22"/>
          </w:rPr>
          <w:tab/>
        </w:r>
        <w:r w:rsidR="00643BE4" w:rsidRPr="00F63067">
          <w:rPr>
            <w:rStyle w:val="Hyperlink"/>
            <w:noProof/>
          </w:rPr>
          <w:t>Initial model: Timing of maximum drawdown prediction (tMXD)</w:t>
        </w:r>
        <w:r w:rsidR="00643BE4">
          <w:rPr>
            <w:noProof/>
            <w:webHidden/>
          </w:rPr>
          <w:tab/>
        </w:r>
        <w:r w:rsidR="00643BE4">
          <w:rPr>
            <w:noProof/>
            <w:webHidden/>
          </w:rPr>
          <w:fldChar w:fldCharType="begin"/>
        </w:r>
        <w:r w:rsidR="00643BE4">
          <w:rPr>
            <w:noProof/>
            <w:webHidden/>
          </w:rPr>
          <w:instrText xml:space="preserve"> PAGEREF _Toc483127597 \h </w:instrText>
        </w:r>
        <w:r w:rsidR="00643BE4">
          <w:rPr>
            <w:noProof/>
            <w:webHidden/>
          </w:rPr>
        </w:r>
        <w:r w:rsidR="00643BE4">
          <w:rPr>
            <w:noProof/>
            <w:webHidden/>
          </w:rPr>
          <w:fldChar w:fldCharType="separate"/>
        </w:r>
        <w:r w:rsidR="000B6FA5">
          <w:rPr>
            <w:noProof/>
            <w:webHidden/>
          </w:rPr>
          <w:t>102</w:t>
        </w:r>
        <w:r w:rsidR="00643BE4">
          <w:rPr>
            <w:noProof/>
            <w:webHidden/>
          </w:rPr>
          <w:fldChar w:fldCharType="end"/>
        </w:r>
      </w:hyperlink>
    </w:p>
    <w:p w14:paraId="69A5C4CE" w14:textId="77777777" w:rsidR="00643BE4" w:rsidRDefault="00A2085C">
      <w:pPr>
        <w:pStyle w:val="TOC3"/>
        <w:rPr>
          <w:rFonts w:asciiTheme="minorHAnsi" w:eastAsiaTheme="minorEastAsia" w:hAnsiTheme="minorHAnsi" w:cstheme="minorBidi"/>
          <w:noProof/>
          <w:color w:val="auto"/>
          <w:sz w:val="22"/>
        </w:rPr>
      </w:pPr>
      <w:hyperlink w:anchor="_Toc483127598" w:history="1">
        <w:r w:rsidR="00643BE4" w:rsidRPr="00F63067">
          <w:rPr>
            <w:rStyle w:val="Hyperlink"/>
            <w:noProof/>
          </w:rPr>
          <w:t>9.4</w:t>
        </w:r>
        <w:r w:rsidR="00643BE4">
          <w:rPr>
            <w:rFonts w:asciiTheme="minorHAnsi" w:eastAsiaTheme="minorEastAsia" w:hAnsiTheme="minorHAnsi" w:cstheme="minorBidi"/>
            <w:noProof/>
            <w:color w:val="auto"/>
            <w:sz w:val="22"/>
          </w:rPr>
          <w:tab/>
        </w:r>
        <w:r w:rsidR="00643BE4" w:rsidRPr="00F63067">
          <w:rPr>
            <w:rStyle w:val="Hyperlink"/>
            <w:noProof/>
          </w:rPr>
          <w:t>Revised model: Timing of maximum drawdown prediction (tMXD)</w:t>
        </w:r>
        <w:r w:rsidR="00643BE4">
          <w:rPr>
            <w:noProof/>
            <w:webHidden/>
          </w:rPr>
          <w:tab/>
        </w:r>
        <w:r w:rsidR="00643BE4">
          <w:rPr>
            <w:noProof/>
            <w:webHidden/>
          </w:rPr>
          <w:fldChar w:fldCharType="begin"/>
        </w:r>
        <w:r w:rsidR="00643BE4">
          <w:rPr>
            <w:noProof/>
            <w:webHidden/>
          </w:rPr>
          <w:instrText xml:space="preserve"> PAGEREF _Toc483127598 \h </w:instrText>
        </w:r>
        <w:r w:rsidR="00643BE4">
          <w:rPr>
            <w:noProof/>
            <w:webHidden/>
          </w:rPr>
        </w:r>
        <w:r w:rsidR="00643BE4">
          <w:rPr>
            <w:noProof/>
            <w:webHidden/>
          </w:rPr>
          <w:fldChar w:fldCharType="separate"/>
        </w:r>
        <w:r w:rsidR="000B6FA5">
          <w:rPr>
            <w:noProof/>
            <w:webHidden/>
          </w:rPr>
          <w:t>103</w:t>
        </w:r>
        <w:r w:rsidR="00643BE4">
          <w:rPr>
            <w:noProof/>
            <w:webHidden/>
          </w:rPr>
          <w:fldChar w:fldCharType="end"/>
        </w:r>
      </w:hyperlink>
    </w:p>
    <w:p w14:paraId="177C0B19" w14:textId="77777777" w:rsidR="00643BE4" w:rsidRDefault="00A2085C">
      <w:pPr>
        <w:pStyle w:val="TOC3"/>
        <w:rPr>
          <w:rFonts w:asciiTheme="minorHAnsi" w:eastAsiaTheme="minorEastAsia" w:hAnsiTheme="minorHAnsi" w:cstheme="minorBidi"/>
          <w:noProof/>
          <w:color w:val="auto"/>
          <w:sz w:val="22"/>
        </w:rPr>
      </w:pPr>
      <w:hyperlink w:anchor="_Toc483127599" w:history="1">
        <w:r w:rsidR="00643BE4" w:rsidRPr="00F63067">
          <w:rPr>
            <w:rStyle w:val="Hyperlink"/>
            <w:noProof/>
          </w:rPr>
          <w:t>9.5</w:t>
        </w:r>
        <w:r w:rsidR="00643BE4">
          <w:rPr>
            <w:rFonts w:asciiTheme="minorHAnsi" w:eastAsiaTheme="minorEastAsia" w:hAnsiTheme="minorHAnsi" w:cstheme="minorBidi"/>
            <w:noProof/>
            <w:color w:val="auto"/>
            <w:sz w:val="22"/>
          </w:rPr>
          <w:tab/>
        </w:r>
        <w:r w:rsidR="00643BE4" w:rsidRPr="00F63067">
          <w:rPr>
            <w:rStyle w:val="Hyperlink"/>
            <w:noProof/>
          </w:rPr>
          <w:t>Initial model: Number of model cells with drawdown &gt; 2 m prediction (NDD)</w:t>
        </w:r>
        <w:r w:rsidR="00643BE4">
          <w:rPr>
            <w:noProof/>
            <w:webHidden/>
          </w:rPr>
          <w:tab/>
        </w:r>
        <w:r w:rsidR="00643BE4">
          <w:rPr>
            <w:noProof/>
            <w:webHidden/>
          </w:rPr>
          <w:fldChar w:fldCharType="begin"/>
        </w:r>
        <w:r w:rsidR="00643BE4">
          <w:rPr>
            <w:noProof/>
            <w:webHidden/>
          </w:rPr>
          <w:instrText xml:space="preserve"> PAGEREF _Toc483127599 \h </w:instrText>
        </w:r>
        <w:r w:rsidR="00643BE4">
          <w:rPr>
            <w:noProof/>
            <w:webHidden/>
          </w:rPr>
        </w:r>
        <w:r w:rsidR="00643BE4">
          <w:rPr>
            <w:noProof/>
            <w:webHidden/>
          </w:rPr>
          <w:fldChar w:fldCharType="separate"/>
        </w:r>
        <w:r w:rsidR="000B6FA5">
          <w:rPr>
            <w:noProof/>
            <w:webHidden/>
          </w:rPr>
          <w:t>104</w:t>
        </w:r>
        <w:r w:rsidR="00643BE4">
          <w:rPr>
            <w:noProof/>
            <w:webHidden/>
          </w:rPr>
          <w:fldChar w:fldCharType="end"/>
        </w:r>
      </w:hyperlink>
    </w:p>
    <w:p w14:paraId="0CC28604" w14:textId="75ABAAC5" w:rsidR="00643BE4" w:rsidRDefault="00A2085C">
      <w:pPr>
        <w:pStyle w:val="TOC3"/>
        <w:rPr>
          <w:rFonts w:asciiTheme="minorHAnsi" w:eastAsiaTheme="minorEastAsia" w:hAnsiTheme="minorHAnsi" w:cstheme="minorBidi"/>
          <w:noProof/>
          <w:color w:val="auto"/>
          <w:sz w:val="22"/>
        </w:rPr>
      </w:pPr>
      <w:hyperlink w:anchor="_Toc483127600" w:history="1">
        <w:r w:rsidR="00643BE4" w:rsidRPr="00F63067">
          <w:rPr>
            <w:rStyle w:val="Hyperlink"/>
            <w:noProof/>
          </w:rPr>
          <w:t>9.6</w:t>
        </w:r>
        <w:r w:rsidR="00643BE4">
          <w:rPr>
            <w:rFonts w:asciiTheme="minorHAnsi" w:eastAsiaTheme="minorEastAsia" w:hAnsiTheme="minorHAnsi" w:cstheme="minorBidi"/>
            <w:noProof/>
            <w:color w:val="auto"/>
            <w:sz w:val="22"/>
          </w:rPr>
          <w:tab/>
        </w:r>
        <w:r w:rsidR="00643BE4" w:rsidRPr="00F63067">
          <w:rPr>
            <w:rStyle w:val="Hyperlink"/>
            <w:noProof/>
          </w:rPr>
          <w:t>Revised model: Number of model cells with drawdown &gt; 2 m prediction (NDD)</w:t>
        </w:r>
        <w:r w:rsidR="00643BE4">
          <w:rPr>
            <w:noProof/>
            <w:webHidden/>
          </w:rPr>
          <w:tab/>
        </w:r>
        <w:r w:rsidR="00DF4904">
          <w:rPr>
            <w:noProof/>
            <w:webHidden/>
          </w:rPr>
          <w:tab/>
        </w:r>
        <w:r w:rsidR="00643BE4">
          <w:rPr>
            <w:noProof/>
            <w:webHidden/>
          </w:rPr>
          <w:fldChar w:fldCharType="begin"/>
        </w:r>
        <w:r w:rsidR="00643BE4">
          <w:rPr>
            <w:noProof/>
            <w:webHidden/>
          </w:rPr>
          <w:instrText xml:space="preserve"> PAGEREF _Toc483127600 \h </w:instrText>
        </w:r>
        <w:r w:rsidR="00643BE4">
          <w:rPr>
            <w:noProof/>
            <w:webHidden/>
          </w:rPr>
        </w:r>
        <w:r w:rsidR="00643BE4">
          <w:rPr>
            <w:noProof/>
            <w:webHidden/>
          </w:rPr>
          <w:fldChar w:fldCharType="separate"/>
        </w:r>
        <w:r w:rsidR="000B6FA5">
          <w:rPr>
            <w:noProof/>
            <w:webHidden/>
          </w:rPr>
          <w:t>105</w:t>
        </w:r>
        <w:r w:rsidR="00643BE4">
          <w:rPr>
            <w:noProof/>
            <w:webHidden/>
          </w:rPr>
          <w:fldChar w:fldCharType="end"/>
        </w:r>
      </w:hyperlink>
    </w:p>
    <w:p w14:paraId="1D9C0951" w14:textId="77777777" w:rsidR="00643BE4" w:rsidRDefault="00A2085C">
      <w:pPr>
        <w:pStyle w:val="TOC3"/>
        <w:rPr>
          <w:rFonts w:asciiTheme="minorHAnsi" w:eastAsiaTheme="minorEastAsia" w:hAnsiTheme="minorHAnsi" w:cstheme="minorBidi"/>
          <w:noProof/>
          <w:color w:val="auto"/>
          <w:sz w:val="22"/>
        </w:rPr>
      </w:pPr>
      <w:hyperlink w:anchor="_Toc483127601" w:history="1">
        <w:r w:rsidR="00643BE4" w:rsidRPr="00F63067">
          <w:rPr>
            <w:rStyle w:val="Hyperlink"/>
            <w:noProof/>
          </w:rPr>
          <w:t>9.7</w:t>
        </w:r>
        <w:r w:rsidR="00643BE4">
          <w:rPr>
            <w:rFonts w:asciiTheme="minorHAnsi" w:eastAsiaTheme="minorEastAsia" w:hAnsiTheme="minorHAnsi" w:cstheme="minorBidi"/>
            <w:noProof/>
            <w:color w:val="auto"/>
            <w:sz w:val="22"/>
          </w:rPr>
          <w:tab/>
        </w:r>
        <w:r w:rsidR="00643BE4" w:rsidRPr="00F63067">
          <w:rPr>
            <w:rStyle w:val="Hyperlink"/>
            <w:noProof/>
          </w:rPr>
          <w:t>Initial model:  Maximum vertical flux prediction (MXQ)</w:t>
        </w:r>
        <w:r w:rsidR="00643BE4">
          <w:rPr>
            <w:noProof/>
            <w:webHidden/>
          </w:rPr>
          <w:tab/>
        </w:r>
        <w:r w:rsidR="00643BE4">
          <w:rPr>
            <w:noProof/>
            <w:webHidden/>
          </w:rPr>
          <w:fldChar w:fldCharType="begin"/>
        </w:r>
        <w:r w:rsidR="00643BE4">
          <w:rPr>
            <w:noProof/>
            <w:webHidden/>
          </w:rPr>
          <w:instrText xml:space="preserve"> PAGEREF _Toc483127601 \h </w:instrText>
        </w:r>
        <w:r w:rsidR="00643BE4">
          <w:rPr>
            <w:noProof/>
            <w:webHidden/>
          </w:rPr>
        </w:r>
        <w:r w:rsidR="00643BE4">
          <w:rPr>
            <w:noProof/>
            <w:webHidden/>
          </w:rPr>
          <w:fldChar w:fldCharType="separate"/>
        </w:r>
        <w:r w:rsidR="000B6FA5">
          <w:rPr>
            <w:noProof/>
            <w:webHidden/>
          </w:rPr>
          <w:t>106</w:t>
        </w:r>
        <w:r w:rsidR="00643BE4">
          <w:rPr>
            <w:noProof/>
            <w:webHidden/>
          </w:rPr>
          <w:fldChar w:fldCharType="end"/>
        </w:r>
      </w:hyperlink>
    </w:p>
    <w:p w14:paraId="061E354E" w14:textId="77777777" w:rsidR="00643BE4" w:rsidRDefault="00A2085C">
      <w:pPr>
        <w:pStyle w:val="TOC3"/>
        <w:rPr>
          <w:rFonts w:asciiTheme="minorHAnsi" w:eastAsiaTheme="minorEastAsia" w:hAnsiTheme="minorHAnsi" w:cstheme="minorBidi"/>
          <w:noProof/>
          <w:color w:val="auto"/>
          <w:sz w:val="22"/>
        </w:rPr>
      </w:pPr>
      <w:hyperlink w:anchor="_Toc483127602" w:history="1">
        <w:r w:rsidR="00643BE4" w:rsidRPr="00F63067">
          <w:rPr>
            <w:rStyle w:val="Hyperlink"/>
            <w:noProof/>
          </w:rPr>
          <w:t>9.8</w:t>
        </w:r>
        <w:r w:rsidR="00643BE4">
          <w:rPr>
            <w:rFonts w:asciiTheme="minorHAnsi" w:eastAsiaTheme="minorEastAsia" w:hAnsiTheme="minorHAnsi" w:cstheme="minorBidi"/>
            <w:noProof/>
            <w:color w:val="auto"/>
            <w:sz w:val="22"/>
          </w:rPr>
          <w:tab/>
        </w:r>
        <w:r w:rsidR="00643BE4" w:rsidRPr="00F63067">
          <w:rPr>
            <w:rStyle w:val="Hyperlink"/>
            <w:noProof/>
          </w:rPr>
          <w:t>Revised model:  Maximum vertical flux prediction (MXQ)</w:t>
        </w:r>
        <w:r w:rsidR="00643BE4">
          <w:rPr>
            <w:noProof/>
            <w:webHidden/>
          </w:rPr>
          <w:tab/>
        </w:r>
        <w:r w:rsidR="00643BE4">
          <w:rPr>
            <w:noProof/>
            <w:webHidden/>
          </w:rPr>
          <w:fldChar w:fldCharType="begin"/>
        </w:r>
        <w:r w:rsidR="00643BE4">
          <w:rPr>
            <w:noProof/>
            <w:webHidden/>
          </w:rPr>
          <w:instrText xml:space="preserve"> PAGEREF _Toc483127602 \h </w:instrText>
        </w:r>
        <w:r w:rsidR="00643BE4">
          <w:rPr>
            <w:noProof/>
            <w:webHidden/>
          </w:rPr>
        </w:r>
        <w:r w:rsidR="00643BE4">
          <w:rPr>
            <w:noProof/>
            <w:webHidden/>
          </w:rPr>
          <w:fldChar w:fldCharType="separate"/>
        </w:r>
        <w:r w:rsidR="000B6FA5">
          <w:rPr>
            <w:noProof/>
            <w:webHidden/>
          </w:rPr>
          <w:t>107</w:t>
        </w:r>
        <w:r w:rsidR="00643BE4">
          <w:rPr>
            <w:noProof/>
            <w:webHidden/>
          </w:rPr>
          <w:fldChar w:fldCharType="end"/>
        </w:r>
      </w:hyperlink>
    </w:p>
    <w:p w14:paraId="617EB9C3" w14:textId="77777777" w:rsidR="003053C7" w:rsidRPr="00B0618E" w:rsidRDefault="009959BB" w:rsidP="008B2EB2">
      <w:pPr>
        <w:pStyle w:val="TOC2"/>
        <w:rPr>
          <w:rFonts w:eastAsiaTheme="majorEastAsia" w:cstheme="majorBidi"/>
          <w:color w:val="00A9CE" w:themeColor="accent1"/>
          <w:sz w:val="44"/>
          <w:szCs w:val="28"/>
        </w:rPr>
      </w:pPr>
      <w:r w:rsidRPr="00B0618E">
        <w:fldChar w:fldCharType="end"/>
      </w:r>
      <w:r w:rsidR="003053C7" w:rsidRPr="00B0618E">
        <w:br w:type="page"/>
      </w:r>
    </w:p>
    <w:p w14:paraId="55A95551" w14:textId="77777777" w:rsidR="00A943B2" w:rsidRPr="00B0618E" w:rsidRDefault="004D139E" w:rsidP="00D1044D">
      <w:pPr>
        <w:pStyle w:val="ListofFiguresandTablesTOCHeading"/>
      </w:pPr>
      <w:r w:rsidRPr="00B0618E">
        <w:t>F</w:t>
      </w:r>
      <w:r w:rsidR="00A943B2" w:rsidRPr="00B0618E">
        <w:t>igures</w:t>
      </w:r>
    </w:p>
    <w:p w14:paraId="757605C0" w14:textId="77777777" w:rsidR="00836443" w:rsidRDefault="009959BB">
      <w:pPr>
        <w:pStyle w:val="TableofFigures"/>
        <w:rPr>
          <w:rFonts w:asciiTheme="minorHAnsi" w:eastAsiaTheme="minorEastAsia" w:hAnsiTheme="minorHAnsi" w:cstheme="minorBidi"/>
          <w:noProof/>
          <w:color w:val="auto"/>
          <w:sz w:val="22"/>
        </w:rPr>
      </w:pPr>
      <w:r w:rsidRPr="00B0618E">
        <w:rPr>
          <w:color w:val="FF0000"/>
        </w:rPr>
        <w:fldChar w:fldCharType="begin"/>
      </w:r>
      <w:r w:rsidR="00A943B2" w:rsidRPr="00B0618E">
        <w:rPr>
          <w:color w:val="FF0000"/>
        </w:rPr>
        <w:instrText xml:space="preserve"> TOC \h \z \c "Figure" </w:instrText>
      </w:r>
      <w:r w:rsidRPr="00B0618E">
        <w:rPr>
          <w:color w:val="FF0000"/>
        </w:rPr>
        <w:fldChar w:fldCharType="separate"/>
      </w:r>
      <w:hyperlink w:anchor="_Toc482034898" w:history="1">
        <w:r w:rsidR="00836443" w:rsidRPr="000D3FB8">
          <w:rPr>
            <w:rStyle w:val="Hyperlink"/>
            <w:noProof/>
          </w:rPr>
          <w:t>Figure 1</w:t>
        </w:r>
        <w:r w:rsidR="00836443" w:rsidRPr="000D3FB8">
          <w:rPr>
            <w:rStyle w:val="Hyperlink"/>
            <w:noProof/>
          </w:rPr>
          <w:noBreakHyphen/>
          <w:t>1 Sensitivity and uncertainty analysis flowchart adopted in this study.</w:t>
        </w:r>
        <w:r w:rsidR="00836443">
          <w:rPr>
            <w:noProof/>
            <w:webHidden/>
          </w:rPr>
          <w:tab/>
        </w:r>
        <w:r w:rsidR="00836443">
          <w:rPr>
            <w:noProof/>
            <w:webHidden/>
          </w:rPr>
          <w:fldChar w:fldCharType="begin"/>
        </w:r>
        <w:r w:rsidR="00836443">
          <w:rPr>
            <w:noProof/>
            <w:webHidden/>
          </w:rPr>
          <w:instrText xml:space="preserve"> PAGEREF _Toc482034898 \h </w:instrText>
        </w:r>
        <w:r w:rsidR="00836443">
          <w:rPr>
            <w:noProof/>
            <w:webHidden/>
          </w:rPr>
        </w:r>
        <w:r w:rsidR="00836443">
          <w:rPr>
            <w:noProof/>
            <w:webHidden/>
          </w:rPr>
          <w:fldChar w:fldCharType="separate"/>
        </w:r>
        <w:r w:rsidR="000B6FA5">
          <w:rPr>
            <w:noProof/>
            <w:webHidden/>
          </w:rPr>
          <w:t>7</w:t>
        </w:r>
        <w:r w:rsidR="00836443">
          <w:rPr>
            <w:noProof/>
            <w:webHidden/>
          </w:rPr>
          <w:fldChar w:fldCharType="end"/>
        </w:r>
      </w:hyperlink>
    </w:p>
    <w:p w14:paraId="4BC799A6" w14:textId="77777777" w:rsidR="00836443" w:rsidRDefault="00A2085C">
      <w:pPr>
        <w:pStyle w:val="TableofFigures"/>
        <w:rPr>
          <w:rFonts w:asciiTheme="minorHAnsi" w:eastAsiaTheme="minorEastAsia" w:hAnsiTheme="minorHAnsi" w:cstheme="minorBidi"/>
          <w:noProof/>
          <w:color w:val="auto"/>
          <w:sz w:val="22"/>
        </w:rPr>
      </w:pPr>
      <w:hyperlink w:anchor="_Toc482034899" w:history="1">
        <w:r w:rsidR="00836443" w:rsidRPr="000D3FB8">
          <w:rPr>
            <w:rStyle w:val="Hyperlink"/>
            <w:noProof/>
          </w:rPr>
          <w:t>Figure 1</w:t>
        </w:r>
        <w:r w:rsidR="00836443" w:rsidRPr="000D3FB8">
          <w:rPr>
            <w:rStyle w:val="Hyperlink"/>
            <w:noProof/>
          </w:rPr>
          <w:noBreakHyphen/>
          <w:t>2. Flowchart of the workflow employed in this study to assess the effects of improved aquitard characterisation (red triangular distributions) on parameter sensitivity (not shown) and prediction uncertainty (one hypothetical flow metric shown).</w:t>
        </w:r>
        <w:r w:rsidR="00836443">
          <w:rPr>
            <w:noProof/>
            <w:webHidden/>
          </w:rPr>
          <w:tab/>
        </w:r>
        <w:r w:rsidR="00836443">
          <w:rPr>
            <w:noProof/>
            <w:webHidden/>
          </w:rPr>
          <w:fldChar w:fldCharType="begin"/>
        </w:r>
        <w:r w:rsidR="00836443">
          <w:rPr>
            <w:noProof/>
            <w:webHidden/>
          </w:rPr>
          <w:instrText xml:space="preserve"> PAGEREF _Toc482034899 \h </w:instrText>
        </w:r>
        <w:r w:rsidR="00836443">
          <w:rPr>
            <w:noProof/>
            <w:webHidden/>
          </w:rPr>
        </w:r>
        <w:r w:rsidR="00836443">
          <w:rPr>
            <w:noProof/>
            <w:webHidden/>
          </w:rPr>
          <w:fldChar w:fldCharType="separate"/>
        </w:r>
        <w:r w:rsidR="000B6FA5">
          <w:rPr>
            <w:noProof/>
            <w:webHidden/>
          </w:rPr>
          <w:t>11</w:t>
        </w:r>
        <w:r w:rsidR="00836443">
          <w:rPr>
            <w:noProof/>
            <w:webHidden/>
          </w:rPr>
          <w:fldChar w:fldCharType="end"/>
        </w:r>
      </w:hyperlink>
    </w:p>
    <w:p w14:paraId="435E5BBB" w14:textId="77777777" w:rsidR="00836443" w:rsidRDefault="00A2085C">
      <w:pPr>
        <w:pStyle w:val="TableofFigures"/>
        <w:rPr>
          <w:rFonts w:asciiTheme="minorHAnsi" w:eastAsiaTheme="minorEastAsia" w:hAnsiTheme="minorHAnsi" w:cstheme="minorBidi"/>
          <w:noProof/>
          <w:color w:val="auto"/>
          <w:sz w:val="22"/>
        </w:rPr>
      </w:pPr>
      <w:hyperlink w:anchor="_Toc482034900" w:history="1">
        <w:r w:rsidR="00836443" w:rsidRPr="000D3FB8">
          <w:rPr>
            <w:rStyle w:val="Hyperlink"/>
            <w:noProof/>
          </w:rPr>
          <w:t>Figure 2</w:t>
        </w:r>
        <w:r w:rsidR="00836443" w:rsidRPr="000D3FB8">
          <w:rPr>
            <w:rStyle w:val="Hyperlink"/>
            <w:noProof/>
          </w:rPr>
          <w:noBreakHyphen/>
          <w:t>1 Spatial extent of Gunnedah geological basin (NSW) and numerical grid of groundwater flow model.</w:t>
        </w:r>
        <w:r w:rsidR="00836443">
          <w:rPr>
            <w:noProof/>
            <w:webHidden/>
          </w:rPr>
          <w:tab/>
        </w:r>
        <w:r w:rsidR="00836443">
          <w:rPr>
            <w:noProof/>
            <w:webHidden/>
          </w:rPr>
          <w:fldChar w:fldCharType="begin"/>
        </w:r>
        <w:r w:rsidR="00836443">
          <w:rPr>
            <w:noProof/>
            <w:webHidden/>
          </w:rPr>
          <w:instrText xml:space="preserve"> PAGEREF _Toc482034900 \h </w:instrText>
        </w:r>
        <w:r w:rsidR="00836443">
          <w:rPr>
            <w:noProof/>
            <w:webHidden/>
          </w:rPr>
        </w:r>
        <w:r w:rsidR="00836443">
          <w:rPr>
            <w:noProof/>
            <w:webHidden/>
          </w:rPr>
          <w:fldChar w:fldCharType="separate"/>
        </w:r>
        <w:r w:rsidR="000B6FA5">
          <w:rPr>
            <w:noProof/>
            <w:webHidden/>
          </w:rPr>
          <w:t>15</w:t>
        </w:r>
        <w:r w:rsidR="00836443">
          <w:rPr>
            <w:noProof/>
            <w:webHidden/>
          </w:rPr>
          <w:fldChar w:fldCharType="end"/>
        </w:r>
      </w:hyperlink>
    </w:p>
    <w:p w14:paraId="15F1FA64" w14:textId="77777777" w:rsidR="00836443" w:rsidRDefault="00A2085C">
      <w:pPr>
        <w:pStyle w:val="TableofFigures"/>
        <w:rPr>
          <w:rFonts w:asciiTheme="minorHAnsi" w:eastAsiaTheme="minorEastAsia" w:hAnsiTheme="minorHAnsi" w:cstheme="minorBidi"/>
          <w:noProof/>
          <w:color w:val="auto"/>
          <w:sz w:val="22"/>
        </w:rPr>
      </w:pPr>
      <w:hyperlink w:anchor="_Toc482034901" w:history="1">
        <w:r w:rsidR="00836443" w:rsidRPr="000D3FB8">
          <w:rPr>
            <w:rStyle w:val="Hyperlink"/>
            <w:noProof/>
          </w:rPr>
          <w:t>Figure 2</w:t>
        </w:r>
        <w:r w:rsidR="00836443" w:rsidRPr="000D3FB8">
          <w:rPr>
            <w:rStyle w:val="Hyperlink"/>
            <w:noProof/>
          </w:rPr>
          <w:noBreakHyphen/>
          <w:t>2 Water production for Maules Creek Formation and Hoskissons Coal seam target formations as predicted by the CDM Smith (2016) groundwater flow model.</w:t>
        </w:r>
        <w:r w:rsidR="00836443">
          <w:rPr>
            <w:noProof/>
            <w:webHidden/>
          </w:rPr>
          <w:tab/>
        </w:r>
        <w:r w:rsidR="00836443">
          <w:rPr>
            <w:noProof/>
            <w:webHidden/>
          </w:rPr>
          <w:fldChar w:fldCharType="begin"/>
        </w:r>
        <w:r w:rsidR="00836443">
          <w:rPr>
            <w:noProof/>
            <w:webHidden/>
          </w:rPr>
          <w:instrText xml:space="preserve"> PAGEREF _Toc482034901 \h </w:instrText>
        </w:r>
        <w:r w:rsidR="00836443">
          <w:rPr>
            <w:noProof/>
            <w:webHidden/>
          </w:rPr>
        </w:r>
        <w:r w:rsidR="00836443">
          <w:rPr>
            <w:noProof/>
            <w:webHidden/>
          </w:rPr>
          <w:fldChar w:fldCharType="separate"/>
        </w:r>
        <w:r w:rsidR="000B6FA5">
          <w:rPr>
            <w:noProof/>
            <w:webHidden/>
          </w:rPr>
          <w:t>19</w:t>
        </w:r>
        <w:r w:rsidR="00836443">
          <w:rPr>
            <w:noProof/>
            <w:webHidden/>
          </w:rPr>
          <w:fldChar w:fldCharType="end"/>
        </w:r>
      </w:hyperlink>
    </w:p>
    <w:p w14:paraId="7F1F7F8D" w14:textId="77777777" w:rsidR="00836443" w:rsidRDefault="00A2085C">
      <w:pPr>
        <w:pStyle w:val="TableofFigures"/>
        <w:rPr>
          <w:rFonts w:asciiTheme="minorHAnsi" w:eastAsiaTheme="minorEastAsia" w:hAnsiTheme="minorHAnsi" w:cstheme="minorBidi"/>
          <w:noProof/>
          <w:color w:val="auto"/>
          <w:sz w:val="22"/>
        </w:rPr>
      </w:pPr>
      <w:hyperlink w:anchor="_Toc482034902" w:history="1">
        <w:r w:rsidR="00836443" w:rsidRPr="000D3FB8">
          <w:rPr>
            <w:rStyle w:val="Hyperlink"/>
            <w:noProof/>
          </w:rPr>
          <w:t>Figure 3</w:t>
        </w:r>
        <w:r w:rsidR="00836443" w:rsidRPr="000D3FB8">
          <w:rPr>
            <w:rStyle w:val="Hyperlink"/>
            <w:noProof/>
          </w:rPr>
          <w:noBreakHyphen/>
          <w:t>1. Graphical representation of the Delta Moment Independent Measure (DMIM; Plischke et al., 2013) of global sensitivity (Borgonovo, 2007). The exponential distribution (red solid line) represents the probability density function (PDF) of modelled predictions when all model parameters are varied simultaneously. The skewed Gaussian distribution (dashed blue line) represents the PDF of modelled predictions when all model parameters are varied except a given parameter of interest. The difference in mass density between these two PDFs (solid black shading) is used as the basis for the calculation of the DMIM sensitivity metric.</w:t>
        </w:r>
        <w:r w:rsidR="00836443">
          <w:rPr>
            <w:noProof/>
            <w:webHidden/>
          </w:rPr>
          <w:tab/>
        </w:r>
        <w:r w:rsidR="00836443">
          <w:rPr>
            <w:noProof/>
            <w:webHidden/>
          </w:rPr>
          <w:fldChar w:fldCharType="begin"/>
        </w:r>
        <w:r w:rsidR="00836443">
          <w:rPr>
            <w:noProof/>
            <w:webHidden/>
          </w:rPr>
          <w:instrText xml:space="preserve"> PAGEREF _Toc482034902 \h </w:instrText>
        </w:r>
        <w:r w:rsidR="00836443">
          <w:rPr>
            <w:noProof/>
            <w:webHidden/>
          </w:rPr>
        </w:r>
        <w:r w:rsidR="00836443">
          <w:rPr>
            <w:noProof/>
            <w:webHidden/>
          </w:rPr>
          <w:fldChar w:fldCharType="separate"/>
        </w:r>
        <w:r w:rsidR="000B6FA5">
          <w:rPr>
            <w:noProof/>
            <w:webHidden/>
          </w:rPr>
          <w:t>26</w:t>
        </w:r>
        <w:r w:rsidR="00836443">
          <w:rPr>
            <w:noProof/>
            <w:webHidden/>
          </w:rPr>
          <w:fldChar w:fldCharType="end"/>
        </w:r>
      </w:hyperlink>
    </w:p>
    <w:p w14:paraId="766D5162" w14:textId="77777777" w:rsidR="00836443" w:rsidRDefault="00A2085C">
      <w:pPr>
        <w:pStyle w:val="TableofFigures"/>
        <w:rPr>
          <w:rFonts w:asciiTheme="minorHAnsi" w:eastAsiaTheme="minorEastAsia" w:hAnsiTheme="minorHAnsi" w:cstheme="minorBidi"/>
          <w:noProof/>
          <w:color w:val="auto"/>
          <w:sz w:val="22"/>
        </w:rPr>
      </w:pPr>
      <w:hyperlink w:anchor="_Toc482034903" w:history="1">
        <w:r w:rsidR="00836443" w:rsidRPr="000D3FB8">
          <w:rPr>
            <w:rStyle w:val="Hyperlink"/>
            <w:noProof/>
          </w:rPr>
          <w:t>Figure 3</w:t>
        </w:r>
        <w:r w:rsidR="00836443" w:rsidRPr="000D3FB8">
          <w:rPr>
            <w:rStyle w:val="Hyperlink"/>
            <w:noProof/>
          </w:rPr>
          <w:noBreakHyphen/>
          <w:t>2. Relative rankings of ten parameters used by the CDM Smith (2016) Gunnedah-Surat basins groundwater flow model (most sensitive = red, second most sensitive = blue, third most sensitive = green; less sensitive parameters are shown in grey) to which predictions relating to the Pilliga Sandstone aquifer were most sensitive: (a) maximum drawdown (MXD); (b) time elapsed at which maximum drawdown occurred (tMXD); (c) number of model cells at which drawdown exceeded two metres; and (d) maximum change in vertical flux (MXQ). Parameter rankings were based on two global sensitivity analysis metrics: (a) the Delta Moment-Independent Measure (</w:t>
        </w:r>
        <w:r w:rsidR="00836443" w:rsidRPr="000D3FB8">
          <w:rPr>
            <w:rStyle w:val="Hyperlink"/>
            <w:i/>
            <w:noProof/>
          </w:rPr>
          <w:t>δ</w:t>
        </w:r>
        <w:r w:rsidR="00836443" w:rsidRPr="000D3FB8">
          <w:rPr>
            <w:rStyle w:val="Hyperlink"/>
            <w:noProof/>
          </w:rPr>
          <w:t>; Plischke et al., 2013) and (b) the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sizes used as the basis for metric computation ranged from 200 to 300 model runs. Parameters identified are discussed in Section 3.5.</w:t>
        </w:r>
        <w:r w:rsidR="00836443">
          <w:rPr>
            <w:noProof/>
            <w:webHidden/>
          </w:rPr>
          <w:tab/>
        </w:r>
        <w:r w:rsidR="00836443">
          <w:rPr>
            <w:noProof/>
            <w:webHidden/>
          </w:rPr>
          <w:fldChar w:fldCharType="begin"/>
        </w:r>
        <w:r w:rsidR="00836443">
          <w:rPr>
            <w:noProof/>
            <w:webHidden/>
          </w:rPr>
          <w:instrText xml:space="preserve"> PAGEREF _Toc482034903 \h </w:instrText>
        </w:r>
        <w:r w:rsidR="00836443">
          <w:rPr>
            <w:noProof/>
            <w:webHidden/>
          </w:rPr>
        </w:r>
        <w:r w:rsidR="00836443">
          <w:rPr>
            <w:noProof/>
            <w:webHidden/>
          </w:rPr>
          <w:fldChar w:fldCharType="separate"/>
        </w:r>
        <w:r w:rsidR="000B6FA5">
          <w:rPr>
            <w:noProof/>
            <w:webHidden/>
          </w:rPr>
          <w:t>29</w:t>
        </w:r>
        <w:r w:rsidR="00836443">
          <w:rPr>
            <w:noProof/>
            <w:webHidden/>
          </w:rPr>
          <w:fldChar w:fldCharType="end"/>
        </w:r>
      </w:hyperlink>
    </w:p>
    <w:p w14:paraId="5AD824E5" w14:textId="77777777" w:rsidR="00836443" w:rsidRDefault="00A2085C">
      <w:pPr>
        <w:pStyle w:val="TableofFigures"/>
        <w:rPr>
          <w:rFonts w:asciiTheme="minorHAnsi" w:eastAsiaTheme="minorEastAsia" w:hAnsiTheme="minorHAnsi" w:cstheme="minorBidi"/>
          <w:noProof/>
          <w:color w:val="auto"/>
          <w:sz w:val="22"/>
        </w:rPr>
      </w:pPr>
      <w:hyperlink w:anchor="_Toc482034904" w:history="1">
        <w:r w:rsidR="00836443" w:rsidRPr="000D3FB8">
          <w:rPr>
            <w:rStyle w:val="Hyperlink"/>
            <w:noProof/>
          </w:rPr>
          <w:t>Figure 3</w:t>
        </w:r>
        <w:r w:rsidR="00836443" w:rsidRPr="000D3FB8">
          <w:rPr>
            <w:rStyle w:val="Hyperlink"/>
            <w:noProof/>
          </w:rPr>
          <w:noBreakHyphen/>
          <w:t>3. Statistical distributions of four predictions relating to the Pilliga Sandstone aquifer and simulated using the CDM Smith (2016) Gunnedah-Surat basins groundwater flow model: (a) maximum drawdown (MXD); (b) time elapsed at which maximum drawdown occurred; (c) number of model cells at which drawdown exceeded two metres (NDD) ; and (d) maximum change in vertical flux (MXQ). The size of samples described by each of these statistical distributions ranged from 200 to 300 model runs.</w:t>
        </w:r>
        <w:r w:rsidR="00836443">
          <w:rPr>
            <w:noProof/>
            <w:webHidden/>
          </w:rPr>
          <w:tab/>
        </w:r>
        <w:r w:rsidR="00836443">
          <w:rPr>
            <w:noProof/>
            <w:webHidden/>
          </w:rPr>
          <w:fldChar w:fldCharType="begin"/>
        </w:r>
        <w:r w:rsidR="00836443">
          <w:rPr>
            <w:noProof/>
            <w:webHidden/>
          </w:rPr>
          <w:instrText xml:space="preserve"> PAGEREF _Toc482034904 \h </w:instrText>
        </w:r>
        <w:r w:rsidR="00836443">
          <w:rPr>
            <w:noProof/>
            <w:webHidden/>
          </w:rPr>
        </w:r>
        <w:r w:rsidR="00836443">
          <w:rPr>
            <w:noProof/>
            <w:webHidden/>
          </w:rPr>
          <w:fldChar w:fldCharType="separate"/>
        </w:r>
        <w:r w:rsidR="000B6FA5">
          <w:rPr>
            <w:noProof/>
            <w:webHidden/>
          </w:rPr>
          <w:t>30</w:t>
        </w:r>
        <w:r w:rsidR="00836443">
          <w:rPr>
            <w:noProof/>
            <w:webHidden/>
          </w:rPr>
          <w:fldChar w:fldCharType="end"/>
        </w:r>
      </w:hyperlink>
    </w:p>
    <w:p w14:paraId="310C4E9E" w14:textId="77777777" w:rsidR="00836443" w:rsidRDefault="00A2085C">
      <w:pPr>
        <w:pStyle w:val="TableofFigures"/>
        <w:rPr>
          <w:rFonts w:asciiTheme="minorHAnsi" w:eastAsiaTheme="minorEastAsia" w:hAnsiTheme="minorHAnsi" w:cstheme="minorBidi"/>
          <w:noProof/>
          <w:color w:val="auto"/>
          <w:sz w:val="22"/>
        </w:rPr>
      </w:pPr>
      <w:hyperlink w:anchor="_Toc482034905" w:history="1">
        <w:r w:rsidR="00836443" w:rsidRPr="000D3FB8">
          <w:rPr>
            <w:rStyle w:val="Hyperlink"/>
            <w:noProof/>
          </w:rPr>
          <w:t>Figure 3</w:t>
        </w:r>
        <w:r w:rsidR="00836443" w:rsidRPr="000D3FB8">
          <w:rPr>
            <w:rStyle w:val="Hyperlink"/>
            <w:noProof/>
          </w:rPr>
          <w:noBreakHyphen/>
          <w:t>4. Relative rankings of ten parameters used by the CDM Smith (2016) Gunnedah-Surat basins groundwater flow model (most sensitive = red, second most sensitive = blue, third most sensitive = green; less sensitive parameters are shown in grey) to which the prediction of the magnitude of maximum drawdown in the Pilliga Sandstone aquifer was most sensitive. Parameter rankings were based on two global sensitivity analysis metrics: (a) the Delta Moment-Independent Measure (</w:t>
        </w:r>
        <w:r w:rsidR="00836443" w:rsidRPr="000D3FB8">
          <w:rPr>
            <w:rStyle w:val="Hyperlink"/>
            <w:i/>
            <w:noProof/>
          </w:rPr>
          <w:t>δ</w:t>
        </w:r>
        <w:r w:rsidR="00836443" w:rsidRPr="000D3FB8">
          <w:rPr>
            <w:rStyle w:val="Hyperlink"/>
            <w:noProof/>
          </w:rPr>
          <w:t>; Plischke et al., 2013) and (b) the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sizes used as the basis for metric computation ranged from 200 to 300 model runs.</w:t>
        </w:r>
        <w:r w:rsidR="00836443">
          <w:rPr>
            <w:noProof/>
            <w:webHidden/>
          </w:rPr>
          <w:tab/>
        </w:r>
        <w:r w:rsidR="00836443">
          <w:rPr>
            <w:noProof/>
            <w:webHidden/>
          </w:rPr>
          <w:fldChar w:fldCharType="begin"/>
        </w:r>
        <w:r w:rsidR="00836443">
          <w:rPr>
            <w:noProof/>
            <w:webHidden/>
          </w:rPr>
          <w:instrText xml:space="preserve"> PAGEREF _Toc482034905 \h </w:instrText>
        </w:r>
        <w:r w:rsidR="00836443">
          <w:rPr>
            <w:noProof/>
            <w:webHidden/>
          </w:rPr>
        </w:r>
        <w:r w:rsidR="00836443">
          <w:rPr>
            <w:noProof/>
            <w:webHidden/>
          </w:rPr>
          <w:fldChar w:fldCharType="separate"/>
        </w:r>
        <w:r w:rsidR="000B6FA5">
          <w:rPr>
            <w:noProof/>
            <w:webHidden/>
          </w:rPr>
          <w:t>31</w:t>
        </w:r>
        <w:r w:rsidR="00836443">
          <w:rPr>
            <w:noProof/>
            <w:webHidden/>
          </w:rPr>
          <w:fldChar w:fldCharType="end"/>
        </w:r>
      </w:hyperlink>
    </w:p>
    <w:p w14:paraId="4030CCAE" w14:textId="77777777" w:rsidR="00836443" w:rsidRDefault="00A2085C">
      <w:pPr>
        <w:pStyle w:val="TableofFigures"/>
        <w:rPr>
          <w:rFonts w:asciiTheme="minorHAnsi" w:eastAsiaTheme="minorEastAsia" w:hAnsiTheme="minorHAnsi" w:cstheme="minorBidi"/>
          <w:noProof/>
          <w:color w:val="auto"/>
          <w:sz w:val="22"/>
        </w:rPr>
      </w:pPr>
      <w:hyperlink w:anchor="_Toc482034906" w:history="1">
        <w:r w:rsidR="00836443" w:rsidRPr="000D3FB8">
          <w:rPr>
            <w:rStyle w:val="Hyperlink"/>
            <w:noProof/>
          </w:rPr>
          <w:t>Figure 3</w:t>
        </w:r>
        <w:r w:rsidR="00836443" w:rsidRPr="000D3FB8">
          <w:rPr>
            <w:rStyle w:val="Hyperlink"/>
            <w:noProof/>
          </w:rPr>
          <w:noBreakHyphen/>
          <w:t>5 Global sensitivity analysis metrics of all 30 model parameters in relation to maximum drawdown. (a) Delta Moment-Independent Measure (</w:t>
        </w:r>
        <w:r w:rsidR="00836443" w:rsidRPr="000D3FB8">
          <w:rPr>
            <w:rStyle w:val="Hyperlink"/>
            <w:i/>
            <w:noProof/>
          </w:rPr>
          <w:t>δ</w:t>
        </w:r>
        <w:r w:rsidR="00836443" w:rsidRPr="000D3FB8">
          <w:rPr>
            <w:rStyle w:val="Hyperlink"/>
            <w:noProof/>
          </w:rPr>
          <w:t>; Plischke et al., 2013) and (b)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 for metric computation was 300 model runs.</w:t>
        </w:r>
        <w:r w:rsidR="00836443">
          <w:rPr>
            <w:noProof/>
            <w:webHidden/>
          </w:rPr>
          <w:tab/>
        </w:r>
        <w:r w:rsidR="00836443">
          <w:rPr>
            <w:noProof/>
            <w:webHidden/>
          </w:rPr>
          <w:fldChar w:fldCharType="begin"/>
        </w:r>
        <w:r w:rsidR="00836443">
          <w:rPr>
            <w:noProof/>
            <w:webHidden/>
          </w:rPr>
          <w:instrText xml:space="preserve"> PAGEREF _Toc482034906 \h </w:instrText>
        </w:r>
        <w:r w:rsidR="00836443">
          <w:rPr>
            <w:noProof/>
            <w:webHidden/>
          </w:rPr>
        </w:r>
        <w:r w:rsidR="00836443">
          <w:rPr>
            <w:noProof/>
            <w:webHidden/>
          </w:rPr>
          <w:fldChar w:fldCharType="separate"/>
        </w:r>
        <w:r w:rsidR="000B6FA5">
          <w:rPr>
            <w:noProof/>
            <w:webHidden/>
          </w:rPr>
          <w:t>32</w:t>
        </w:r>
        <w:r w:rsidR="00836443">
          <w:rPr>
            <w:noProof/>
            <w:webHidden/>
          </w:rPr>
          <w:fldChar w:fldCharType="end"/>
        </w:r>
      </w:hyperlink>
    </w:p>
    <w:p w14:paraId="2B28FB6A" w14:textId="77777777" w:rsidR="00836443" w:rsidRDefault="00A2085C">
      <w:pPr>
        <w:pStyle w:val="TableofFigures"/>
        <w:rPr>
          <w:rFonts w:asciiTheme="minorHAnsi" w:eastAsiaTheme="minorEastAsia" w:hAnsiTheme="minorHAnsi" w:cstheme="minorBidi"/>
          <w:noProof/>
          <w:color w:val="auto"/>
          <w:sz w:val="22"/>
        </w:rPr>
      </w:pPr>
      <w:hyperlink w:anchor="_Toc482034907" w:history="1">
        <w:r w:rsidR="00836443" w:rsidRPr="000D3FB8">
          <w:rPr>
            <w:rStyle w:val="Hyperlink"/>
            <w:noProof/>
          </w:rPr>
          <w:t>Figure 3</w:t>
        </w:r>
        <w:r w:rsidR="00836443" w:rsidRPr="000D3FB8">
          <w:rPr>
            <w:rStyle w:val="Hyperlink"/>
            <w:noProof/>
          </w:rPr>
          <w:noBreakHyphen/>
          <w:t>6. Relative rankings of ten parameters used by the CDM Smith (2016) Gunnedah-Surat basins groundwater flow model (most sensitive = red, second most sensitive = blue, third most sensitive = green; less sensitive parameters are shown in grey) to which the prediction of the timing of maximum drawdown in the Pilliga Sandstone aquifer was most sensitive. Parameter rankings were based on two global sensitivity analysis metrics: (a) the Delta Moment-Independent Measure (</w:t>
        </w:r>
        <w:r w:rsidR="00836443" w:rsidRPr="000D3FB8">
          <w:rPr>
            <w:rStyle w:val="Hyperlink"/>
            <w:i/>
            <w:noProof/>
          </w:rPr>
          <w:t>δ</w:t>
        </w:r>
        <w:r w:rsidR="00836443" w:rsidRPr="000D3FB8">
          <w:rPr>
            <w:rStyle w:val="Hyperlink"/>
            <w:noProof/>
          </w:rPr>
          <w:t>; Plischke et al., 2013) and (b) the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sizes used as the basis for metric computation ranged from 200 to 300 model runs.</w:t>
        </w:r>
        <w:r w:rsidR="00836443">
          <w:rPr>
            <w:noProof/>
            <w:webHidden/>
          </w:rPr>
          <w:tab/>
        </w:r>
        <w:r w:rsidR="00836443">
          <w:rPr>
            <w:noProof/>
            <w:webHidden/>
          </w:rPr>
          <w:fldChar w:fldCharType="begin"/>
        </w:r>
        <w:r w:rsidR="00836443">
          <w:rPr>
            <w:noProof/>
            <w:webHidden/>
          </w:rPr>
          <w:instrText xml:space="preserve"> PAGEREF _Toc482034907 \h </w:instrText>
        </w:r>
        <w:r w:rsidR="00836443">
          <w:rPr>
            <w:noProof/>
            <w:webHidden/>
          </w:rPr>
        </w:r>
        <w:r w:rsidR="00836443">
          <w:rPr>
            <w:noProof/>
            <w:webHidden/>
          </w:rPr>
          <w:fldChar w:fldCharType="separate"/>
        </w:r>
        <w:r w:rsidR="000B6FA5">
          <w:rPr>
            <w:noProof/>
            <w:webHidden/>
          </w:rPr>
          <w:t>33</w:t>
        </w:r>
        <w:r w:rsidR="00836443">
          <w:rPr>
            <w:noProof/>
            <w:webHidden/>
          </w:rPr>
          <w:fldChar w:fldCharType="end"/>
        </w:r>
      </w:hyperlink>
    </w:p>
    <w:p w14:paraId="5E41E0EE" w14:textId="77777777" w:rsidR="00836443" w:rsidRDefault="00A2085C">
      <w:pPr>
        <w:pStyle w:val="TableofFigures"/>
        <w:rPr>
          <w:rFonts w:asciiTheme="minorHAnsi" w:eastAsiaTheme="minorEastAsia" w:hAnsiTheme="minorHAnsi" w:cstheme="minorBidi"/>
          <w:noProof/>
          <w:color w:val="auto"/>
          <w:sz w:val="22"/>
        </w:rPr>
      </w:pPr>
      <w:hyperlink w:anchor="_Toc482034908" w:history="1">
        <w:r w:rsidR="00836443" w:rsidRPr="000D3FB8">
          <w:rPr>
            <w:rStyle w:val="Hyperlink"/>
            <w:noProof/>
          </w:rPr>
          <w:t>Figure 3</w:t>
        </w:r>
        <w:r w:rsidR="00836443" w:rsidRPr="000D3FB8">
          <w:rPr>
            <w:rStyle w:val="Hyperlink"/>
            <w:noProof/>
          </w:rPr>
          <w:noBreakHyphen/>
          <w:t>7 Global sensitivity analysis metrics of all 30 model parameters in relation to time to maximum drawdown. (a) Delta Moment-Independent Measure (</w:t>
        </w:r>
        <w:r w:rsidR="00836443" w:rsidRPr="000D3FB8">
          <w:rPr>
            <w:rStyle w:val="Hyperlink"/>
            <w:i/>
            <w:noProof/>
          </w:rPr>
          <w:t>δ</w:t>
        </w:r>
        <w:r w:rsidR="00836443" w:rsidRPr="000D3FB8">
          <w:rPr>
            <w:rStyle w:val="Hyperlink"/>
            <w:noProof/>
          </w:rPr>
          <w:t>; Plischke et al., 2013) and (b)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 for metric computation was 300 model runs.</w:t>
        </w:r>
        <w:r w:rsidR="00836443">
          <w:rPr>
            <w:noProof/>
            <w:webHidden/>
          </w:rPr>
          <w:tab/>
        </w:r>
        <w:r w:rsidR="00836443">
          <w:rPr>
            <w:noProof/>
            <w:webHidden/>
          </w:rPr>
          <w:fldChar w:fldCharType="begin"/>
        </w:r>
        <w:r w:rsidR="00836443">
          <w:rPr>
            <w:noProof/>
            <w:webHidden/>
          </w:rPr>
          <w:instrText xml:space="preserve"> PAGEREF _Toc482034908 \h </w:instrText>
        </w:r>
        <w:r w:rsidR="00836443">
          <w:rPr>
            <w:noProof/>
            <w:webHidden/>
          </w:rPr>
        </w:r>
        <w:r w:rsidR="00836443">
          <w:rPr>
            <w:noProof/>
            <w:webHidden/>
          </w:rPr>
          <w:fldChar w:fldCharType="separate"/>
        </w:r>
        <w:r w:rsidR="000B6FA5">
          <w:rPr>
            <w:noProof/>
            <w:webHidden/>
          </w:rPr>
          <w:t>33</w:t>
        </w:r>
        <w:r w:rsidR="00836443">
          <w:rPr>
            <w:noProof/>
            <w:webHidden/>
          </w:rPr>
          <w:fldChar w:fldCharType="end"/>
        </w:r>
      </w:hyperlink>
    </w:p>
    <w:p w14:paraId="205EF8FC" w14:textId="77777777" w:rsidR="00836443" w:rsidRDefault="00A2085C">
      <w:pPr>
        <w:pStyle w:val="TableofFigures"/>
        <w:rPr>
          <w:rFonts w:asciiTheme="minorHAnsi" w:eastAsiaTheme="minorEastAsia" w:hAnsiTheme="minorHAnsi" w:cstheme="minorBidi"/>
          <w:noProof/>
          <w:color w:val="auto"/>
          <w:sz w:val="22"/>
        </w:rPr>
      </w:pPr>
      <w:hyperlink w:anchor="_Toc482034909" w:history="1">
        <w:r w:rsidR="00836443" w:rsidRPr="000D3FB8">
          <w:rPr>
            <w:rStyle w:val="Hyperlink"/>
            <w:noProof/>
          </w:rPr>
          <w:t>Figure 3</w:t>
        </w:r>
        <w:r w:rsidR="00836443" w:rsidRPr="000D3FB8">
          <w:rPr>
            <w:rStyle w:val="Hyperlink"/>
            <w:noProof/>
          </w:rPr>
          <w:noBreakHyphen/>
          <w:t>8. Relative rankings of ten parameters used by the CDM Smith (2016) Gunnedah-Surat basins groundwater flow model (most sensitive = red, second most sensitive = blue, third most sensitive = green; less sensitive parameters are shown in grey) to which the prediction of drawdown spatial extent in the Pilliga Sandstone aquifer was most sensitive. Parameter rankings were based on two global sensitivity analysis metrics: (a) the Delta Moment-Independent Measure (</w:t>
        </w:r>
        <w:r w:rsidR="00836443" w:rsidRPr="000D3FB8">
          <w:rPr>
            <w:rStyle w:val="Hyperlink"/>
            <w:i/>
            <w:noProof/>
          </w:rPr>
          <w:t>δ</w:t>
        </w:r>
        <w:r w:rsidR="00836443" w:rsidRPr="000D3FB8">
          <w:rPr>
            <w:rStyle w:val="Hyperlink"/>
            <w:noProof/>
          </w:rPr>
          <w:t>; Plischke et al., 2013) and (b) the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sizes used as the basis for metric computation ranged from 200 to 300 model runs.</w:t>
        </w:r>
        <w:r w:rsidR="00836443">
          <w:rPr>
            <w:noProof/>
            <w:webHidden/>
          </w:rPr>
          <w:tab/>
        </w:r>
        <w:r w:rsidR="00836443">
          <w:rPr>
            <w:noProof/>
            <w:webHidden/>
          </w:rPr>
          <w:fldChar w:fldCharType="begin"/>
        </w:r>
        <w:r w:rsidR="00836443">
          <w:rPr>
            <w:noProof/>
            <w:webHidden/>
          </w:rPr>
          <w:instrText xml:space="preserve"> PAGEREF _Toc482034909 \h </w:instrText>
        </w:r>
        <w:r w:rsidR="00836443">
          <w:rPr>
            <w:noProof/>
            <w:webHidden/>
          </w:rPr>
        </w:r>
        <w:r w:rsidR="00836443">
          <w:rPr>
            <w:noProof/>
            <w:webHidden/>
          </w:rPr>
          <w:fldChar w:fldCharType="separate"/>
        </w:r>
        <w:r w:rsidR="000B6FA5">
          <w:rPr>
            <w:noProof/>
            <w:webHidden/>
          </w:rPr>
          <w:t>34</w:t>
        </w:r>
        <w:r w:rsidR="00836443">
          <w:rPr>
            <w:noProof/>
            <w:webHidden/>
          </w:rPr>
          <w:fldChar w:fldCharType="end"/>
        </w:r>
      </w:hyperlink>
    </w:p>
    <w:p w14:paraId="76828BF3" w14:textId="77777777" w:rsidR="00836443" w:rsidRDefault="00A2085C">
      <w:pPr>
        <w:pStyle w:val="TableofFigures"/>
        <w:rPr>
          <w:rFonts w:asciiTheme="minorHAnsi" w:eastAsiaTheme="minorEastAsia" w:hAnsiTheme="minorHAnsi" w:cstheme="minorBidi"/>
          <w:noProof/>
          <w:color w:val="auto"/>
          <w:sz w:val="22"/>
        </w:rPr>
      </w:pPr>
      <w:hyperlink w:anchor="_Toc482034910" w:history="1">
        <w:r w:rsidR="00836443" w:rsidRPr="000D3FB8">
          <w:rPr>
            <w:rStyle w:val="Hyperlink"/>
            <w:noProof/>
          </w:rPr>
          <w:t>Figure 3</w:t>
        </w:r>
        <w:r w:rsidR="00836443" w:rsidRPr="000D3FB8">
          <w:rPr>
            <w:rStyle w:val="Hyperlink"/>
            <w:noProof/>
          </w:rPr>
          <w:noBreakHyphen/>
          <w:t>9 Global sensitivity analysis metrics of all 30 model parameters in relation to spatial extent of maximum drawdown. (a) Delta Moment-Independent Measure (</w:t>
        </w:r>
        <w:r w:rsidR="00836443" w:rsidRPr="000D3FB8">
          <w:rPr>
            <w:rStyle w:val="Hyperlink"/>
            <w:i/>
            <w:noProof/>
          </w:rPr>
          <w:t>δ</w:t>
        </w:r>
        <w:r w:rsidR="00836443" w:rsidRPr="000D3FB8">
          <w:rPr>
            <w:rStyle w:val="Hyperlink"/>
            <w:noProof/>
          </w:rPr>
          <w:t>; Plischke et al., 2013) and (b)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 for metric computation was 300 model runs.</w:t>
        </w:r>
        <w:r w:rsidR="00836443">
          <w:rPr>
            <w:noProof/>
            <w:webHidden/>
          </w:rPr>
          <w:tab/>
        </w:r>
        <w:r w:rsidR="00836443">
          <w:rPr>
            <w:noProof/>
            <w:webHidden/>
          </w:rPr>
          <w:fldChar w:fldCharType="begin"/>
        </w:r>
        <w:r w:rsidR="00836443">
          <w:rPr>
            <w:noProof/>
            <w:webHidden/>
          </w:rPr>
          <w:instrText xml:space="preserve"> PAGEREF _Toc482034910 \h </w:instrText>
        </w:r>
        <w:r w:rsidR="00836443">
          <w:rPr>
            <w:noProof/>
            <w:webHidden/>
          </w:rPr>
        </w:r>
        <w:r w:rsidR="00836443">
          <w:rPr>
            <w:noProof/>
            <w:webHidden/>
          </w:rPr>
          <w:fldChar w:fldCharType="separate"/>
        </w:r>
        <w:r w:rsidR="000B6FA5">
          <w:rPr>
            <w:noProof/>
            <w:webHidden/>
          </w:rPr>
          <w:t>35</w:t>
        </w:r>
        <w:r w:rsidR="00836443">
          <w:rPr>
            <w:noProof/>
            <w:webHidden/>
          </w:rPr>
          <w:fldChar w:fldCharType="end"/>
        </w:r>
      </w:hyperlink>
    </w:p>
    <w:p w14:paraId="093FD028" w14:textId="77777777" w:rsidR="00836443" w:rsidRDefault="00A2085C">
      <w:pPr>
        <w:pStyle w:val="TableofFigures"/>
        <w:rPr>
          <w:rFonts w:asciiTheme="minorHAnsi" w:eastAsiaTheme="minorEastAsia" w:hAnsiTheme="minorHAnsi" w:cstheme="minorBidi"/>
          <w:noProof/>
          <w:color w:val="auto"/>
          <w:sz w:val="22"/>
        </w:rPr>
      </w:pPr>
      <w:hyperlink w:anchor="_Toc482034911" w:history="1">
        <w:r w:rsidR="00836443" w:rsidRPr="000D3FB8">
          <w:rPr>
            <w:rStyle w:val="Hyperlink"/>
            <w:noProof/>
          </w:rPr>
          <w:t>Figure 3</w:t>
        </w:r>
        <w:r w:rsidR="00836443" w:rsidRPr="000D3FB8">
          <w:rPr>
            <w:rStyle w:val="Hyperlink"/>
            <w:noProof/>
          </w:rPr>
          <w:noBreakHyphen/>
          <w:t>10. Relative rankings of ten parameters used by the CDM Smith (2016) Gunnedah Basin groundwater flow model (most sensitive = red, second most sensitive = blue, third most sensitive = green; less sensitive parameters are shown in grey) to which the prediction of maximum change in vertical flux in the Pilliga Sandstone aquifer was most sensitive. Parameter rankings were based on two global sensitivity analysis metrics: (a) the Delta Moment-Independent Measure (</w:t>
        </w:r>
        <w:r w:rsidR="00836443" w:rsidRPr="000D3FB8">
          <w:rPr>
            <w:rStyle w:val="Hyperlink"/>
            <w:i/>
            <w:noProof/>
          </w:rPr>
          <w:t>δ</w:t>
        </w:r>
        <w:r w:rsidR="00836443" w:rsidRPr="000D3FB8">
          <w:rPr>
            <w:rStyle w:val="Hyperlink"/>
            <w:noProof/>
          </w:rPr>
          <w:t>; Plischke et al., 2013) and (b) the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sizes used as the basis for metric computation ranged from 200 to 300 model runs.</w:t>
        </w:r>
        <w:r w:rsidR="00836443">
          <w:rPr>
            <w:noProof/>
            <w:webHidden/>
          </w:rPr>
          <w:tab/>
        </w:r>
        <w:r w:rsidR="00836443">
          <w:rPr>
            <w:noProof/>
            <w:webHidden/>
          </w:rPr>
          <w:fldChar w:fldCharType="begin"/>
        </w:r>
        <w:r w:rsidR="00836443">
          <w:rPr>
            <w:noProof/>
            <w:webHidden/>
          </w:rPr>
          <w:instrText xml:space="preserve"> PAGEREF _Toc482034911 \h </w:instrText>
        </w:r>
        <w:r w:rsidR="00836443">
          <w:rPr>
            <w:noProof/>
            <w:webHidden/>
          </w:rPr>
        </w:r>
        <w:r w:rsidR="00836443">
          <w:rPr>
            <w:noProof/>
            <w:webHidden/>
          </w:rPr>
          <w:fldChar w:fldCharType="separate"/>
        </w:r>
        <w:r w:rsidR="000B6FA5">
          <w:rPr>
            <w:noProof/>
            <w:webHidden/>
          </w:rPr>
          <w:t>36</w:t>
        </w:r>
        <w:r w:rsidR="00836443">
          <w:rPr>
            <w:noProof/>
            <w:webHidden/>
          </w:rPr>
          <w:fldChar w:fldCharType="end"/>
        </w:r>
      </w:hyperlink>
    </w:p>
    <w:p w14:paraId="70215124" w14:textId="77777777" w:rsidR="00836443" w:rsidRDefault="00A2085C">
      <w:pPr>
        <w:pStyle w:val="TableofFigures"/>
        <w:rPr>
          <w:rFonts w:asciiTheme="minorHAnsi" w:eastAsiaTheme="minorEastAsia" w:hAnsiTheme="minorHAnsi" w:cstheme="minorBidi"/>
          <w:noProof/>
          <w:color w:val="auto"/>
          <w:sz w:val="22"/>
        </w:rPr>
      </w:pPr>
      <w:hyperlink w:anchor="_Toc482034912" w:history="1">
        <w:r w:rsidR="00836443" w:rsidRPr="000D3FB8">
          <w:rPr>
            <w:rStyle w:val="Hyperlink"/>
            <w:noProof/>
          </w:rPr>
          <w:t>Figure 3</w:t>
        </w:r>
        <w:r w:rsidR="00836443" w:rsidRPr="000D3FB8">
          <w:rPr>
            <w:rStyle w:val="Hyperlink"/>
            <w:noProof/>
          </w:rPr>
          <w:noBreakHyphen/>
          <w:t>11 Global sensitivity analysis metrics of all 30 model parameters in relation to maximum vertical flux. (a) Delta Moment-Independent Measure (</w:t>
        </w:r>
        <w:r w:rsidR="00836443" w:rsidRPr="000D3FB8">
          <w:rPr>
            <w:rStyle w:val="Hyperlink"/>
            <w:i/>
            <w:noProof/>
          </w:rPr>
          <w:t>δ</w:t>
        </w:r>
        <w:r w:rsidR="00836443" w:rsidRPr="000D3FB8">
          <w:rPr>
            <w:rStyle w:val="Hyperlink"/>
            <w:noProof/>
          </w:rPr>
          <w:t>; Plischke et al., 2013) and (b)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 for metric computation was 300 model runs.</w:t>
        </w:r>
        <w:r w:rsidR="00836443">
          <w:rPr>
            <w:noProof/>
            <w:webHidden/>
          </w:rPr>
          <w:tab/>
        </w:r>
        <w:r w:rsidR="00836443">
          <w:rPr>
            <w:noProof/>
            <w:webHidden/>
          </w:rPr>
          <w:fldChar w:fldCharType="begin"/>
        </w:r>
        <w:r w:rsidR="00836443">
          <w:rPr>
            <w:noProof/>
            <w:webHidden/>
          </w:rPr>
          <w:instrText xml:space="preserve"> PAGEREF _Toc482034912 \h </w:instrText>
        </w:r>
        <w:r w:rsidR="00836443">
          <w:rPr>
            <w:noProof/>
            <w:webHidden/>
          </w:rPr>
        </w:r>
        <w:r w:rsidR="00836443">
          <w:rPr>
            <w:noProof/>
            <w:webHidden/>
          </w:rPr>
          <w:fldChar w:fldCharType="separate"/>
        </w:r>
        <w:r w:rsidR="000B6FA5">
          <w:rPr>
            <w:noProof/>
            <w:webHidden/>
          </w:rPr>
          <w:t>36</w:t>
        </w:r>
        <w:r w:rsidR="00836443">
          <w:rPr>
            <w:noProof/>
            <w:webHidden/>
          </w:rPr>
          <w:fldChar w:fldCharType="end"/>
        </w:r>
      </w:hyperlink>
    </w:p>
    <w:p w14:paraId="4932BE46" w14:textId="77777777" w:rsidR="00836443" w:rsidRDefault="00A2085C">
      <w:pPr>
        <w:pStyle w:val="TableofFigures"/>
        <w:rPr>
          <w:rFonts w:asciiTheme="minorHAnsi" w:eastAsiaTheme="minorEastAsia" w:hAnsiTheme="minorHAnsi" w:cstheme="minorBidi"/>
          <w:noProof/>
          <w:color w:val="auto"/>
          <w:sz w:val="22"/>
        </w:rPr>
      </w:pPr>
      <w:hyperlink w:anchor="_Toc482034913" w:history="1">
        <w:r w:rsidR="00836443" w:rsidRPr="000D3FB8">
          <w:rPr>
            <w:rStyle w:val="Hyperlink"/>
            <w:noProof/>
          </w:rPr>
          <w:t>Figure 3</w:t>
        </w:r>
        <w:r w:rsidR="00836443" w:rsidRPr="000D3FB8">
          <w:rPr>
            <w:rStyle w:val="Hyperlink"/>
            <w:noProof/>
          </w:rPr>
          <w:noBreakHyphen/>
          <w:t>12. (a) Cumulative density function and (b) frequency histogram of initial modelled predictions of the magnitude of maximum drawdown, based on a sample size of 300 model runs.</w:t>
        </w:r>
        <w:r w:rsidR="00836443">
          <w:rPr>
            <w:noProof/>
            <w:webHidden/>
          </w:rPr>
          <w:tab/>
        </w:r>
        <w:r w:rsidR="00836443">
          <w:rPr>
            <w:noProof/>
            <w:webHidden/>
          </w:rPr>
          <w:fldChar w:fldCharType="begin"/>
        </w:r>
        <w:r w:rsidR="00836443">
          <w:rPr>
            <w:noProof/>
            <w:webHidden/>
          </w:rPr>
          <w:instrText xml:space="preserve"> PAGEREF _Toc482034913 \h </w:instrText>
        </w:r>
        <w:r w:rsidR="00836443">
          <w:rPr>
            <w:noProof/>
            <w:webHidden/>
          </w:rPr>
        </w:r>
        <w:r w:rsidR="00836443">
          <w:rPr>
            <w:noProof/>
            <w:webHidden/>
          </w:rPr>
          <w:fldChar w:fldCharType="separate"/>
        </w:r>
        <w:r w:rsidR="000B6FA5">
          <w:rPr>
            <w:noProof/>
            <w:webHidden/>
          </w:rPr>
          <w:t>38</w:t>
        </w:r>
        <w:r w:rsidR="00836443">
          <w:rPr>
            <w:noProof/>
            <w:webHidden/>
          </w:rPr>
          <w:fldChar w:fldCharType="end"/>
        </w:r>
      </w:hyperlink>
    </w:p>
    <w:p w14:paraId="3ABA685C" w14:textId="77777777" w:rsidR="00836443" w:rsidRDefault="00A2085C">
      <w:pPr>
        <w:pStyle w:val="TableofFigures"/>
        <w:rPr>
          <w:rFonts w:asciiTheme="minorHAnsi" w:eastAsiaTheme="minorEastAsia" w:hAnsiTheme="minorHAnsi" w:cstheme="minorBidi"/>
          <w:noProof/>
          <w:color w:val="auto"/>
          <w:sz w:val="22"/>
        </w:rPr>
      </w:pPr>
      <w:hyperlink w:anchor="_Toc482034914" w:history="1">
        <w:r w:rsidR="00836443" w:rsidRPr="000D3FB8">
          <w:rPr>
            <w:rStyle w:val="Hyperlink"/>
            <w:noProof/>
          </w:rPr>
          <w:t>Figure 3</w:t>
        </w:r>
        <w:r w:rsidR="00836443" w:rsidRPr="000D3FB8">
          <w:rPr>
            <w:rStyle w:val="Hyperlink"/>
            <w:noProof/>
          </w:rPr>
          <w:noBreakHyphen/>
          <w:t>13. (a) Cumulative density function and (b) frequency histogram of initial modelled predictions of the timing of maximum drawdown, based on a sample size of 300 model runs.</w:t>
        </w:r>
        <w:r w:rsidR="00836443">
          <w:rPr>
            <w:noProof/>
            <w:webHidden/>
          </w:rPr>
          <w:tab/>
        </w:r>
        <w:r w:rsidR="00836443">
          <w:rPr>
            <w:noProof/>
            <w:webHidden/>
          </w:rPr>
          <w:fldChar w:fldCharType="begin"/>
        </w:r>
        <w:r w:rsidR="00836443">
          <w:rPr>
            <w:noProof/>
            <w:webHidden/>
          </w:rPr>
          <w:instrText xml:space="preserve"> PAGEREF _Toc482034914 \h </w:instrText>
        </w:r>
        <w:r w:rsidR="00836443">
          <w:rPr>
            <w:noProof/>
            <w:webHidden/>
          </w:rPr>
        </w:r>
        <w:r w:rsidR="00836443">
          <w:rPr>
            <w:noProof/>
            <w:webHidden/>
          </w:rPr>
          <w:fldChar w:fldCharType="separate"/>
        </w:r>
        <w:r w:rsidR="000B6FA5">
          <w:rPr>
            <w:noProof/>
            <w:webHidden/>
          </w:rPr>
          <w:t>39</w:t>
        </w:r>
        <w:r w:rsidR="00836443">
          <w:rPr>
            <w:noProof/>
            <w:webHidden/>
          </w:rPr>
          <w:fldChar w:fldCharType="end"/>
        </w:r>
      </w:hyperlink>
    </w:p>
    <w:p w14:paraId="1C425E9A" w14:textId="77777777" w:rsidR="00836443" w:rsidRDefault="00A2085C">
      <w:pPr>
        <w:pStyle w:val="TableofFigures"/>
        <w:rPr>
          <w:rFonts w:asciiTheme="minorHAnsi" w:eastAsiaTheme="minorEastAsia" w:hAnsiTheme="minorHAnsi" w:cstheme="minorBidi"/>
          <w:noProof/>
          <w:color w:val="auto"/>
          <w:sz w:val="22"/>
        </w:rPr>
      </w:pPr>
      <w:hyperlink w:anchor="_Toc482034915" w:history="1">
        <w:r w:rsidR="00836443" w:rsidRPr="000D3FB8">
          <w:rPr>
            <w:rStyle w:val="Hyperlink"/>
            <w:noProof/>
          </w:rPr>
          <w:t>Figure 3</w:t>
        </w:r>
        <w:r w:rsidR="00836443" w:rsidRPr="000D3FB8">
          <w:rPr>
            <w:rStyle w:val="Hyperlink"/>
            <w:noProof/>
          </w:rPr>
          <w:noBreakHyphen/>
          <w:t>14. (a) Cumulative density function and (b) frequency histogram of initial modelled predictions of the spatial extent of drawdown ≥ 2 m, based on a sample size of 300 model runs.</w:t>
        </w:r>
        <w:r w:rsidR="00836443">
          <w:rPr>
            <w:noProof/>
            <w:webHidden/>
          </w:rPr>
          <w:tab/>
        </w:r>
        <w:r w:rsidR="00836443">
          <w:rPr>
            <w:noProof/>
            <w:webHidden/>
          </w:rPr>
          <w:fldChar w:fldCharType="begin"/>
        </w:r>
        <w:r w:rsidR="00836443">
          <w:rPr>
            <w:noProof/>
            <w:webHidden/>
          </w:rPr>
          <w:instrText xml:space="preserve"> PAGEREF _Toc482034915 \h </w:instrText>
        </w:r>
        <w:r w:rsidR="00836443">
          <w:rPr>
            <w:noProof/>
            <w:webHidden/>
          </w:rPr>
        </w:r>
        <w:r w:rsidR="00836443">
          <w:rPr>
            <w:noProof/>
            <w:webHidden/>
          </w:rPr>
          <w:fldChar w:fldCharType="separate"/>
        </w:r>
        <w:r w:rsidR="000B6FA5">
          <w:rPr>
            <w:noProof/>
            <w:webHidden/>
          </w:rPr>
          <w:t>39</w:t>
        </w:r>
        <w:r w:rsidR="00836443">
          <w:rPr>
            <w:noProof/>
            <w:webHidden/>
          </w:rPr>
          <w:fldChar w:fldCharType="end"/>
        </w:r>
      </w:hyperlink>
    </w:p>
    <w:p w14:paraId="3933F0DE" w14:textId="77777777" w:rsidR="00836443" w:rsidRDefault="00A2085C">
      <w:pPr>
        <w:pStyle w:val="TableofFigures"/>
        <w:rPr>
          <w:rFonts w:asciiTheme="minorHAnsi" w:eastAsiaTheme="minorEastAsia" w:hAnsiTheme="minorHAnsi" w:cstheme="minorBidi"/>
          <w:noProof/>
          <w:color w:val="auto"/>
          <w:sz w:val="22"/>
        </w:rPr>
      </w:pPr>
      <w:hyperlink w:anchor="_Toc482034916" w:history="1">
        <w:r w:rsidR="00836443" w:rsidRPr="000D3FB8">
          <w:rPr>
            <w:rStyle w:val="Hyperlink"/>
            <w:noProof/>
          </w:rPr>
          <w:t>Figure 3</w:t>
        </w:r>
        <w:r w:rsidR="00836443" w:rsidRPr="000D3FB8">
          <w:rPr>
            <w:rStyle w:val="Hyperlink"/>
            <w:noProof/>
          </w:rPr>
          <w:noBreakHyphen/>
          <w:t>15. Percentiles of spatial distributions of drawdown (solid black lines), observed at the median time of maximum drawdown (i.e., 155 years after the cessation of coal seam gas extraction); purple = Pilliga Sandstone aquifer cells; blue = upper aquitard sequence cells. Percentiles shown are (a) 90</w:t>
        </w:r>
        <w:r w:rsidR="00836443" w:rsidRPr="000D3FB8">
          <w:rPr>
            <w:rStyle w:val="Hyperlink"/>
            <w:noProof/>
            <w:vertAlign w:val="superscript"/>
          </w:rPr>
          <w:t>th</w:t>
        </w:r>
        <w:r w:rsidR="00836443" w:rsidRPr="000D3FB8">
          <w:rPr>
            <w:rStyle w:val="Hyperlink"/>
            <w:noProof/>
          </w:rPr>
          <w:t>, (b) 95</w:t>
        </w:r>
        <w:r w:rsidR="00836443" w:rsidRPr="000D3FB8">
          <w:rPr>
            <w:rStyle w:val="Hyperlink"/>
            <w:noProof/>
            <w:vertAlign w:val="superscript"/>
          </w:rPr>
          <w:t>th</w:t>
        </w:r>
        <w:r w:rsidR="00836443" w:rsidRPr="000D3FB8">
          <w:rPr>
            <w:rStyle w:val="Hyperlink"/>
            <w:noProof/>
          </w:rPr>
          <w:t xml:space="preserve"> and (c) 99</w:t>
        </w:r>
        <w:r w:rsidR="00836443" w:rsidRPr="000D3FB8">
          <w:rPr>
            <w:rStyle w:val="Hyperlink"/>
            <w:noProof/>
            <w:vertAlign w:val="superscript"/>
          </w:rPr>
          <w:t>th</w:t>
        </w:r>
        <w:r w:rsidR="00836443" w:rsidRPr="000D3FB8">
          <w:rPr>
            <w:rStyle w:val="Hyperlink"/>
            <w:noProof/>
          </w:rPr>
          <w:t>. Distributions are based on a set of 300 model runs using the ‘initial’ model.</w:t>
        </w:r>
        <w:r w:rsidR="00836443">
          <w:rPr>
            <w:noProof/>
            <w:webHidden/>
          </w:rPr>
          <w:tab/>
        </w:r>
        <w:r w:rsidR="00836443">
          <w:rPr>
            <w:noProof/>
            <w:webHidden/>
          </w:rPr>
          <w:fldChar w:fldCharType="begin"/>
        </w:r>
        <w:r w:rsidR="00836443">
          <w:rPr>
            <w:noProof/>
            <w:webHidden/>
          </w:rPr>
          <w:instrText xml:space="preserve"> PAGEREF _Toc482034916 \h </w:instrText>
        </w:r>
        <w:r w:rsidR="00836443">
          <w:rPr>
            <w:noProof/>
            <w:webHidden/>
          </w:rPr>
        </w:r>
        <w:r w:rsidR="00836443">
          <w:rPr>
            <w:noProof/>
            <w:webHidden/>
          </w:rPr>
          <w:fldChar w:fldCharType="separate"/>
        </w:r>
        <w:r w:rsidR="000B6FA5">
          <w:rPr>
            <w:noProof/>
            <w:webHidden/>
          </w:rPr>
          <w:t>40</w:t>
        </w:r>
        <w:r w:rsidR="00836443">
          <w:rPr>
            <w:noProof/>
            <w:webHidden/>
          </w:rPr>
          <w:fldChar w:fldCharType="end"/>
        </w:r>
      </w:hyperlink>
    </w:p>
    <w:p w14:paraId="18AC53F6" w14:textId="77777777" w:rsidR="00836443" w:rsidRDefault="00A2085C">
      <w:pPr>
        <w:pStyle w:val="TableofFigures"/>
        <w:rPr>
          <w:rFonts w:asciiTheme="minorHAnsi" w:eastAsiaTheme="minorEastAsia" w:hAnsiTheme="minorHAnsi" w:cstheme="minorBidi"/>
          <w:noProof/>
          <w:color w:val="auto"/>
          <w:sz w:val="22"/>
        </w:rPr>
      </w:pPr>
      <w:hyperlink w:anchor="_Toc482034917" w:history="1">
        <w:r w:rsidR="00836443" w:rsidRPr="000D3FB8">
          <w:rPr>
            <w:rStyle w:val="Hyperlink"/>
            <w:noProof/>
          </w:rPr>
          <w:t>Figure 3</w:t>
        </w:r>
        <w:r w:rsidR="00836443" w:rsidRPr="000D3FB8">
          <w:rPr>
            <w:rStyle w:val="Hyperlink"/>
            <w:noProof/>
          </w:rPr>
          <w:noBreakHyphen/>
          <w:t>16. (a) Cumulative density function and (b) frequency histogram of initial modelled predictions of changes in vertical groundwater fluxes, based on a sample size of 300 model runs.</w:t>
        </w:r>
        <w:r w:rsidR="00836443">
          <w:rPr>
            <w:noProof/>
            <w:webHidden/>
          </w:rPr>
          <w:tab/>
        </w:r>
        <w:r w:rsidR="00836443">
          <w:rPr>
            <w:noProof/>
            <w:webHidden/>
          </w:rPr>
          <w:fldChar w:fldCharType="begin"/>
        </w:r>
        <w:r w:rsidR="00836443">
          <w:rPr>
            <w:noProof/>
            <w:webHidden/>
          </w:rPr>
          <w:instrText xml:space="preserve"> PAGEREF _Toc482034917 \h </w:instrText>
        </w:r>
        <w:r w:rsidR="00836443">
          <w:rPr>
            <w:noProof/>
            <w:webHidden/>
          </w:rPr>
        </w:r>
        <w:r w:rsidR="00836443">
          <w:rPr>
            <w:noProof/>
            <w:webHidden/>
          </w:rPr>
          <w:fldChar w:fldCharType="separate"/>
        </w:r>
        <w:r w:rsidR="000B6FA5">
          <w:rPr>
            <w:noProof/>
            <w:webHidden/>
          </w:rPr>
          <w:t>41</w:t>
        </w:r>
        <w:r w:rsidR="00836443">
          <w:rPr>
            <w:noProof/>
            <w:webHidden/>
          </w:rPr>
          <w:fldChar w:fldCharType="end"/>
        </w:r>
      </w:hyperlink>
    </w:p>
    <w:p w14:paraId="261DB9A5" w14:textId="77777777" w:rsidR="00836443" w:rsidRDefault="00A2085C">
      <w:pPr>
        <w:pStyle w:val="TableofFigures"/>
        <w:rPr>
          <w:rFonts w:asciiTheme="minorHAnsi" w:eastAsiaTheme="minorEastAsia" w:hAnsiTheme="minorHAnsi" w:cstheme="minorBidi"/>
          <w:noProof/>
          <w:color w:val="auto"/>
          <w:sz w:val="22"/>
        </w:rPr>
      </w:pPr>
      <w:hyperlink w:anchor="_Toc482034918" w:history="1">
        <w:r w:rsidR="00836443" w:rsidRPr="000D3FB8">
          <w:rPr>
            <w:rStyle w:val="Hyperlink"/>
            <w:noProof/>
          </w:rPr>
          <w:t>Figure 4</w:t>
        </w:r>
        <w:r w:rsidR="00836443" w:rsidRPr="000D3FB8">
          <w:rPr>
            <w:rStyle w:val="Hyperlink"/>
            <w:noProof/>
          </w:rPr>
          <w:noBreakHyphen/>
          <w:t>1.  Original and revised statistical distributions of vertical permeability values (left y-axis) and vertical hydraulic conductivity values (right y-axis) for (a) upper and (b) lower aquitard sequences represented in the CDM Smith (2016) model of groundwater flow in the Gunnedah-Surat basins. Original values and ranges were described by CDM Smith (2016). Revised values and ranges are based on aquitard core porosity-permeability analyses and upscaled using harmonic averaging, described herein. Whiskers indicate the 90 % confidence interval and fliers indicate outlying data values.</w:t>
        </w:r>
        <w:r w:rsidR="00836443">
          <w:rPr>
            <w:noProof/>
            <w:webHidden/>
          </w:rPr>
          <w:tab/>
        </w:r>
        <w:r w:rsidR="00836443">
          <w:rPr>
            <w:noProof/>
            <w:webHidden/>
          </w:rPr>
          <w:fldChar w:fldCharType="begin"/>
        </w:r>
        <w:r w:rsidR="00836443">
          <w:rPr>
            <w:noProof/>
            <w:webHidden/>
          </w:rPr>
          <w:instrText xml:space="preserve"> PAGEREF _Toc482034918 \h </w:instrText>
        </w:r>
        <w:r w:rsidR="00836443">
          <w:rPr>
            <w:noProof/>
            <w:webHidden/>
          </w:rPr>
        </w:r>
        <w:r w:rsidR="00836443">
          <w:rPr>
            <w:noProof/>
            <w:webHidden/>
          </w:rPr>
          <w:fldChar w:fldCharType="separate"/>
        </w:r>
        <w:r w:rsidR="000B6FA5">
          <w:rPr>
            <w:noProof/>
            <w:webHidden/>
          </w:rPr>
          <w:t>44</w:t>
        </w:r>
        <w:r w:rsidR="00836443">
          <w:rPr>
            <w:noProof/>
            <w:webHidden/>
          </w:rPr>
          <w:fldChar w:fldCharType="end"/>
        </w:r>
      </w:hyperlink>
    </w:p>
    <w:p w14:paraId="5D67A809" w14:textId="77777777" w:rsidR="00836443" w:rsidRDefault="00A2085C">
      <w:pPr>
        <w:pStyle w:val="TableofFigures"/>
        <w:rPr>
          <w:rFonts w:asciiTheme="minorHAnsi" w:eastAsiaTheme="minorEastAsia" w:hAnsiTheme="minorHAnsi" w:cstheme="minorBidi"/>
          <w:noProof/>
          <w:color w:val="auto"/>
          <w:sz w:val="22"/>
        </w:rPr>
      </w:pPr>
      <w:hyperlink w:anchor="_Toc482034919" w:history="1">
        <w:r w:rsidR="00836443" w:rsidRPr="000D3FB8">
          <w:rPr>
            <w:rStyle w:val="Hyperlink"/>
            <w:noProof/>
          </w:rPr>
          <w:t>Figure 4</w:t>
        </w:r>
        <w:r w:rsidR="00836443" w:rsidRPr="000D3FB8">
          <w:rPr>
            <w:rStyle w:val="Hyperlink"/>
            <w:noProof/>
          </w:rPr>
          <w:noBreakHyphen/>
          <w:t>2.  Original and revised statistical distributions of vertical hydraulic conductivity values for (a) upper and (b) lower aquitard sequences represented in the CDM Smith (2016) model of groundwater flow in the Gunnedah-Surat basins. Original values and ranges were described by CDM Smith (2016). Revised values and ranges are based on aquitard core porosity-permeability analyses and upscaled using numerical averaging, described herein. Whiskers indicate the 90 % confidence interval and fliers indicate outlying data values.</w:t>
        </w:r>
        <w:r w:rsidR="00836443">
          <w:rPr>
            <w:noProof/>
            <w:webHidden/>
          </w:rPr>
          <w:tab/>
        </w:r>
        <w:r w:rsidR="00836443">
          <w:rPr>
            <w:noProof/>
            <w:webHidden/>
          </w:rPr>
          <w:fldChar w:fldCharType="begin"/>
        </w:r>
        <w:r w:rsidR="00836443">
          <w:rPr>
            <w:noProof/>
            <w:webHidden/>
          </w:rPr>
          <w:instrText xml:space="preserve"> PAGEREF _Toc482034919 \h </w:instrText>
        </w:r>
        <w:r w:rsidR="00836443">
          <w:rPr>
            <w:noProof/>
            <w:webHidden/>
          </w:rPr>
        </w:r>
        <w:r w:rsidR="00836443">
          <w:rPr>
            <w:noProof/>
            <w:webHidden/>
          </w:rPr>
          <w:fldChar w:fldCharType="separate"/>
        </w:r>
        <w:r w:rsidR="000B6FA5">
          <w:rPr>
            <w:noProof/>
            <w:webHidden/>
          </w:rPr>
          <w:t>46</w:t>
        </w:r>
        <w:r w:rsidR="00836443">
          <w:rPr>
            <w:noProof/>
            <w:webHidden/>
          </w:rPr>
          <w:fldChar w:fldCharType="end"/>
        </w:r>
      </w:hyperlink>
    </w:p>
    <w:p w14:paraId="6CA64AD7" w14:textId="77777777" w:rsidR="00836443" w:rsidRDefault="00A2085C">
      <w:pPr>
        <w:pStyle w:val="TableofFigures"/>
        <w:rPr>
          <w:rFonts w:asciiTheme="minorHAnsi" w:eastAsiaTheme="minorEastAsia" w:hAnsiTheme="minorHAnsi" w:cstheme="minorBidi"/>
          <w:noProof/>
          <w:color w:val="auto"/>
          <w:sz w:val="22"/>
        </w:rPr>
      </w:pPr>
      <w:hyperlink w:anchor="_Toc482034920" w:history="1">
        <w:r w:rsidR="00836443" w:rsidRPr="000D3FB8">
          <w:rPr>
            <w:rStyle w:val="Hyperlink"/>
            <w:noProof/>
          </w:rPr>
          <w:t>Figure 4</w:t>
        </w:r>
        <w:r w:rsidR="00836443" w:rsidRPr="000D3FB8">
          <w:rPr>
            <w:rStyle w:val="Hyperlink"/>
            <w:noProof/>
          </w:rPr>
          <w:noBreakHyphen/>
          <w:t>3. Histograms of aquitard vertical hydraulic conductivity values upscaled using (a) harmonic mean averaging and (b) numerical model averaging for the upper aquitard sequence (upper row) and lower aquitard sequence (lower row).</w:t>
        </w:r>
        <w:r w:rsidR="00836443">
          <w:rPr>
            <w:noProof/>
            <w:webHidden/>
          </w:rPr>
          <w:tab/>
        </w:r>
        <w:r w:rsidR="00836443">
          <w:rPr>
            <w:noProof/>
            <w:webHidden/>
          </w:rPr>
          <w:fldChar w:fldCharType="begin"/>
        </w:r>
        <w:r w:rsidR="00836443">
          <w:rPr>
            <w:noProof/>
            <w:webHidden/>
          </w:rPr>
          <w:instrText xml:space="preserve"> PAGEREF _Toc482034920 \h </w:instrText>
        </w:r>
        <w:r w:rsidR="00836443">
          <w:rPr>
            <w:noProof/>
            <w:webHidden/>
          </w:rPr>
        </w:r>
        <w:r w:rsidR="00836443">
          <w:rPr>
            <w:noProof/>
            <w:webHidden/>
          </w:rPr>
          <w:fldChar w:fldCharType="separate"/>
        </w:r>
        <w:r w:rsidR="000B6FA5">
          <w:rPr>
            <w:noProof/>
            <w:webHidden/>
          </w:rPr>
          <w:t>47</w:t>
        </w:r>
        <w:r w:rsidR="00836443">
          <w:rPr>
            <w:noProof/>
            <w:webHidden/>
          </w:rPr>
          <w:fldChar w:fldCharType="end"/>
        </w:r>
      </w:hyperlink>
    </w:p>
    <w:p w14:paraId="429217AF" w14:textId="77777777" w:rsidR="00836443" w:rsidRDefault="00A2085C">
      <w:pPr>
        <w:pStyle w:val="TableofFigures"/>
        <w:rPr>
          <w:rFonts w:asciiTheme="minorHAnsi" w:eastAsiaTheme="minorEastAsia" w:hAnsiTheme="minorHAnsi" w:cstheme="minorBidi"/>
          <w:noProof/>
          <w:color w:val="auto"/>
          <w:sz w:val="22"/>
        </w:rPr>
      </w:pPr>
      <w:hyperlink w:anchor="_Toc482034921" w:history="1">
        <w:r w:rsidR="00836443" w:rsidRPr="000D3FB8">
          <w:rPr>
            <w:rStyle w:val="Hyperlink"/>
            <w:noProof/>
          </w:rPr>
          <w:t>Figure 5</w:t>
        </w:r>
        <w:r w:rsidR="00836443" w:rsidRPr="000D3FB8">
          <w:rPr>
            <w:rStyle w:val="Hyperlink"/>
            <w:noProof/>
          </w:rPr>
          <w:noBreakHyphen/>
          <w:t>1. Histograms (grey) and fitted triangular distributions (red) of aquitard vertical hydraulic conductivity values upscaled using (a) harmonic mean averaging and (b) numerical model averaging for the upper aquitard sequence (upper row) and lower aquitard sequence (lower row).</w:t>
        </w:r>
        <w:r w:rsidR="00836443">
          <w:rPr>
            <w:noProof/>
            <w:webHidden/>
          </w:rPr>
          <w:tab/>
        </w:r>
        <w:r w:rsidR="00836443">
          <w:rPr>
            <w:noProof/>
            <w:webHidden/>
          </w:rPr>
          <w:fldChar w:fldCharType="begin"/>
        </w:r>
        <w:r w:rsidR="00836443">
          <w:rPr>
            <w:noProof/>
            <w:webHidden/>
          </w:rPr>
          <w:instrText xml:space="preserve"> PAGEREF _Toc482034921 \h </w:instrText>
        </w:r>
        <w:r w:rsidR="00836443">
          <w:rPr>
            <w:noProof/>
            <w:webHidden/>
          </w:rPr>
        </w:r>
        <w:r w:rsidR="00836443">
          <w:rPr>
            <w:noProof/>
            <w:webHidden/>
          </w:rPr>
          <w:fldChar w:fldCharType="separate"/>
        </w:r>
        <w:r w:rsidR="000B6FA5">
          <w:rPr>
            <w:noProof/>
            <w:webHidden/>
          </w:rPr>
          <w:t>49</w:t>
        </w:r>
        <w:r w:rsidR="00836443">
          <w:rPr>
            <w:noProof/>
            <w:webHidden/>
          </w:rPr>
          <w:fldChar w:fldCharType="end"/>
        </w:r>
      </w:hyperlink>
    </w:p>
    <w:p w14:paraId="79A37EE5" w14:textId="77777777" w:rsidR="00836443" w:rsidRDefault="00A2085C">
      <w:pPr>
        <w:pStyle w:val="TableofFigures"/>
        <w:rPr>
          <w:rFonts w:asciiTheme="minorHAnsi" w:eastAsiaTheme="minorEastAsia" w:hAnsiTheme="minorHAnsi" w:cstheme="minorBidi"/>
          <w:noProof/>
          <w:color w:val="auto"/>
          <w:sz w:val="22"/>
        </w:rPr>
      </w:pPr>
      <w:hyperlink w:anchor="_Toc482034922" w:history="1">
        <w:r w:rsidR="00836443" w:rsidRPr="000D3FB8">
          <w:rPr>
            <w:rStyle w:val="Hyperlink"/>
            <w:noProof/>
          </w:rPr>
          <w:t>Figure 5</w:t>
        </w:r>
        <w:r w:rsidR="00836443" w:rsidRPr="000D3FB8">
          <w:rPr>
            <w:rStyle w:val="Hyperlink"/>
            <w:noProof/>
          </w:rPr>
          <w:noBreakHyphen/>
          <w:t>2.  Relative rankings of ten parameters used by the revised Gunnedah-Surat basins groundwater flow model (red, blue, green; others shown in grey) to which predictions relating to the Pilliga Sandstone aquifer were most sensitive: (a) maximum drawdown (MXD); (b) time elapsed at which maximum drawdown occurred (tMXD); (c) number of model cells at which drawdown exceeded two metres (NDD); and (d) maximum change in vertical flux (MXQ). Parameter rankings were based on two global sensitivity analysis metrics: (a) the Delta Moment-Independent Measure (Plischke et al., 2013) and (b) the first order Sobol’ metric (Sobol’, 2001). Parameters identified are discussed in Section 5.2.</w:t>
        </w:r>
        <w:r w:rsidR="00836443">
          <w:rPr>
            <w:noProof/>
            <w:webHidden/>
          </w:rPr>
          <w:tab/>
        </w:r>
        <w:r w:rsidR="00836443">
          <w:rPr>
            <w:noProof/>
            <w:webHidden/>
          </w:rPr>
          <w:fldChar w:fldCharType="begin"/>
        </w:r>
        <w:r w:rsidR="00836443">
          <w:rPr>
            <w:noProof/>
            <w:webHidden/>
          </w:rPr>
          <w:instrText xml:space="preserve"> PAGEREF _Toc482034922 \h </w:instrText>
        </w:r>
        <w:r w:rsidR="00836443">
          <w:rPr>
            <w:noProof/>
            <w:webHidden/>
          </w:rPr>
        </w:r>
        <w:r w:rsidR="00836443">
          <w:rPr>
            <w:noProof/>
            <w:webHidden/>
          </w:rPr>
          <w:fldChar w:fldCharType="separate"/>
        </w:r>
        <w:r w:rsidR="000B6FA5">
          <w:rPr>
            <w:noProof/>
            <w:webHidden/>
          </w:rPr>
          <w:t>50</w:t>
        </w:r>
        <w:r w:rsidR="00836443">
          <w:rPr>
            <w:noProof/>
            <w:webHidden/>
          </w:rPr>
          <w:fldChar w:fldCharType="end"/>
        </w:r>
      </w:hyperlink>
    </w:p>
    <w:p w14:paraId="10480DBB" w14:textId="77777777" w:rsidR="00836443" w:rsidRDefault="00A2085C">
      <w:pPr>
        <w:pStyle w:val="TableofFigures"/>
        <w:rPr>
          <w:rFonts w:asciiTheme="minorHAnsi" w:eastAsiaTheme="minorEastAsia" w:hAnsiTheme="minorHAnsi" w:cstheme="minorBidi"/>
          <w:noProof/>
          <w:color w:val="auto"/>
          <w:sz w:val="22"/>
        </w:rPr>
      </w:pPr>
      <w:hyperlink w:anchor="_Toc482034923" w:history="1">
        <w:r w:rsidR="00836443" w:rsidRPr="000D3FB8">
          <w:rPr>
            <w:rStyle w:val="Hyperlink"/>
            <w:noProof/>
          </w:rPr>
          <w:t>Figure 5</w:t>
        </w:r>
        <w:r w:rsidR="00836443" w:rsidRPr="000D3FB8">
          <w:rPr>
            <w:rStyle w:val="Hyperlink"/>
            <w:noProof/>
          </w:rPr>
          <w:noBreakHyphen/>
          <w:t>3. Statistical distributions of four predictions relating to the Pilliga Sandstone aquifer and simulated using the revised Gunnedah Basin groundwater flow model: (a) maximum drawdown (MXD); (b) time elapsed at which maximum drawdown occurred (tMXD); (c) number of model cells at which drawdown exceeded two metres (NDD); and (d) maximum vertical flux (MXQ).</w:t>
        </w:r>
        <w:r w:rsidR="00836443">
          <w:rPr>
            <w:noProof/>
            <w:webHidden/>
          </w:rPr>
          <w:tab/>
        </w:r>
        <w:r w:rsidR="00836443">
          <w:rPr>
            <w:noProof/>
            <w:webHidden/>
          </w:rPr>
          <w:fldChar w:fldCharType="begin"/>
        </w:r>
        <w:r w:rsidR="00836443">
          <w:rPr>
            <w:noProof/>
            <w:webHidden/>
          </w:rPr>
          <w:instrText xml:space="preserve"> PAGEREF _Toc482034923 \h </w:instrText>
        </w:r>
        <w:r w:rsidR="00836443">
          <w:rPr>
            <w:noProof/>
            <w:webHidden/>
          </w:rPr>
        </w:r>
        <w:r w:rsidR="00836443">
          <w:rPr>
            <w:noProof/>
            <w:webHidden/>
          </w:rPr>
          <w:fldChar w:fldCharType="separate"/>
        </w:r>
        <w:r w:rsidR="000B6FA5">
          <w:rPr>
            <w:noProof/>
            <w:webHidden/>
          </w:rPr>
          <w:t>50</w:t>
        </w:r>
        <w:r w:rsidR="00836443">
          <w:rPr>
            <w:noProof/>
            <w:webHidden/>
          </w:rPr>
          <w:fldChar w:fldCharType="end"/>
        </w:r>
      </w:hyperlink>
    </w:p>
    <w:p w14:paraId="37438032" w14:textId="77777777" w:rsidR="00836443" w:rsidRDefault="00A2085C">
      <w:pPr>
        <w:pStyle w:val="TableofFigures"/>
        <w:rPr>
          <w:rFonts w:asciiTheme="minorHAnsi" w:eastAsiaTheme="minorEastAsia" w:hAnsiTheme="minorHAnsi" w:cstheme="minorBidi"/>
          <w:noProof/>
          <w:color w:val="auto"/>
          <w:sz w:val="22"/>
        </w:rPr>
      </w:pPr>
      <w:hyperlink w:anchor="_Toc482034924" w:history="1">
        <w:r w:rsidR="00836443" w:rsidRPr="000D3FB8">
          <w:rPr>
            <w:rStyle w:val="Hyperlink"/>
            <w:noProof/>
          </w:rPr>
          <w:t>Figure 5</w:t>
        </w:r>
        <w:r w:rsidR="00836443" w:rsidRPr="000D3FB8">
          <w:rPr>
            <w:rStyle w:val="Hyperlink"/>
            <w:noProof/>
          </w:rPr>
          <w:noBreakHyphen/>
          <w:t>4. Relative rankings of ten parameters used by the revised Gunnedah-Surat basins groundwater flow model (most sensitive = red, second most sensitive = blue, third most sensitive = green; less sensitive parameters are shown in grey) to which the prediction of the magnitude of maximum drawdown in the Pilliga Sandstone aquifer was most sensitive. Parameter rankings were based on two global sensitivity analysis metrics: (a) the Delta Moment-Independent Measure (</w:t>
        </w:r>
        <w:r w:rsidR="00836443" w:rsidRPr="000D3FB8">
          <w:rPr>
            <w:rStyle w:val="Hyperlink"/>
            <w:i/>
            <w:noProof/>
          </w:rPr>
          <w:t>δ</w:t>
        </w:r>
        <w:r w:rsidR="00836443" w:rsidRPr="000D3FB8">
          <w:rPr>
            <w:rStyle w:val="Hyperlink"/>
            <w:noProof/>
          </w:rPr>
          <w:t>; Plischke et al., 2013) and (b) the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sizes used as the basis for metric computation ranged from 200 to 300 model runs.</w:t>
        </w:r>
        <w:r w:rsidR="00836443">
          <w:rPr>
            <w:noProof/>
            <w:webHidden/>
          </w:rPr>
          <w:tab/>
        </w:r>
        <w:r w:rsidR="00836443">
          <w:rPr>
            <w:noProof/>
            <w:webHidden/>
          </w:rPr>
          <w:fldChar w:fldCharType="begin"/>
        </w:r>
        <w:r w:rsidR="00836443">
          <w:rPr>
            <w:noProof/>
            <w:webHidden/>
          </w:rPr>
          <w:instrText xml:space="preserve"> PAGEREF _Toc482034924 \h </w:instrText>
        </w:r>
        <w:r w:rsidR="00836443">
          <w:rPr>
            <w:noProof/>
            <w:webHidden/>
          </w:rPr>
        </w:r>
        <w:r w:rsidR="00836443">
          <w:rPr>
            <w:noProof/>
            <w:webHidden/>
          </w:rPr>
          <w:fldChar w:fldCharType="separate"/>
        </w:r>
        <w:r w:rsidR="000B6FA5">
          <w:rPr>
            <w:noProof/>
            <w:webHidden/>
          </w:rPr>
          <w:t>51</w:t>
        </w:r>
        <w:r w:rsidR="00836443">
          <w:rPr>
            <w:noProof/>
            <w:webHidden/>
          </w:rPr>
          <w:fldChar w:fldCharType="end"/>
        </w:r>
      </w:hyperlink>
    </w:p>
    <w:p w14:paraId="3399E006" w14:textId="77777777" w:rsidR="00836443" w:rsidRDefault="00A2085C">
      <w:pPr>
        <w:pStyle w:val="TableofFigures"/>
        <w:rPr>
          <w:rFonts w:asciiTheme="minorHAnsi" w:eastAsiaTheme="minorEastAsia" w:hAnsiTheme="minorHAnsi" w:cstheme="minorBidi"/>
          <w:noProof/>
          <w:color w:val="auto"/>
          <w:sz w:val="22"/>
        </w:rPr>
      </w:pPr>
      <w:hyperlink w:anchor="_Toc482034925" w:history="1">
        <w:r w:rsidR="00836443" w:rsidRPr="000D3FB8">
          <w:rPr>
            <w:rStyle w:val="Hyperlink"/>
            <w:noProof/>
          </w:rPr>
          <w:t>Figure 5</w:t>
        </w:r>
        <w:r w:rsidR="00836443" w:rsidRPr="000D3FB8">
          <w:rPr>
            <w:rStyle w:val="Hyperlink"/>
            <w:noProof/>
          </w:rPr>
          <w:noBreakHyphen/>
          <w:t>5 Global sensitivity analysis metrics of 20 model parameters in relation to maximum drawdown. (a) Delta Moment-Independent Measure (</w:t>
        </w:r>
        <w:r w:rsidR="00836443" w:rsidRPr="000D3FB8">
          <w:rPr>
            <w:rStyle w:val="Hyperlink"/>
            <w:i/>
            <w:noProof/>
          </w:rPr>
          <w:t>δ</w:t>
        </w:r>
        <w:r w:rsidR="00836443" w:rsidRPr="000D3FB8">
          <w:rPr>
            <w:rStyle w:val="Hyperlink"/>
            <w:noProof/>
          </w:rPr>
          <w:t>; Plischke et al., 2013) and (b)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 for metric computation was 300 model runs.</w:t>
        </w:r>
        <w:r w:rsidR="00836443">
          <w:rPr>
            <w:noProof/>
            <w:webHidden/>
          </w:rPr>
          <w:tab/>
        </w:r>
        <w:r w:rsidR="00836443">
          <w:rPr>
            <w:noProof/>
            <w:webHidden/>
          </w:rPr>
          <w:fldChar w:fldCharType="begin"/>
        </w:r>
        <w:r w:rsidR="00836443">
          <w:rPr>
            <w:noProof/>
            <w:webHidden/>
          </w:rPr>
          <w:instrText xml:space="preserve"> PAGEREF _Toc482034925 \h </w:instrText>
        </w:r>
        <w:r w:rsidR="00836443">
          <w:rPr>
            <w:noProof/>
            <w:webHidden/>
          </w:rPr>
        </w:r>
        <w:r w:rsidR="00836443">
          <w:rPr>
            <w:noProof/>
            <w:webHidden/>
          </w:rPr>
          <w:fldChar w:fldCharType="separate"/>
        </w:r>
        <w:r w:rsidR="000B6FA5">
          <w:rPr>
            <w:noProof/>
            <w:webHidden/>
          </w:rPr>
          <w:t>52</w:t>
        </w:r>
        <w:r w:rsidR="00836443">
          <w:rPr>
            <w:noProof/>
            <w:webHidden/>
          </w:rPr>
          <w:fldChar w:fldCharType="end"/>
        </w:r>
      </w:hyperlink>
    </w:p>
    <w:p w14:paraId="31340233" w14:textId="77777777" w:rsidR="00836443" w:rsidRDefault="00A2085C">
      <w:pPr>
        <w:pStyle w:val="TableofFigures"/>
        <w:rPr>
          <w:rFonts w:asciiTheme="minorHAnsi" w:eastAsiaTheme="minorEastAsia" w:hAnsiTheme="minorHAnsi" w:cstheme="minorBidi"/>
          <w:noProof/>
          <w:color w:val="auto"/>
          <w:sz w:val="22"/>
        </w:rPr>
      </w:pPr>
      <w:hyperlink w:anchor="_Toc482034926" w:history="1">
        <w:r w:rsidR="00836443" w:rsidRPr="000D3FB8">
          <w:rPr>
            <w:rStyle w:val="Hyperlink"/>
            <w:noProof/>
          </w:rPr>
          <w:t>Figure 5</w:t>
        </w:r>
        <w:r w:rsidR="00836443" w:rsidRPr="000D3FB8">
          <w:rPr>
            <w:rStyle w:val="Hyperlink"/>
            <w:noProof/>
          </w:rPr>
          <w:noBreakHyphen/>
          <w:t>6. Relative rankings of ten parameters used by the revised Gunnedah-Surat basins groundwater flow model (most sensitive = red, second most sensitive = blue, third most sensitive = green; less sensitive parameters are shown in grey) to which the prediction of the timing of maximum drawdown in the Pilliga Sandstone aquifer was most sensitive. Parameter rankings were based on two global sensitivity analysis metrics: (a) the Delta Moment-Independent Measure (</w:t>
        </w:r>
        <w:r w:rsidR="00836443" w:rsidRPr="000D3FB8">
          <w:rPr>
            <w:rStyle w:val="Hyperlink"/>
            <w:i/>
            <w:noProof/>
          </w:rPr>
          <w:t>δ</w:t>
        </w:r>
        <w:r w:rsidR="00836443" w:rsidRPr="000D3FB8">
          <w:rPr>
            <w:rStyle w:val="Hyperlink"/>
            <w:noProof/>
          </w:rPr>
          <w:t>; Plischke et al., 2013) and (b) the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w:t>
        </w:r>
        <w:r w:rsidR="00836443">
          <w:rPr>
            <w:noProof/>
            <w:webHidden/>
          </w:rPr>
          <w:tab/>
        </w:r>
        <w:r w:rsidR="00836443">
          <w:rPr>
            <w:noProof/>
            <w:webHidden/>
          </w:rPr>
          <w:fldChar w:fldCharType="begin"/>
        </w:r>
        <w:r w:rsidR="00836443">
          <w:rPr>
            <w:noProof/>
            <w:webHidden/>
          </w:rPr>
          <w:instrText xml:space="preserve"> PAGEREF _Toc482034926 \h </w:instrText>
        </w:r>
        <w:r w:rsidR="00836443">
          <w:rPr>
            <w:noProof/>
            <w:webHidden/>
          </w:rPr>
        </w:r>
        <w:r w:rsidR="00836443">
          <w:rPr>
            <w:noProof/>
            <w:webHidden/>
          </w:rPr>
          <w:fldChar w:fldCharType="separate"/>
        </w:r>
        <w:r w:rsidR="000B6FA5">
          <w:rPr>
            <w:noProof/>
            <w:webHidden/>
          </w:rPr>
          <w:t>52</w:t>
        </w:r>
        <w:r w:rsidR="00836443">
          <w:rPr>
            <w:noProof/>
            <w:webHidden/>
          </w:rPr>
          <w:fldChar w:fldCharType="end"/>
        </w:r>
      </w:hyperlink>
    </w:p>
    <w:p w14:paraId="334524F6" w14:textId="77777777" w:rsidR="00836443" w:rsidRDefault="00A2085C">
      <w:pPr>
        <w:pStyle w:val="TableofFigures"/>
        <w:rPr>
          <w:rFonts w:asciiTheme="minorHAnsi" w:eastAsiaTheme="minorEastAsia" w:hAnsiTheme="minorHAnsi" w:cstheme="minorBidi"/>
          <w:noProof/>
          <w:color w:val="auto"/>
          <w:sz w:val="22"/>
        </w:rPr>
      </w:pPr>
      <w:hyperlink w:anchor="_Toc482034927" w:history="1">
        <w:r w:rsidR="00836443" w:rsidRPr="000D3FB8">
          <w:rPr>
            <w:rStyle w:val="Hyperlink"/>
            <w:noProof/>
          </w:rPr>
          <w:t>Figure 5</w:t>
        </w:r>
        <w:r w:rsidR="00836443" w:rsidRPr="000D3FB8">
          <w:rPr>
            <w:rStyle w:val="Hyperlink"/>
            <w:noProof/>
          </w:rPr>
          <w:noBreakHyphen/>
          <w:t>7 Global sensitivity analysis metrics of 20 model parameters in relation to time to maximum drawdown. (a) Delta Moment-Independent Measure (</w:t>
        </w:r>
        <w:r w:rsidR="00836443" w:rsidRPr="000D3FB8">
          <w:rPr>
            <w:rStyle w:val="Hyperlink"/>
            <w:i/>
            <w:noProof/>
          </w:rPr>
          <w:t>δ</w:t>
        </w:r>
        <w:r w:rsidR="00836443" w:rsidRPr="000D3FB8">
          <w:rPr>
            <w:rStyle w:val="Hyperlink"/>
            <w:noProof/>
          </w:rPr>
          <w:t>; Plischke et al., 2013) and (b)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 for metric computation is 300 model runs.</w:t>
        </w:r>
        <w:r w:rsidR="00836443">
          <w:rPr>
            <w:noProof/>
            <w:webHidden/>
          </w:rPr>
          <w:tab/>
        </w:r>
        <w:r w:rsidR="00836443">
          <w:rPr>
            <w:noProof/>
            <w:webHidden/>
          </w:rPr>
          <w:fldChar w:fldCharType="begin"/>
        </w:r>
        <w:r w:rsidR="00836443">
          <w:rPr>
            <w:noProof/>
            <w:webHidden/>
          </w:rPr>
          <w:instrText xml:space="preserve"> PAGEREF _Toc482034927 \h </w:instrText>
        </w:r>
        <w:r w:rsidR="00836443">
          <w:rPr>
            <w:noProof/>
            <w:webHidden/>
          </w:rPr>
        </w:r>
        <w:r w:rsidR="00836443">
          <w:rPr>
            <w:noProof/>
            <w:webHidden/>
          </w:rPr>
          <w:fldChar w:fldCharType="separate"/>
        </w:r>
        <w:r w:rsidR="000B6FA5">
          <w:rPr>
            <w:noProof/>
            <w:webHidden/>
          </w:rPr>
          <w:t>53</w:t>
        </w:r>
        <w:r w:rsidR="00836443">
          <w:rPr>
            <w:noProof/>
            <w:webHidden/>
          </w:rPr>
          <w:fldChar w:fldCharType="end"/>
        </w:r>
      </w:hyperlink>
    </w:p>
    <w:p w14:paraId="7EA7C150" w14:textId="77777777" w:rsidR="00836443" w:rsidRDefault="00A2085C">
      <w:pPr>
        <w:pStyle w:val="TableofFigures"/>
        <w:rPr>
          <w:rFonts w:asciiTheme="minorHAnsi" w:eastAsiaTheme="minorEastAsia" w:hAnsiTheme="minorHAnsi" w:cstheme="minorBidi"/>
          <w:noProof/>
          <w:color w:val="auto"/>
          <w:sz w:val="22"/>
        </w:rPr>
      </w:pPr>
      <w:hyperlink w:anchor="_Toc482034928" w:history="1">
        <w:r w:rsidR="00836443" w:rsidRPr="000D3FB8">
          <w:rPr>
            <w:rStyle w:val="Hyperlink"/>
            <w:noProof/>
          </w:rPr>
          <w:t>Figure 5</w:t>
        </w:r>
        <w:r w:rsidR="00836443" w:rsidRPr="000D3FB8">
          <w:rPr>
            <w:rStyle w:val="Hyperlink"/>
            <w:noProof/>
          </w:rPr>
          <w:noBreakHyphen/>
          <w:t>8. Relative rankings of ten parameters used by the revised Gunnedah-Surat basins groundwater flow model (most sensitive = red, second most sensitive = blue, third most sensitive = green; less sensitive parameters are shown in grey) to which the prediction of drawdown spatial extent in the Pilliga Sandstone aquifer was most sensitive. Parameter rankings were based on two global sensitivity analysis metrics: (a) the Delta Moment-Independent Measure (</w:t>
        </w:r>
        <w:r w:rsidR="00836443" w:rsidRPr="000D3FB8">
          <w:rPr>
            <w:rStyle w:val="Hyperlink"/>
            <w:i/>
            <w:noProof/>
          </w:rPr>
          <w:t>δ</w:t>
        </w:r>
        <w:r w:rsidR="00836443" w:rsidRPr="000D3FB8">
          <w:rPr>
            <w:rStyle w:val="Hyperlink"/>
            <w:noProof/>
          </w:rPr>
          <w:t>; Plischke et al., 2013) and (b) the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w:t>
        </w:r>
        <w:r w:rsidR="00836443">
          <w:rPr>
            <w:noProof/>
            <w:webHidden/>
          </w:rPr>
          <w:tab/>
        </w:r>
        <w:r w:rsidR="00836443">
          <w:rPr>
            <w:noProof/>
            <w:webHidden/>
          </w:rPr>
          <w:fldChar w:fldCharType="begin"/>
        </w:r>
        <w:r w:rsidR="00836443">
          <w:rPr>
            <w:noProof/>
            <w:webHidden/>
          </w:rPr>
          <w:instrText xml:space="preserve"> PAGEREF _Toc482034928 \h </w:instrText>
        </w:r>
        <w:r w:rsidR="00836443">
          <w:rPr>
            <w:noProof/>
            <w:webHidden/>
          </w:rPr>
        </w:r>
        <w:r w:rsidR="00836443">
          <w:rPr>
            <w:noProof/>
            <w:webHidden/>
          </w:rPr>
          <w:fldChar w:fldCharType="separate"/>
        </w:r>
        <w:r w:rsidR="000B6FA5">
          <w:rPr>
            <w:noProof/>
            <w:webHidden/>
          </w:rPr>
          <w:t>54</w:t>
        </w:r>
        <w:r w:rsidR="00836443">
          <w:rPr>
            <w:noProof/>
            <w:webHidden/>
          </w:rPr>
          <w:fldChar w:fldCharType="end"/>
        </w:r>
      </w:hyperlink>
    </w:p>
    <w:p w14:paraId="04B01300" w14:textId="77777777" w:rsidR="00836443" w:rsidRDefault="00A2085C">
      <w:pPr>
        <w:pStyle w:val="TableofFigures"/>
        <w:rPr>
          <w:rFonts w:asciiTheme="minorHAnsi" w:eastAsiaTheme="minorEastAsia" w:hAnsiTheme="minorHAnsi" w:cstheme="minorBidi"/>
          <w:noProof/>
          <w:color w:val="auto"/>
          <w:sz w:val="22"/>
        </w:rPr>
      </w:pPr>
      <w:hyperlink w:anchor="_Toc482034929" w:history="1">
        <w:r w:rsidR="00836443" w:rsidRPr="000D3FB8">
          <w:rPr>
            <w:rStyle w:val="Hyperlink"/>
            <w:noProof/>
          </w:rPr>
          <w:t>Figure 5</w:t>
        </w:r>
        <w:r w:rsidR="00836443" w:rsidRPr="000D3FB8">
          <w:rPr>
            <w:rStyle w:val="Hyperlink"/>
            <w:noProof/>
          </w:rPr>
          <w:noBreakHyphen/>
          <w:t>9 Global sensitivity analysis metrics of 20 model parameters in relation to spatial extent of maximum drawdown. (a) Delta Moment-Independent Measure (</w:t>
        </w:r>
        <w:r w:rsidR="00836443" w:rsidRPr="000D3FB8">
          <w:rPr>
            <w:rStyle w:val="Hyperlink"/>
            <w:i/>
            <w:noProof/>
          </w:rPr>
          <w:t>δ</w:t>
        </w:r>
        <w:r w:rsidR="00836443" w:rsidRPr="000D3FB8">
          <w:rPr>
            <w:rStyle w:val="Hyperlink"/>
            <w:noProof/>
          </w:rPr>
          <w:t>; Plischke et al., 2013) and (b)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 for metric computation is 300 model runs.</w:t>
        </w:r>
        <w:r w:rsidR="00836443">
          <w:rPr>
            <w:noProof/>
            <w:webHidden/>
          </w:rPr>
          <w:tab/>
        </w:r>
        <w:r w:rsidR="00836443">
          <w:rPr>
            <w:noProof/>
            <w:webHidden/>
          </w:rPr>
          <w:fldChar w:fldCharType="begin"/>
        </w:r>
        <w:r w:rsidR="00836443">
          <w:rPr>
            <w:noProof/>
            <w:webHidden/>
          </w:rPr>
          <w:instrText xml:space="preserve"> PAGEREF _Toc482034929 \h </w:instrText>
        </w:r>
        <w:r w:rsidR="00836443">
          <w:rPr>
            <w:noProof/>
            <w:webHidden/>
          </w:rPr>
        </w:r>
        <w:r w:rsidR="00836443">
          <w:rPr>
            <w:noProof/>
            <w:webHidden/>
          </w:rPr>
          <w:fldChar w:fldCharType="separate"/>
        </w:r>
        <w:r w:rsidR="000B6FA5">
          <w:rPr>
            <w:noProof/>
            <w:webHidden/>
          </w:rPr>
          <w:t>54</w:t>
        </w:r>
        <w:r w:rsidR="00836443">
          <w:rPr>
            <w:noProof/>
            <w:webHidden/>
          </w:rPr>
          <w:fldChar w:fldCharType="end"/>
        </w:r>
      </w:hyperlink>
    </w:p>
    <w:p w14:paraId="71D5A111" w14:textId="77777777" w:rsidR="00836443" w:rsidRDefault="00A2085C">
      <w:pPr>
        <w:pStyle w:val="TableofFigures"/>
        <w:rPr>
          <w:rFonts w:asciiTheme="minorHAnsi" w:eastAsiaTheme="minorEastAsia" w:hAnsiTheme="minorHAnsi" w:cstheme="minorBidi"/>
          <w:noProof/>
          <w:color w:val="auto"/>
          <w:sz w:val="22"/>
        </w:rPr>
      </w:pPr>
      <w:hyperlink w:anchor="_Toc482034930" w:history="1">
        <w:r w:rsidR="00836443" w:rsidRPr="000D3FB8">
          <w:rPr>
            <w:rStyle w:val="Hyperlink"/>
            <w:noProof/>
          </w:rPr>
          <w:t>Figure 5</w:t>
        </w:r>
        <w:r w:rsidR="00836443" w:rsidRPr="000D3FB8">
          <w:rPr>
            <w:rStyle w:val="Hyperlink"/>
            <w:noProof/>
          </w:rPr>
          <w:noBreakHyphen/>
          <w:t>10. Relative rankings of ten parameters used by the revised Gunnedah-Surat basins groundwater flow model (most sensitive = red, second most sensitive = blue, third most sensitive = green; less sensitive parameters are shown in grey) to which the prediction of the maximum change in vertical flux in the Pilliga Sandstone aquifer was most sensitive. Parameter rankings were based on two global sensitivity analysis metrics: (a) the Delta Moment-Independent Measure (</w:t>
        </w:r>
        <w:r w:rsidR="00836443" w:rsidRPr="000D3FB8">
          <w:rPr>
            <w:rStyle w:val="Hyperlink"/>
            <w:i/>
            <w:noProof/>
          </w:rPr>
          <w:t>δ</w:t>
        </w:r>
        <w:r w:rsidR="00836443" w:rsidRPr="000D3FB8">
          <w:rPr>
            <w:rStyle w:val="Hyperlink"/>
            <w:noProof/>
          </w:rPr>
          <w:t>; Plischke et al., 2013) and (b) the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w:t>
        </w:r>
        <w:r w:rsidR="00836443">
          <w:rPr>
            <w:noProof/>
            <w:webHidden/>
          </w:rPr>
          <w:tab/>
        </w:r>
        <w:r w:rsidR="00836443">
          <w:rPr>
            <w:noProof/>
            <w:webHidden/>
          </w:rPr>
          <w:fldChar w:fldCharType="begin"/>
        </w:r>
        <w:r w:rsidR="00836443">
          <w:rPr>
            <w:noProof/>
            <w:webHidden/>
          </w:rPr>
          <w:instrText xml:space="preserve"> PAGEREF _Toc482034930 \h </w:instrText>
        </w:r>
        <w:r w:rsidR="00836443">
          <w:rPr>
            <w:noProof/>
            <w:webHidden/>
          </w:rPr>
        </w:r>
        <w:r w:rsidR="00836443">
          <w:rPr>
            <w:noProof/>
            <w:webHidden/>
          </w:rPr>
          <w:fldChar w:fldCharType="separate"/>
        </w:r>
        <w:r w:rsidR="000B6FA5">
          <w:rPr>
            <w:noProof/>
            <w:webHidden/>
          </w:rPr>
          <w:t>55</w:t>
        </w:r>
        <w:r w:rsidR="00836443">
          <w:rPr>
            <w:noProof/>
            <w:webHidden/>
          </w:rPr>
          <w:fldChar w:fldCharType="end"/>
        </w:r>
      </w:hyperlink>
    </w:p>
    <w:p w14:paraId="2B91009D" w14:textId="77777777" w:rsidR="00836443" w:rsidRDefault="00A2085C">
      <w:pPr>
        <w:pStyle w:val="TableofFigures"/>
        <w:rPr>
          <w:rFonts w:asciiTheme="minorHAnsi" w:eastAsiaTheme="minorEastAsia" w:hAnsiTheme="minorHAnsi" w:cstheme="minorBidi"/>
          <w:noProof/>
          <w:color w:val="auto"/>
          <w:sz w:val="22"/>
        </w:rPr>
      </w:pPr>
      <w:hyperlink w:anchor="_Toc482034931" w:history="1">
        <w:r w:rsidR="00836443" w:rsidRPr="000D3FB8">
          <w:rPr>
            <w:rStyle w:val="Hyperlink"/>
            <w:noProof/>
          </w:rPr>
          <w:t>Figure 5</w:t>
        </w:r>
        <w:r w:rsidR="00836443" w:rsidRPr="000D3FB8">
          <w:rPr>
            <w:rStyle w:val="Hyperlink"/>
            <w:noProof/>
          </w:rPr>
          <w:noBreakHyphen/>
          <w:t>11 Global sensitivity analysis metrics of 20 model parameters in relation to maximum vertical flux. (a) Delta Moment-Independent Measure (</w:t>
        </w:r>
        <w:r w:rsidR="00836443" w:rsidRPr="000D3FB8">
          <w:rPr>
            <w:rStyle w:val="Hyperlink"/>
            <w:i/>
            <w:noProof/>
          </w:rPr>
          <w:t>δ</w:t>
        </w:r>
        <w:r w:rsidR="00836443" w:rsidRPr="000D3FB8">
          <w:rPr>
            <w:rStyle w:val="Hyperlink"/>
            <w:noProof/>
          </w:rPr>
          <w:t>; Plischke et al., 2013) and (b) first order Sobol’ metric (</w:t>
        </w:r>
        <w:r w:rsidR="00836443" w:rsidRPr="000D3FB8">
          <w:rPr>
            <w:rStyle w:val="Hyperlink"/>
            <w:i/>
            <w:noProof/>
          </w:rPr>
          <w:t>S</w:t>
        </w:r>
        <w:r w:rsidR="00836443" w:rsidRPr="000D3FB8">
          <w:rPr>
            <w:rStyle w:val="Hyperlink"/>
            <w:noProof/>
            <w:vertAlign w:val="subscript"/>
          </w:rPr>
          <w:t>1</w:t>
        </w:r>
        <w:r w:rsidR="00836443" w:rsidRPr="000D3FB8">
          <w:rPr>
            <w:rStyle w:val="Hyperlink"/>
            <w:noProof/>
          </w:rPr>
          <w:t>; Sobol’, 2001). Sample size for metric computation is 300 model runs.</w:t>
        </w:r>
        <w:r w:rsidR="00836443">
          <w:rPr>
            <w:noProof/>
            <w:webHidden/>
          </w:rPr>
          <w:tab/>
        </w:r>
        <w:r w:rsidR="00836443">
          <w:rPr>
            <w:noProof/>
            <w:webHidden/>
          </w:rPr>
          <w:fldChar w:fldCharType="begin"/>
        </w:r>
        <w:r w:rsidR="00836443">
          <w:rPr>
            <w:noProof/>
            <w:webHidden/>
          </w:rPr>
          <w:instrText xml:space="preserve"> PAGEREF _Toc482034931 \h </w:instrText>
        </w:r>
        <w:r w:rsidR="00836443">
          <w:rPr>
            <w:noProof/>
            <w:webHidden/>
          </w:rPr>
        </w:r>
        <w:r w:rsidR="00836443">
          <w:rPr>
            <w:noProof/>
            <w:webHidden/>
          </w:rPr>
          <w:fldChar w:fldCharType="separate"/>
        </w:r>
        <w:r w:rsidR="000B6FA5">
          <w:rPr>
            <w:noProof/>
            <w:webHidden/>
          </w:rPr>
          <w:t>56</w:t>
        </w:r>
        <w:r w:rsidR="00836443">
          <w:rPr>
            <w:noProof/>
            <w:webHidden/>
          </w:rPr>
          <w:fldChar w:fldCharType="end"/>
        </w:r>
      </w:hyperlink>
    </w:p>
    <w:p w14:paraId="74D14F30" w14:textId="77777777" w:rsidR="00836443" w:rsidRDefault="00A2085C">
      <w:pPr>
        <w:pStyle w:val="TableofFigures"/>
        <w:rPr>
          <w:rFonts w:asciiTheme="minorHAnsi" w:eastAsiaTheme="minorEastAsia" w:hAnsiTheme="minorHAnsi" w:cstheme="minorBidi"/>
          <w:noProof/>
          <w:color w:val="auto"/>
          <w:sz w:val="22"/>
        </w:rPr>
      </w:pPr>
      <w:hyperlink w:anchor="_Toc482034932" w:history="1">
        <w:r w:rsidR="00836443" w:rsidRPr="000D3FB8">
          <w:rPr>
            <w:rStyle w:val="Hyperlink"/>
            <w:noProof/>
          </w:rPr>
          <w:t>Figure 5</w:t>
        </w:r>
        <w:r w:rsidR="00836443" w:rsidRPr="000D3FB8">
          <w:rPr>
            <w:rStyle w:val="Hyperlink"/>
            <w:noProof/>
          </w:rPr>
          <w:noBreakHyphen/>
          <w:t>12. (a) Cumulative density function and (b) frequency histogram of initial (black) and revised (red) predictions of the magnitude of maximum drawdown, based on a sample size of 300 model runs.</w:t>
        </w:r>
        <w:r w:rsidR="00836443">
          <w:rPr>
            <w:noProof/>
            <w:webHidden/>
          </w:rPr>
          <w:tab/>
        </w:r>
        <w:r w:rsidR="00836443">
          <w:rPr>
            <w:noProof/>
            <w:webHidden/>
          </w:rPr>
          <w:fldChar w:fldCharType="begin"/>
        </w:r>
        <w:r w:rsidR="00836443">
          <w:rPr>
            <w:noProof/>
            <w:webHidden/>
          </w:rPr>
          <w:instrText xml:space="preserve"> PAGEREF _Toc482034932 \h </w:instrText>
        </w:r>
        <w:r w:rsidR="00836443">
          <w:rPr>
            <w:noProof/>
            <w:webHidden/>
          </w:rPr>
        </w:r>
        <w:r w:rsidR="00836443">
          <w:rPr>
            <w:noProof/>
            <w:webHidden/>
          </w:rPr>
          <w:fldChar w:fldCharType="separate"/>
        </w:r>
        <w:r w:rsidR="000B6FA5">
          <w:rPr>
            <w:noProof/>
            <w:webHidden/>
          </w:rPr>
          <w:t>57</w:t>
        </w:r>
        <w:r w:rsidR="00836443">
          <w:rPr>
            <w:noProof/>
            <w:webHidden/>
          </w:rPr>
          <w:fldChar w:fldCharType="end"/>
        </w:r>
      </w:hyperlink>
    </w:p>
    <w:p w14:paraId="1CD7E192" w14:textId="77777777" w:rsidR="00836443" w:rsidRDefault="00A2085C">
      <w:pPr>
        <w:pStyle w:val="TableofFigures"/>
        <w:rPr>
          <w:rFonts w:asciiTheme="minorHAnsi" w:eastAsiaTheme="minorEastAsia" w:hAnsiTheme="minorHAnsi" w:cstheme="minorBidi"/>
          <w:noProof/>
          <w:color w:val="auto"/>
          <w:sz w:val="22"/>
        </w:rPr>
      </w:pPr>
      <w:hyperlink w:anchor="_Toc482034933" w:history="1">
        <w:r w:rsidR="00836443" w:rsidRPr="000D3FB8">
          <w:rPr>
            <w:rStyle w:val="Hyperlink"/>
            <w:noProof/>
          </w:rPr>
          <w:t>Figure 5</w:t>
        </w:r>
        <w:r w:rsidR="00836443" w:rsidRPr="000D3FB8">
          <w:rPr>
            <w:rStyle w:val="Hyperlink"/>
            <w:noProof/>
          </w:rPr>
          <w:noBreakHyphen/>
          <w:t>13. (a) Cumulative density function and (b) frequency histogram of initial (black) and revised (red) predictions of the timing of maximum drawdown, based on a sample size of 300 model runs.</w:t>
        </w:r>
        <w:r w:rsidR="00836443">
          <w:rPr>
            <w:noProof/>
            <w:webHidden/>
          </w:rPr>
          <w:tab/>
        </w:r>
        <w:r w:rsidR="00836443">
          <w:rPr>
            <w:noProof/>
            <w:webHidden/>
          </w:rPr>
          <w:fldChar w:fldCharType="begin"/>
        </w:r>
        <w:r w:rsidR="00836443">
          <w:rPr>
            <w:noProof/>
            <w:webHidden/>
          </w:rPr>
          <w:instrText xml:space="preserve"> PAGEREF _Toc482034933 \h </w:instrText>
        </w:r>
        <w:r w:rsidR="00836443">
          <w:rPr>
            <w:noProof/>
            <w:webHidden/>
          </w:rPr>
        </w:r>
        <w:r w:rsidR="00836443">
          <w:rPr>
            <w:noProof/>
            <w:webHidden/>
          </w:rPr>
          <w:fldChar w:fldCharType="separate"/>
        </w:r>
        <w:r w:rsidR="000B6FA5">
          <w:rPr>
            <w:noProof/>
            <w:webHidden/>
          </w:rPr>
          <w:t>58</w:t>
        </w:r>
        <w:r w:rsidR="00836443">
          <w:rPr>
            <w:noProof/>
            <w:webHidden/>
          </w:rPr>
          <w:fldChar w:fldCharType="end"/>
        </w:r>
      </w:hyperlink>
    </w:p>
    <w:p w14:paraId="20F55EB4" w14:textId="77777777" w:rsidR="00836443" w:rsidRDefault="00A2085C">
      <w:pPr>
        <w:pStyle w:val="TableofFigures"/>
        <w:rPr>
          <w:rFonts w:asciiTheme="minorHAnsi" w:eastAsiaTheme="minorEastAsia" w:hAnsiTheme="minorHAnsi" w:cstheme="minorBidi"/>
          <w:noProof/>
          <w:color w:val="auto"/>
          <w:sz w:val="22"/>
        </w:rPr>
      </w:pPr>
      <w:hyperlink w:anchor="_Toc482034934" w:history="1">
        <w:r w:rsidR="00836443" w:rsidRPr="000D3FB8">
          <w:rPr>
            <w:rStyle w:val="Hyperlink"/>
            <w:noProof/>
          </w:rPr>
          <w:t>Figure 5</w:t>
        </w:r>
        <w:r w:rsidR="00836443" w:rsidRPr="000D3FB8">
          <w:rPr>
            <w:rStyle w:val="Hyperlink"/>
            <w:noProof/>
          </w:rPr>
          <w:noBreakHyphen/>
          <w:t>14. (a) Cumulative density function and (b) frequency histogram of initial (black) and revised (red) predictions of the spatial extent of drawdown in excess of 2 m, based on a sample size of 300 model runs.</w:t>
        </w:r>
        <w:r w:rsidR="00836443">
          <w:rPr>
            <w:noProof/>
            <w:webHidden/>
          </w:rPr>
          <w:tab/>
        </w:r>
        <w:r w:rsidR="00836443">
          <w:rPr>
            <w:noProof/>
            <w:webHidden/>
          </w:rPr>
          <w:fldChar w:fldCharType="begin"/>
        </w:r>
        <w:r w:rsidR="00836443">
          <w:rPr>
            <w:noProof/>
            <w:webHidden/>
          </w:rPr>
          <w:instrText xml:space="preserve"> PAGEREF _Toc482034934 \h </w:instrText>
        </w:r>
        <w:r w:rsidR="00836443">
          <w:rPr>
            <w:noProof/>
            <w:webHidden/>
          </w:rPr>
        </w:r>
        <w:r w:rsidR="00836443">
          <w:rPr>
            <w:noProof/>
            <w:webHidden/>
          </w:rPr>
          <w:fldChar w:fldCharType="separate"/>
        </w:r>
        <w:r w:rsidR="000B6FA5">
          <w:rPr>
            <w:noProof/>
            <w:webHidden/>
          </w:rPr>
          <w:t>59</w:t>
        </w:r>
        <w:r w:rsidR="00836443">
          <w:rPr>
            <w:noProof/>
            <w:webHidden/>
          </w:rPr>
          <w:fldChar w:fldCharType="end"/>
        </w:r>
      </w:hyperlink>
    </w:p>
    <w:p w14:paraId="003EEFDE" w14:textId="77777777" w:rsidR="00836443" w:rsidRDefault="00A2085C">
      <w:pPr>
        <w:pStyle w:val="TableofFigures"/>
        <w:rPr>
          <w:rFonts w:asciiTheme="minorHAnsi" w:eastAsiaTheme="minorEastAsia" w:hAnsiTheme="minorHAnsi" w:cstheme="minorBidi"/>
          <w:noProof/>
          <w:color w:val="auto"/>
          <w:sz w:val="22"/>
        </w:rPr>
      </w:pPr>
      <w:hyperlink w:anchor="_Toc482034935" w:history="1">
        <w:r w:rsidR="00836443" w:rsidRPr="000D3FB8">
          <w:rPr>
            <w:rStyle w:val="Hyperlink"/>
            <w:noProof/>
          </w:rPr>
          <w:t>Figure 5</w:t>
        </w:r>
        <w:r w:rsidR="00836443" w:rsidRPr="000D3FB8">
          <w:rPr>
            <w:rStyle w:val="Hyperlink"/>
            <w:noProof/>
          </w:rPr>
          <w:noBreakHyphen/>
          <w:t>15. Percentiles of spatial distributions of drawdown (solid black lines), observed at the median time of maximum drawdown (i.e., 155 years after the cessation of coal seam gas extraction); purple = Pilliga Sandstone aquifer cells; blue = upper aquitard sequence cells. Percentiles shown are (a) 90</w:t>
        </w:r>
        <w:r w:rsidR="00836443" w:rsidRPr="000D3FB8">
          <w:rPr>
            <w:rStyle w:val="Hyperlink"/>
            <w:noProof/>
            <w:vertAlign w:val="superscript"/>
          </w:rPr>
          <w:t>th</w:t>
        </w:r>
        <w:r w:rsidR="00836443" w:rsidRPr="000D3FB8">
          <w:rPr>
            <w:rStyle w:val="Hyperlink"/>
            <w:noProof/>
          </w:rPr>
          <w:t>, (b) 95</w:t>
        </w:r>
        <w:r w:rsidR="00836443" w:rsidRPr="000D3FB8">
          <w:rPr>
            <w:rStyle w:val="Hyperlink"/>
            <w:noProof/>
            <w:vertAlign w:val="superscript"/>
          </w:rPr>
          <w:t>th</w:t>
        </w:r>
        <w:r w:rsidR="00836443" w:rsidRPr="000D3FB8">
          <w:rPr>
            <w:rStyle w:val="Hyperlink"/>
            <w:noProof/>
          </w:rPr>
          <w:t xml:space="preserve"> and (c) 99</w:t>
        </w:r>
        <w:r w:rsidR="00836443" w:rsidRPr="000D3FB8">
          <w:rPr>
            <w:rStyle w:val="Hyperlink"/>
            <w:noProof/>
            <w:vertAlign w:val="superscript"/>
          </w:rPr>
          <w:t>th</w:t>
        </w:r>
        <w:r w:rsidR="00836443" w:rsidRPr="000D3FB8">
          <w:rPr>
            <w:rStyle w:val="Hyperlink"/>
            <w:noProof/>
          </w:rPr>
          <w:t>. Distributions are based on a set of 300 model runs using the ‘revised’ model.</w:t>
        </w:r>
        <w:r w:rsidR="00836443">
          <w:rPr>
            <w:noProof/>
            <w:webHidden/>
          </w:rPr>
          <w:tab/>
        </w:r>
        <w:r w:rsidR="00836443">
          <w:rPr>
            <w:noProof/>
            <w:webHidden/>
          </w:rPr>
          <w:fldChar w:fldCharType="begin"/>
        </w:r>
        <w:r w:rsidR="00836443">
          <w:rPr>
            <w:noProof/>
            <w:webHidden/>
          </w:rPr>
          <w:instrText xml:space="preserve"> PAGEREF _Toc482034935 \h </w:instrText>
        </w:r>
        <w:r w:rsidR="00836443">
          <w:rPr>
            <w:noProof/>
            <w:webHidden/>
          </w:rPr>
        </w:r>
        <w:r w:rsidR="00836443">
          <w:rPr>
            <w:noProof/>
            <w:webHidden/>
          </w:rPr>
          <w:fldChar w:fldCharType="separate"/>
        </w:r>
        <w:r w:rsidR="000B6FA5">
          <w:rPr>
            <w:noProof/>
            <w:webHidden/>
          </w:rPr>
          <w:t>60</w:t>
        </w:r>
        <w:r w:rsidR="00836443">
          <w:rPr>
            <w:noProof/>
            <w:webHidden/>
          </w:rPr>
          <w:fldChar w:fldCharType="end"/>
        </w:r>
      </w:hyperlink>
    </w:p>
    <w:p w14:paraId="0984CE46" w14:textId="77777777" w:rsidR="00836443" w:rsidRDefault="00A2085C">
      <w:pPr>
        <w:pStyle w:val="TableofFigures"/>
        <w:rPr>
          <w:rFonts w:asciiTheme="minorHAnsi" w:eastAsiaTheme="minorEastAsia" w:hAnsiTheme="minorHAnsi" w:cstheme="minorBidi"/>
          <w:noProof/>
          <w:color w:val="auto"/>
          <w:sz w:val="22"/>
        </w:rPr>
      </w:pPr>
      <w:hyperlink w:anchor="_Toc482034936" w:history="1">
        <w:r w:rsidR="00836443" w:rsidRPr="000D3FB8">
          <w:rPr>
            <w:rStyle w:val="Hyperlink"/>
            <w:noProof/>
          </w:rPr>
          <w:t>Figure 5</w:t>
        </w:r>
        <w:r w:rsidR="00836443" w:rsidRPr="000D3FB8">
          <w:rPr>
            <w:rStyle w:val="Hyperlink"/>
            <w:noProof/>
          </w:rPr>
          <w:noBreakHyphen/>
          <w:t>16. (a) Cumulative density function and (b) frequency histogram of initial (black) and revised (red) predictions of changes in vertical groundwater fluxes, based on a sample size of 300 model runs.</w:t>
        </w:r>
        <w:r w:rsidR="00836443">
          <w:rPr>
            <w:noProof/>
            <w:webHidden/>
          </w:rPr>
          <w:tab/>
        </w:r>
        <w:r w:rsidR="00836443">
          <w:rPr>
            <w:noProof/>
            <w:webHidden/>
          </w:rPr>
          <w:fldChar w:fldCharType="begin"/>
        </w:r>
        <w:r w:rsidR="00836443">
          <w:rPr>
            <w:noProof/>
            <w:webHidden/>
          </w:rPr>
          <w:instrText xml:space="preserve"> PAGEREF _Toc482034936 \h </w:instrText>
        </w:r>
        <w:r w:rsidR="00836443">
          <w:rPr>
            <w:noProof/>
            <w:webHidden/>
          </w:rPr>
        </w:r>
        <w:r w:rsidR="00836443">
          <w:rPr>
            <w:noProof/>
            <w:webHidden/>
          </w:rPr>
          <w:fldChar w:fldCharType="separate"/>
        </w:r>
        <w:r w:rsidR="000B6FA5">
          <w:rPr>
            <w:noProof/>
            <w:webHidden/>
          </w:rPr>
          <w:t>61</w:t>
        </w:r>
        <w:r w:rsidR="00836443">
          <w:rPr>
            <w:noProof/>
            <w:webHidden/>
          </w:rPr>
          <w:fldChar w:fldCharType="end"/>
        </w:r>
      </w:hyperlink>
    </w:p>
    <w:p w14:paraId="46EA16DE" w14:textId="77777777" w:rsidR="00836443" w:rsidRDefault="00A2085C">
      <w:pPr>
        <w:pStyle w:val="TableofFigures"/>
        <w:rPr>
          <w:rFonts w:asciiTheme="minorHAnsi" w:eastAsiaTheme="minorEastAsia" w:hAnsiTheme="minorHAnsi" w:cstheme="minorBidi"/>
          <w:noProof/>
          <w:color w:val="auto"/>
          <w:sz w:val="22"/>
        </w:rPr>
      </w:pPr>
      <w:hyperlink w:anchor="_Toc482034937" w:history="1">
        <w:r w:rsidR="00836443" w:rsidRPr="000D3FB8">
          <w:rPr>
            <w:rStyle w:val="Hyperlink"/>
            <w:noProof/>
          </w:rPr>
          <w:t>Figure 6</w:t>
        </w:r>
        <w:r w:rsidR="00836443" w:rsidRPr="000D3FB8">
          <w:rPr>
            <w:rStyle w:val="Hyperlink"/>
            <w:noProof/>
          </w:rPr>
          <w:noBreakHyphen/>
          <w:t>1. Spatial distributions of upscaled (a) harmonic and (b) numerical mean values for the upper aquitards (Jurassic age). Grey shaded area is extent of aquitard. Arrow indicates focus study area with largest data density.</w:t>
        </w:r>
        <w:r w:rsidR="00836443">
          <w:rPr>
            <w:noProof/>
            <w:webHidden/>
          </w:rPr>
          <w:tab/>
        </w:r>
        <w:r w:rsidR="00836443">
          <w:rPr>
            <w:noProof/>
            <w:webHidden/>
          </w:rPr>
          <w:fldChar w:fldCharType="begin"/>
        </w:r>
        <w:r w:rsidR="00836443">
          <w:rPr>
            <w:noProof/>
            <w:webHidden/>
          </w:rPr>
          <w:instrText xml:space="preserve"> PAGEREF _Toc482034937 \h </w:instrText>
        </w:r>
        <w:r w:rsidR="00836443">
          <w:rPr>
            <w:noProof/>
            <w:webHidden/>
          </w:rPr>
        </w:r>
        <w:r w:rsidR="00836443">
          <w:rPr>
            <w:noProof/>
            <w:webHidden/>
          </w:rPr>
          <w:fldChar w:fldCharType="separate"/>
        </w:r>
        <w:r w:rsidR="000B6FA5">
          <w:rPr>
            <w:noProof/>
            <w:webHidden/>
          </w:rPr>
          <w:t>64</w:t>
        </w:r>
        <w:r w:rsidR="00836443">
          <w:rPr>
            <w:noProof/>
            <w:webHidden/>
          </w:rPr>
          <w:fldChar w:fldCharType="end"/>
        </w:r>
      </w:hyperlink>
    </w:p>
    <w:p w14:paraId="1D7C16C9" w14:textId="77777777" w:rsidR="00836443" w:rsidRDefault="00A2085C">
      <w:pPr>
        <w:pStyle w:val="TableofFigures"/>
        <w:rPr>
          <w:rFonts w:asciiTheme="minorHAnsi" w:eastAsiaTheme="minorEastAsia" w:hAnsiTheme="minorHAnsi" w:cstheme="minorBidi"/>
          <w:noProof/>
          <w:color w:val="auto"/>
          <w:sz w:val="22"/>
        </w:rPr>
      </w:pPr>
      <w:hyperlink w:anchor="_Toc482034938" w:history="1">
        <w:r w:rsidR="00836443" w:rsidRPr="000D3FB8">
          <w:rPr>
            <w:rStyle w:val="Hyperlink"/>
            <w:noProof/>
          </w:rPr>
          <w:t>Figure 6</w:t>
        </w:r>
        <w:r w:rsidR="00836443" w:rsidRPr="000D3FB8">
          <w:rPr>
            <w:rStyle w:val="Hyperlink"/>
            <w:noProof/>
          </w:rPr>
          <w:noBreakHyphen/>
          <w:t>2. Spatial distributions of upscaled (a) harmonic and (b) numerical mean values for the lower aquitards (Permian age). Grey shaded area is extent of aquitard. Arrow indicates focus study area with largest data density.</w:t>
        </w:r>
        <w:r w:rsidR="00836443">
          <w:rPr>
            <w:noProof/>
            <w:webHidden/>
          </w:rPr>
          <w:tab/>
        </w:r>
        <w:r w:rsidR="00836443">
          <w:rPr>
            <w:noProof/>
            <w:webHidden/>
          </w:rPr>
          <w:fldChar w:fldCharType="begin"/>
        </w:r>
        <w:r w:rsidR="00836443">
          <w:rPr>
            <w:noProof/>
            <w:webHidden/>
          </w:rPr>
          <w:instrText xml:space="preserve"> PAGEREF _Toc482034938 \h </w:instrText>
        </w:r>
        <w:r w:rsidR="00836443">
          <w:rPr>
            <w:noProof/>
            <w:webHidden/>
          </w:rPr>
        </w:r>
        <w:r w:rsidR="00836443">
          <w:rPr>
            <w:noProof/>
            <w:webHidden/>
          </w:rPr>
          <w:fldChar w:fldCharType="separate"/>
        </w:r>
        <w:r w:rsidR="000B6FA5">
          <w:rPr>
            <w:noProof/>
            <w:webHidden/>
          </w:rPr>
          <w:t>64</w:t>
        </w:r>
        <w:r w:rsidR="00836443">
          <w:rPr>
            <w:noProof/>
            <w:webHidden/>
          </w:rPr>
          <w:fldChar w:fldCharType="end"/>
        </w:r>
      </w:hyperlink>
    </w:p>
    <w:p w14:paraId="3C82E6E6" w14:textId="77777777" w:rsidR="00836443" w:rsidRDefault="00A2085C">
      <w:pPr>
        <w:pStyle w:val="TableofFigures"/>
        <w:rPr>
          <w:rFonts w:asciiTheme="minorHAnsi" w:eastAsiaTheme="minorEastAsia" w:hAnsiTheme="minorHAnsi" w:cstheme="minorBidi"/>
          <w:noProof/>
          <w:color w:val="auto"/>
          <w:sz w:val="22"/>
        </w:rPr>
      </w:pPr>
      <w:hyperlink w:anchor="_Toc482034939" w:history="1">
        <w:r w:rsidR="00836443" w:rsidRPr="000D3FB8">
          <w:rPr>
            <w:rStyle w:val="Hyperlink"/>
            <w:noProof/>
          </w:rPr>
          <w:t>Figure 6</w:t>
        </w:r>
        <w:r w:rsidR="00836443" w:rsidRPr="000D3FB8">
          <w:rPr>
            <w:rStyle w:val="Hyperlink"/>
            <w:noProof/>
          </w:rPr>
          <w:noBreakHyphen/>
          <w:t>3. Experimental variograms (red, based on semi-variance values) and correlograms (blue, based on autocorrelation values) for the (a) upper aquitard sequence and (b) lower aquitard sequence, using vertical hydraulic conductivity values that were upscaled using numerical model averaging.</w:t>
        </w:r>
        <w:r w:rsidR="00836443">
          <w:rPr>
            <w:noProof/>
            <w:webHidden/>
          </w:rPr>
          <w:tab/>
        </w:r>
        <w:r w:rsidR="00836443">
          <w:rPr>
            <w:noProof/>
            <w:webHidden/>
          </w:rPr>
          <w:fldChar w:fldCharType="begin"/>
        </w:r>
        <w:r w:rsidR="00836443">
          <w:rPr>
            <w:noProof/>
            <w:webHidden/>
          </w:rPr>
          <w:instrText xml:space="preserve"> PAGEREF _Toc482034939 \h </w:instrText>
        </w:r>
        <w:r w:rsidR="00836443">
          <w:rPr>
            <w:noProof/>
            <w:webHidden/>
          </w:rPr>
        </w:r>
        <w:r w:rsidR="00836443">
          <w:rPr>
            <w:noProof/>
            <w:webHidden/>
          </w:rPr>
          <w:fldChar w:fldCharType="separate"/>
        </w:r>
        <w:r w:rsidR="000B6FA5">
          <w:rPr>
            <w:noProof/>
            <w:webHidden/>
          </w:rPr>
          <w:t>66</w:t>
        </w:r>
        <w:r w:rsidR="00836443">
          <w:rPr>
            <w:noProof/>
            <w:webHidden/>
          </w:rPr>
          <w:fldChar w:fldCharType="end"/>
        </w:r>
      </w:hyperlink>
    </w:p>
    <w:p w14:paraId="04E0E325" w14:textId="77777777" w:rsidR="00836443" w:rsidRDefault="00A2085C">
      <w:pPr>
        <w:pStyle w:val="TableofFigures"/>
        <w:rPr>
          <w:rFonts w:asciiTheme="minorHAnsi" w:eastAsiaTheme="minorEastAsia" w:hAnsiTheme="minorHAnsi" w:cstheme="minorBidi"/>
          <w:noProof/>
          <w:color w:val="auto"/>
          <w:sz w:val="22"/>
        </w:rPr>
      </w:pPr>
      <w:hyperlink w:anchor="_Toc482034940" w:history="1">
        <w:r w:rsidR="00836443" w:rsidRPr="000D3FB8">
          <w:rPr>
            <w:rStyle w:val="Hyperlink"/>
            <w:noProof/>
          </w:rPr>
          <w:t>Figure 6</w:t>
        </w:r>
        <w:r w:rsidR="00836443" w:rsidRPr="000D3FB8">
          <w:rPr>
            <w:rStyle w:val="Hyperlink"/>
            <w:noProof/>
          </w:rPr>
          <w:noBreakHyphen/>
          <w:t>4 Theoretical variogram models (spherical, exponential, Gaussian) with indication of the practical range (Bohling, 2005).</w:t>
        </w:r>
        <w:r w:rsidR="00836443">
          <w:rPr>
            <w:noProof/>
            <w:webHidden/>
          </w:rPr>
          <w:tab/>
        </w:r>
        <w:r w:rsidR="00836443">
          <w:rPr>
            <w:noProof/>
            <w:webHidden/>
          </w:rPr>
          <w:fldChar w:fldCharType="begin"/>
        </w:r>
        <w:r w:rsidR="00836443">
          <w:rPr>
            <w:noProof/>
            <w:webHidden/>
          </w:rPr>
          <w:instrText xml:space="preserve"> PAGEREF _Toc482034940 \h </w:instrText>
        </w:r>
        <w:r w:rsidR="00836443">
          <w:rPr>
            <w:noProof/>
            <w:webHidden/>
          </w:rPr>
        </w:r>
        <w:r w:rsidR="00836443">
          <w:rPr>
            <w:noProof/>
            <w:webHidden/>
          </w:rPr>
          <w:fldChar w:fldCharType="separate"/>
        </w:r>
        <w:r w:rsidR="000B6FA5">
          <w:rPr>
            <w:noProof/>
            <w:webHidden/>
          </w:rPr>
          <w:t>67</w:t>
        </w:r>
        <w:r w:rsidR="00836443">
          <w:rPr>
            <w:noProof/>
            <w:webHidden/>
          </w:rPr>
          <w:fldChar w:fldCharType="end"/>
        </w:r>
      </w:hyperlink>
    </w:p>
    <w:p w14:paraId="4276B0E6" w14:textId="77777777" w:rsidR="00836443" w:rsidRDefault="00A2085C">
      <w:pPr>
        <w:pStyle w:val="TableofFigures"/>
        <w:rPr>
          <w:rFonts w:asciiTheme="minorHAnsi" w:eastAsiaTheme="minorEastAsia" w:hAnsiTheme="minorHAnsi" w:cstheme="minorBidi"/>
          <w:noProof/>
          <w:color w:val="auto"/>
          <w:sz w:val="22"/>
        </w:rPr>
      </w:pPr>
      <w:hyperlink w:anchor="_Toc482034941" w:history="1">
        <w:r w:rsidR="00836443" w:rsidRPr="000D3FB8">
          <w:rPr>
            <w:rStyle w:val="Hyperlink"/>
            <w:noProof/>
          </w:rPr>
          <w:t>Figure 6</w:t>
        </w:r>
        <w:r w:rsidR="00836443" w:rsidRPr="000D3FB8">
          <w:rPr>
            <w:rStyle w:val="Hyperlink"/>
            <w:noProof/>
          </w:rPr>
          <w:noBreakHyphen/>
          <w:t xml:space="preserve">5. Geostatistical analysis of (a) upper aquitard sequence and (b) lower aquitard sequence </w:t>
        </w:r>
        <w:r w:rsidR="00836443" w:rsidRPr="000D3FB8">
          <w:rPr>
            <w:rStyle w:val="Hyperlink"/>
            <w:i/>
            <w:noProof/>
          </w:rPr>
          <w:t>K</w:t>
        </w:r>
        <w:r w:rsidR="00836443" w:rsidRPr="000D3FB8">
          <w:rPr>
            <w:rStyle w:val="Hyperlink"/>
            <w:noProof/>
            <w:vertAlign w:val="subscript"/>
          </w:rPr>
          <w:t>V</w:t>
        </w:r>
        <w:r w:rsidR="00836443" w:rsidRPr="000D3FB8">
          <w:rPr>
            <w:rStyle w:val="Hyperlink"/>
            <w:noProof/>
          </w:rPr>
          <w:t xml:space="preserve"> values upscaled using a 1-D numerical groundwater flow model. Grey closed circles = data points [z(x</w:t>
        </w:r>
        <w:r w:rsidR="00836443" w:rsidRPr="000D3FB8">
          <w:rPr>
            <w:rStyle w:val="Hyperlink"/>
            <w:noProof/>
            <w:vertAlign w:val="subscript"/>
          </w:rPr>
          <w:t>i</w:t>
        </w:r>
        <w:r w:rsidR="00836443" w:rsidRPr="000D3FB8">
          <w:rPr>
            <w:rStyle w:val="Hyperlink"/>
            <w:noProof/>
          </w:rPr>
          <w:t>+h)-z(x</w:t>
        </w:r>
        <w:r w:rsidR="00836443" w:rsidRPr="000D3FB8">
          <w:rPr>
            <w:rStyle w:val="Hyperlink"/>
            <w:noProof/>
            <w:vertAlign w:val="subscript"/>
          </w:rPr>
          <w:t>i</w:t>
        </w:r>
        <w:r w:rsidR="00836443" w:rsidRPr="000D3FB8">
          <w:rPr>
            <w:rStyle w:val="Hyperlink"/>
            <w:noProof/>
          </w:rPr>
          <w:t>)]</w:t>
        </w:r>
        <w:r w:rsidR="00836443" w:rsidRPr="000D3FB8">
          <w:rPr>
            <w:rStyle w:val="Hyperlink"/>
            <w:noProof/>
            <w:vertAlign w:val="superscript"/>
          </w:rPr>
          <w:t>2</w:t>
        </w:r>
        <w:r w:rsidR="00836443" w:rsidRPr="000D3FB8">
          <w:rPr>
            <w:rStyle w:val="Hyperlink"/>
            <w:noProof/>
          </w:rPr>
          <w:t>, red closed circles and lines = experimental variograms, solid green line = spherical variogram model, and dashed blue line = exponential variogram model.</w:t>
        </w:r>
        <w:r w:rsidR="00836443">
          <w:rPr>
            <w:noProof/>
            <w:webHidden/>
          </w:rPr>
          <w:tab/>
        </w:r>
        <w:r w:rsidR="00836443">
          <w:rPr>
            <w:noProof/>
            <w:webHidden/>
          </w:rPr>
          <w:fldChar w:fldCharType="begin"/>
        </w:r>
        <w:r w:rsidR="00836443">
          <w:rPr>
            <w:noProof/>
            <w:webHidden/>
          </w:rPr>
          <w:instrText xml:space="preserve"> PAGEREF _Toc482034941 \h </w:instrText>
        </w:r>
        <w:r w:rsidR="00836443">
          <w:rPr>
            <w:noProof/>
            <w:webHidden/>
          </w:rPr>
        </w:r>
        <w:r w:rsidR="00836443">
          <w:rPr>
            <w:noProof/>
            <w:webHidden/>
          </w:rPr>
          <w:fldChar w:fldCharType="separate"/>
        </w:r>
        <w:r w:rsidR="000B6FA5">
          <w:rPr>
            <w:noProof/>
            <w:webHidden/>
          </w:rPr>
          <w:t>67</w:t>
        </w:r>
        <w:r w:rsidR="00836443">
          <w:rPr>
            <w:noProof/>
            <w:webHidden/>
          </w:rPr>
          <w:fldChar w:fldCharType="end"/>
        </w:r>
      </w:hyperlink>
    </w:p>
    <w:p w14:paraId="5E6D32B5" w14:textId="77777777" w:rsidR="00836443" w:rsidRDefault="00A2085C">
      <w:pPr>
        <w:pStyle w:val="TableofFigures"/>
        <w:rPr>
          <w:rFonts w:asciiTheme="minorHAnsi" w:eastAsiaTheme="minorEastAsia" w:hAnsiTheme="minorHAnsi" w:cstheme="minorBidi"/>
          <w:noProof/>
          <w:color w:val="auto"/>
          <w:sz w:val="22"/>
        </w:rPr>
      </w:pPr>
      <w:hyperlink w:anchor="_Toc482034942" w:history="1">
        <w:r w:rsidR="00836443" w:rsidRPr="000D3FB8">
          <w:rPr>
            <w:rStyle w:val="Hyperlink"/>
            <w:noProof/>
          </w:rPr>
          <w:t>Figure 6</w:t>
        </w:r>
        <w:r w:rsidR="00836443" w:rsidRPr="000D3FB8">
          <w:rPr>
            <w:rStyle w:val="Hyperlink"/>
            <w:noProof/>
          </w:rPr>
          <w:noBreakHyphen/>
          <w:t>6 Multiple scales of heterogeneity. (top) Identification of scales: regional scale (</w:t>
        </w:r>
        <w:r w:rsidR="00836443" w:rsidRPr="000D3FB8">
          <w:rPr>
            <w:rStyle w:val="Hyperlink"/>
            <w:rFonts w:ascii="Lucida Sans Unicode" w:hAnsi="Lucida Sans Unicode" w:cs="Lucida Sans Unicode"/>
            <w:noProof/>
          </w:rPr>
          <w:t>ℒ</w:t>
        </w:r>
        <w:r w:rsidR="00836443" w:rsidRPr="000D3FB8">
          <w:rPr>
            <w:rStyle w:val="Hyperlink"/>
            <w:noProof/>
          </w:rPr>
          <w:t>), scale of the flow domain (L), and local-scale correlation scale (</w:t>
        </w:r>
        <w:r w:rsidR="00836443" w:rsidRPr="000D3FB8">
          <w:rPr>
            <w:rStyle w:val="Hyperlink"/>
            <w:rFonts w:ascii="Lucida Sans Unicode" w:hAnsi="Lucida Sans Unicode" w:cs="Lucida Sans Unicode"/>
            <w:noProof/>
          </w:rPr>
          <w:t>λ</w:t>
        </w:r>
        <w:r w:rsidR="00836443" w:rsidRPr="000D3FB8">
          <w:rPr>
            <w:rStyle w:val="Hyperlink"/>
            <w:noProof/>
          </w:rPr>
          <w:t>).  (bottom) Hypothetical multi-scale semi-variogram corresponding with multiple scales of heterogeneity (modified from Ababou et al. [1989]).</w:t>
        </w:r>
        <w:r w:rsidR="00836443">
          <w:rPr>
            <w:noProof/>
            <w:webHidden/>
          </w:rPr>
          <w:tab/>
        </w:r>
        <w:r w:rsidR="00836443">
          <w:rPr>
            <w:noProof/>
            <w:webHidden/>
          </w:rPr>
          <w:fldChar w:fldCharType="begin"/>
        </w:r>
        <w:r w:rsidR="00836443">
          <w:rPr>
            <w:noProof/>
            <w:webHidden/>
          </w:rPr>
          <w:instrText xml:space="preserve"> PAGEREF _Toc482034942 \h </w:instrText>
        </w:r>
        <w:r w:rsidR="00836443">
          <w:rPr>
            <w:noProof/>
            <w:webHidden/>
          </w:rPr>
        </w:r>
        <w:r w:rsidR="00836443">
          <w:rPr>
            <w:noProof/>
            <w:webHidden/>
          </w:rPr>
          <w:fldChar w:fldCharType="separate"/>
        </w:r>
        <w:r w:rsidR="000B6FA5">
          <w:rPr>
            <w:noProof/>
            <w:webHidden/>
          </w:rPr>
          <w:t>68</w:t>
        </w:r>
        <w:r w:rsidR="00836443">
          <w:rPr>
            <w:noProof/>
            <w:webHidden/>
          </w:rPr>
          <w:fldChar w:fldCharType="end"/>
        </w:r>
      </w:hyperlink>
    </w:p>
    <w:p w14:paraId="1E3F2AB7" w14:textId="77777777" w:rsidR="00836443" w:rsidRDefault="00A2085C">
      <w:pPr>
        <w:pStyle w:val="TableofFigures"/>
        <w:rPr>
          <w:rFonts w:asciiTheme="minorHAnsi" w:eastAsiaTheme="minorEastAsia" w:hAnsiTheme="minorHAnsi" w:cstheme="minorBidi"/>
          <w:noProof/>
          <w:color w:val="auto"/>
          <w:sz w:val="22"/>
        </w:rPr>
      </w:pPr>
      <w:hyperlink w:anchor="_Toc482034943" w:history="1">
        <w:r w:rsidR="00836443" w:rsidRPr="000D3FB8">
          <w:rPr>
            <w:rStyle w:val="Hyperlink"/>
            <w:noProof/>
          </w:rPr>
          <w:t>Figure 6</w:t>
        </w:r>
        <w:r w:rsidR="00836443" w:rsidRPr="000D3FB8">
          <w:rPr>
            <w:rStyle w:val="Hyperlink"/>
            <w:noProof/>
          </w:rPr>
          <w:noBreakHyphen/>
          <w:t>7. Heterogeneous spatial distributions of log</w:t>
        </w:r>
        <w:r w:rsidR="00836443" w:rsidRPr="000D3FB8">
          <w:rPr>
            <w:rStyle w:val="Hyperlink"/>
            <w:noProof/>
            <w:vertAlign w:val="subscript"/>
          </w:rPr>
          <w:t>10</w:t>
        </w:r>
        <w:r w:rsidR="00836443" w:rsidRPr="000D3FB8">
          <w:rPr>
            <w:rStyle w:val="Hyperlink"/>
            <w:noProof/>
          </w:rPr>
          <w:t xml:space="preserve"> vertical hydraulic conductivity (log</w:t>
        </w:r>
        <w:r w:rsidR="00836443" w:rsidRPr="000D3FB8">
          <w:rPr>
            <w:rStyle w:val="Hyperlink"/>
            <w:noProof/>
            <w:vertAlign w:val="subscript"/>
          </w:rPr>
          <w:t>10</w:t>
        </w:r>
        <w:r w:rsidR="00836443" w:rsidRPr="000D3FB8">
          <w:rPr>
            <w:rStyle w:val="Hyperlink"/>
            <w:noProof/>
          </w:rPr>
          <w:t xml:space="preserve"> </w:t>
        </w:r>
        <w:r w:rsidR="00836443" w:rsidRPr="000D3FB8">
          <w:rPr>
            <w:rStyle w:val="Hyperlink"/>
            <w:i/>
            <w:noProof/>
          </w:rPr>
          <w:t>K</w:t>
        </w:r>
        <w:r w:rsidR="00836443" w:rsidRPr="000D3FB8">
          <w:rPr>
            <w:rStyle w:val="Hyperlink"/>
            <w:i/>
            <w:noProof/>
            <w:vertAlign w:val="subscript"/>
          </w:rPr>
          <w:t>V</w:t>
        </w:r>
        <w:r w:rsidR="00836443" w:rsidRPr="000D3FB8">
          <w:rPr>
            <w:rStyle w:val="Hyperlink"/>
            <w:noProof/>
          </w:rPr>
          <w:t>) for the (a) upper and (b) lower aquitard sequences generated using Sequential Gaussian Simulation based on spherical variogram models and conditioned to values upscaled using numerical model averaging (red = low values; blue = high values; white = non-Pilliga Sandstone aquifer cells).</w:t>
        </w:r>
        <w:r w:rsidR="00836443">
          <w:rPr>
            <w:noProof/>
            <w:webHidden/>
          </w:rPr>
          <w:tab/>
        </w:r>
        <w:r w:rsidR="00836443">
          <w:rPr>
            <w:noProof/>
            <w:webHidden/>
          </w:rPr>
          <w:fldChar w:fldCharType="begin"/>
        </w:r>
        <w:r w:rsidR="00836443">
          <w:rPr>
            <w:noProof/>
            <w:webHidden/>
          </w:rPr>
          <w:instrText xml:space="preserve"> PAGEREF _Toc482034943 \h </w:instrText>
        </w:r>
        <w:r w:rsidR="00836443">
          <w:rPr>
            <w:noProof/>
            <w:webHidden/>
          </w:rPr>
        </w:r>
        <w:r w:rsidR="00836443">
          <w:rPr>
            <w:noProof/>
            <w:webHidden/>
          </w:rPr>
          <w:fldChar w:fldCharType="separate"/>
        </w:r>
        <w:r w:rsidR="000B6FA5">
          <w:rPr>
            <w:noProof/>
            <w:webHidden/>
          </w:rPr>
          <w:t>71</w:t>
        </w:r>
        <w:r w:rsidR="00836443">
          <w:rPr>
            <w:noProof/>
            <w:webHidden/>
          </w:rPr>
          <w:fldChar w:fldCharType="end"/>
        </w:r>
      </w:hyperlink>
    </w:p>
    <w:p w14:paraId="7856639A" w14:textId="77777777" w:rsidR="00836443" w:rsidRDefault="00A2085C">
      <w:pPr>
        <w:pStyle w:val="TableofFigures"/>
        <w:rPr>
          <w:rFonts w:asciiTheme="minorHAnsi" w:eastAsiaTheme="minorEastAsia" w:hAnsiTheme="minorHAnsi" w:cstheme="minorBidi"/>
          <w:noProof/>
          <w:color w:val="auto"/>
          <w:sz w:val="22"/>
        </w:rPr>
      </w:pPr>
      <w:hyperlink w:anchor="_Toc482034944" w:history="1">
        <w:r w:rsidR="00836443" w:rsidRPr="000D3FB8">
          <w:rPr>
            <w:rStyle w:val="Hyperlink"/>
            <w:noProof/>
          </w:rPr>
          <w:t>Figure 6</w:t>
        </w:r>
        <w:r w:rsidR="00836443" w:rsidRPr="000D3FB8">
          <w:rPr>
            <w:rStyle w:val="Hyperlink"/>
            <w:noProof/>
          </w:rPr>
          <w:noBreakHyphen/>
          <w:t>8. (a) Cumulative density function and (b) frequency histogram of initial (black) and revised (red) predictions of the magnitude of maximum drawdown, based on sample sizes of 300 model runs (‘Initial’) and 50 model runs (‘Heterogeneous’).</w:t>
        </w:r>
        <w:r w:rsidR="00836443">
          <w:rPr>
            <w:noProof/>
            <w:webHidden/>
          </w:rPr>
          <w:tab/>
        </w:r>
        <w:r w:rsidR="00836443">
          <w:rPr>
            <w:noProof/>
            <w:webHidden/>
          </w:rPr>
          <w:fldChar w:fldCharType="begin"/>
        </w:r>
        <w:r w:rsidR="00836443">
          <w:rPr>
            <w:noProof/>
            <w:webHidden/>
          </w:rPr>
          <w:instrText xml:space="preserve"> PAGEREF _Toc482034944 \h </w:instrText>
        </w:r>
        <w:r w:rsidR="00836443">
          <w:rPr>
            <w:noProof/>
            <w:webHidden/>
          </w:rPr>
        </w:r>
        <w:r w:rsidR="00836443">
          <w:rPr>
            <w:noProof/>
            <w:webHidden/>
          </w:rPr>
          <w:fldChar w:fldCharType="separate"/>
        </w:r>
        <w:r w:rsidR="000B6FA5">
          <w:rPr>
            <w:noProof/>
            <w:webHidden/>
          </w:rPr>
          <w:t>72</w:t>
        </w:r>
        <w:r w:rsidR="00836443">
          <w:rPr>
            <w:noProof/>
            <w:webHidden/>
          </w:rPr>
          <w:fldChar w:fldCharType="end"/>
        </w:r>
      </w:hyperlink>
    </w:p>
    <w:p w14:paraId="253802D5" w14:textId="77777777" w:rsidR="00836443" w:rsidRDefault="00A2085C">
      <w:pPr>
        <w:pStyle w:val="TableofFigures"/>
        <w:rPr>
          <w:rFonts w:asciiTheme="minorHAnsi" w:eastAsiaTheme="minorEastAsia" w:hAnsiTheme="minorHAnsi" w:cstheme="minorBidi"/>
          <w:noProof/>
          <w:color w:val="auto"/>
          <w:sz w:val="22"/>
        </w:rPr>
      </w:pPr>
      <w:hyperlink w:anchor="_Toc482034945" w:history="1">
        <w:r w:rsidR="00836443" w:rsidRPr="000D3FB8">
          <w:rPr>
            <w:rStyle w:val="Hyperlink"/>
            <w:noProof/>
          </w:rPr>
          <w:t>Figure 6</w:t>
        </w:r>
        <w:r w:rsidR="00836443" w:rsidRPr="000D3FB8">
          <w:rPr>
            <w:rStyle w:val="Hyperlink"/>
            <w:noProof/>
          </w:rPr>
          <w:noBreakHyphen/>
          <w:t>9. (a) Cumulative density function and (b) frequency histogram of initial (black) and revised (red) predictions of the timing of maximum drawdown, based on sample sizes of 300 model runs (‘Initial’) and 50 model runs (‘Heterogeneous’).</w:t>
        </w:r>
        <w:r w:rsidR="00836443">
          <w:rPr>
            <w:noProof/>
            <w:webHidden/>
          </w:rPr>
          <w:tab/>
        </w:r>
        <w:r w:rsidR="00836443">
          <w:rPr>
            <w:noProof/>
            <w:webHidden/>
          </w:rPr>
          <w:fldChar w:fldCharType="begin"/>
        </w:r>
        <w:r w:rsidR="00836443">
          <w:rPr>
            <w:noProof/>
            <w:webHidden/>
          </w:rPr>
          <w:instrText xml:space="preserve"> PAGEREF _Toc482034945 \h </w:instrText>
        </w:r>
        <w:r w:rsidR="00836443">
          <w:rPr>
            <w:noProof/>
            <w:webHidden/>
          </w:rPr>
        </w:r>
        <w:r w:rsidR="00836443">
          <w:rPr>
            <w:noProof/>
            <w:webHidden/>
          </w:rPr>
          <w:fldChar w:fldCharType="separate"/>
        </w:r>
        <w:r w:rsidR="000B6FA5">
          <w:rPr>
            <w:noProof/>
            <w:webHidden/>
          </w:rPr>
          <w:t>72</w:t>
        </w:r>
        <w:r w:rsidR="00836443">
          <w:rPr>
            <w:noProof/>
            <w:webHidden/>
          </w:rPr>
          <w:fldChar w:fldCharType="end"/>
        </w:r>
      </w:hyperlink>
    </w:p>
    <w:p w14:paraId="70D170D4" w14:textId="77777777" w:rsidR="00836443" w:rsidRDefault="00A2085C">
      <w:pPr>
        <w:pStyle w:val="TableofFigures"/>
        <w:rPr>
          <w:rFonts w:asciiTheme="minorHAnsi" w:eastAsiaTheme="minorEastAsia" w:hAnsiTheme="minorHAnsi" w:cstheme="minorBidi"/>
          <w:noProof/>
          <w:color w:val="auto"/>
          <w:sz w:val="22"/>
        </w:rPr>
      </w:pPr>
      <w:hyperlink w:anchor="_Toc482034946" w:history="1">
        <w:r w:rsidR="00836443" w:rsidRPr="000D3FB8">
          <w:rPr>
            <w:rStyle w:val="Hyperlink"/>
            <w:noProof/>
          </w:rPr>
          <w:t>Figure 6</w:t>
        </w:r>
        <w:r w:rsidR="00836443" w:rsidRPr="000D3FB8">
          <w:rPr>
            <w:rStyle w:val="Hyperlink"/>
            <w:noProof/>
          </w:rPr>
          <w:noBreakHyphen/>
          <w:t xml:space="preserve">10 Maximum drawdown as a function of time of maximum drawdown for homogenous (300 runs) and heterogeneous (50 runs) model. Pink ellipse indicates decreasing trend between maximum drawdown and time of maximum drawdown. Note: clustering of filled red circles at </w:t>
        </w:r>
        <w:r w:rsidR="00836443" w:rsidRPr="000D3FB8">
          <w:rPr>
            <w:rStyle w:val="Hyperlink"/>
            <w:i/>
            <w:noProof/>
          </w:rPr>
          <w:t xml:space="preserve">t </w:t>
        </w:r>
        <w:r w:rsidR="00836443" w:rsidRPr="000D3FB8">
          <w:rPr>
            <w:rStyle w:val="Hyperlink"/>
            <w:noProof/>
          </w:rPr>
          <w:t>= 160 y was due to the limited temporal extent specified for model runs (see text for further details).</w:t>
        </w:r>
        <w:r w:rsidR="00836443">
          <w:rPr>
            <w:noProof/>
            <w:webHidden/>
          </w:rPr>
          <w:tab/>
        </w:r>
        <w:r w:rsidR="00836443">
          <w:rPr>
            <w:noProof/>
            <w:webHidden/>
          </w:rPr>
          <w:fldChar w:fldCharType="begin"/>
        </w:r>
        <w:r w:rsidR="00836443">
          <w:rPr>
            <w:noProof/>
            <w:webHidden/>
          </w:rPr>
          <w:instrText xml:space="preserve"> PAGEREF _Toc482034946 \h </w:instrText>
        </w:r>
        <w:r w:rsidR="00836443">
          <w:rPr>
            <w:noProof/>
            <w:webHidden/>
          </w:rPr>
        </w:r>
        <w:r w:rsidR="00836443">
          <w:rPr>
            <w:noProof/>
            <w:webHidden/>
          </w:rPr>
          <w:fldChar w:fldCharType="separate"/>
        </w:r>
        <w:r w:rsidR="000B6FA5">
          <w:rPr>
            <w:noProof/>
            <w:webHidden/>
          </w:rPr>
          <w:t>73</w:t>
        </w:r>
        <w:r w:rsidR="00836443">
          <w:rPr>
            <w:noProof/>
            <w:webHidden/>
          </w:rPr>
          <w:fldChar w:fldCharType="end"/>
        </w:r>
      </w:hyperlink>
    </w:p>
    <w:p w14:paraId="2DE271D9" w14:textId="77777777" w:rsidR="00836443" w:rsidRDefault="00A2085C">
      <w:pPr>
        <w:pStyle w:val="TableofFigures"/>
        <w:rPr>
          <w:rFonts w:asciiTheme="minorHAnsi" w:eastAsiaTheme="minorEastAsia" w:hAnsiTheme="minorHAnsi" w:cstheme="minorBidi"/>
          <w:noProof/>
          <w:color w:val="auto"/>
          <w:sz w:val="22"/>
        </w:rPr>
      </w:pPr>
      <w:hyperlink w:anchor="_Toc482034947" w:history="1">
        <w:r w:rsidR="00836443" w:rsidRPr="000D3FB8">
          <w:rPr>
            <w:rStyle w:val="Hyperlink"/>
            <w:noProof/>
          </w:rPr>
          <w:t>Figure 6</w:t>
        </w:r>
        <w:r w:rsidR="00836443" w:rsidRPr="000D3FB8">
          <w:rPr>
            <w:rStyle w:val="Hyperlink"/>
            <w:noProof/>
          </w:rPr>
          <w:noBreakHyphen/>
          <w:t>11. (a) Cumulative density function and (b) frequency histogram of initial (black) and revised (red) predictions of the spatial extent of drawdown in excess of 2 m, based on sample sizes of 300 model runs (‘Initial’) and 50 model runs (‘Heterogeneous’).</w:t>
        </w:r>
        <w:r w:rsidR="00836443">
          <w:rPr>
            <w:noProof/>
            <w:webHidden/>
          </w:rPr>
          <w:tab/>
        </w:r>
        <w:r w:rsidR="00836443">
          <w:rPr>
            <w:noProof/>
            <w:webHidden/>
          </w:rPr>
          <w:fldChar w:fldCharType="begin"/>
        </w:r>
        <w:r w:rsidR="00836443">
          <w:rPr>
            <w:noProof/>
            <w:webHidden/>
          </w:rPr>
          <w:instrText xml:space="preserve"> PAGEREF _Toc482034947 \h </w:instrText>
        </w:r>
        <w:r w:rsidR="00836443">
          <w:rPr>
            <w:noProof/>
            <w:webHidden/>
          </w:rPr>
        </w:r>
        <w:r w:rsidR="00836443">
          <w:rPr>
            <w:noProof/>
            <w:webHidden/>
          </w:rPr>
          <w:fldChar w:fldCharType="separate"/>
        </w:r>
        <w:r w:rsidR="000B6FA5">
          <w:rPr>
            <w:noProof/>
            <w:webHidden/>
          </w:rPr>
          <w:t>74</w:t>
        </w:r>
        <w:r w:rsidR="00836443">
          <w:rPr>
            <w:noProof/>
            <w:webHidden/>
          </w:rPr>
          <w:fldChar w:fldCharType="end"/>
        </w:r>
      </w:hyperlink>
    </w:p>
    <w:p w14:paraId="63365CFC" w14:textId="77777777" w:rsidR="00836443" w:rsidRDefault="00A2085C">
      <w:pPr>
        <w:pStyle w:val="TableofFigures"/>
        <w:rPr>
          <w:rFonts w:asciiTheme="minorHAnsi" w:eastAsiaTheme="minorEastAsia" w:hAnsiTheme="minorHAnsi" w:cstheme="minorBidi"/>
          <w:noProof/>
          <w:color w:val="auto"/>
          <w:sz w:val="22"/>
        </w:rPr>
      </w:pPr>
      <w:hyperlink w:anchor="_Toc482034948" w:history="1">
        <w:r w:rsidR="00836443" w:rsidRPr="000D3FB8">
          <w:rPr>
            <w:rStyle w:val="Hyperlink"/>
            <w:noProof/>
          </w:rPr>
          <w:t>Figure 6</w:t>
        </w:r>
        <w:r w:rsidR="00836443" w:rsidRPr="000D3FB8">
          <w:rPr>
            <w:rStyle w:val="Hyperlink"/>
            <w:noProof/>
          </w:rPr>
          <w:noBreakHyphen/>
          <w:t>12. Percentiles of spatial distributions of drawdown (solid black lines), observed at the median time of maximum drawdown (i.e., 155 years after the cessation of coal seam gas extraction); purple = Pilliga Sandstone aquifer cells; blue = upper aquitard sequence cells. Percentiles shown are (a) 90</w:t>
        </w:r>
        <w:r w:rsidR="00836443" w:rsidRPr="000D3FB8">
          <w:rPr>
            <w:rStyle w:val="Hyperlink"/>
            <w:noProof/>
            <w:vertAlign w:val="superscript"/>
          </w:rPr>
          <w:t>th</w:t>
        </w:r>
        <w:r w:rsidR="00836443" w:rsidRPr="000D3FB8">
          <w:rPr>
            <w:rStyle w:val="Hyperlink"/>
            <w:noProof/>
          </w:rPr>
          <w:t>, (b) 95</w:t>
        </w:r>
        <w:r w:rsidR="00836443" w:rsidRPr="000D3FB8">
          <w:rPr>
            <w:rStyle w:val="Hyperlink"/>
            <w:noProof/>
            <w:vertAlign w:val="superscript"/>
          </w:rPr>
          <w:t>th</w:t>
        </w:r>
        <w:r w:rsidR="00836443" w:rsidRPr="000D3FB8">
          <w:rPr>
            <w:rStyle w:val="Hyperlink"/>
            <w:noProof/>
          </w:rPr>
          <w:t xml:space="preserve"> and (c) 99</w:t>
        </w:r>
        <w:r w:rsidR="00836443" w:rsidRPr="000D3FB8">
          <w:rPr>
            <w:rStyle w:val="Hyperlink"/>
            <w:noProof/>
            <w:vertAlign w:val="superscript"/>
          </w:rPr>
          <w:t>th</w:t>
        </w:r>
        <w:r w:rsidR="00836443" w:rsidRPr="000D3FB8">
          <w:rPr>
            <w:rStyle w:val="Hyperlink"/>
            <w:noProof/>
          </w:rPr>
          <w:t>. Distributions are based on a set of 50 model runs that featured spatially variable parameterisation of aquitard vertical hydraulic conductivity values (i.e., the ‘heterogeneous’ model).</w:t>
        </w:r>
        <w:r w:rsidR="00836443">
          <w:rPr>
            <w:noProof/>
            <w:webHidden/>
          </w:rPr>
          <w:tab/>
        </w:r>
        <w:r w:rsidR="00836443">
          <w:rPr>
            <w:noProof/>
            <w:webHidden/>
          </w:rPr>
          <w:fldChar w:fldCharType="begin"/>
        </w:r>
        <w:r w:rsidR="00836443">
          <w:rPr>
            <w:noProof/>
            <w:webHidden/>
          </w:rPr>
          <w:instrText xml:space="preserve"> PAGEREF _Toc482034948 \h </w:instrText>
        </w:r>
        <w:r w:rsidR="00836443">
          <w:rPr>
            <w:noProof/>
            <w:webHidden/>
          </w:rPr>
        </w:r>
        <w:r w:rsidR="00836443">
          <w:rPr>
            <w:noProof/>
            <w:webHidden/>
          </w:rPr>
          <w:fldChar w:fldCharType="separate"/>
        </w:r>
        <w:r w:rsidR="000B6FA5">
          <w:rPr>
            <w:noProof/>
            <w:webHidden/>
          </w:rPr>
          <w:t>75</w:t>
        </w:r>
        <w:r w:rsidR="00836443">
          <w:rPr>
            <w:noProof/>
            <w:webHidden/>
          </w:rPr>
          <w:fldChar w:fldCharType="end"/>
        </w:r>
      </w:hyperlink>
    </w:p>
    <w:p w14:paraId="379A1081" w14:textId="77777777" w:rsidR="00836443" w:rsidRDefault="00A2085C">
      <w:pPr>
        <w:pStyle w:val="TableofFigures"/>
        <w:rPr>
          <w:rFonts w:asciiTheme="minorHAnsi" w:eastAsiaTheme="minorEastAsia" w:hAnsiTheme="minorHAnsi" w:cstheme="minorBidi"/>
          <w:noProof/>
          <w:color w:val="auto"/>
          <w:sz w:val="22"/>
        </w:rPr>
      </w:pPr>
      <w:hyperlink w:anchor="_Toc482034949" w:history="1">
        <w:r w:rsidR="00836443" w:rsidRPr="000D3FB8">
          <w:rPr>
            <w:rStyle w:val="Hyperlink"/>
            <w:noProof/>
          </w:rPr>
          <w:t>Figure 6</w:t>
        </w:r>
        <w:r w:rsidR="00836443" w:rsidRPr="000D3FB8">
          <w:rPr>
            <w:rStyle w:val="Hyperlink"/>
            <w:noProof/>
          </w:rPr>
          <w:noBreakHyphen/>
          <w:t>13. (a) Cumulative density function and (b) frequency histogram of initial (black) and revised (red) predictions of changes in vertical groundwater fluxes, based on sample sizes of 300 model runs (‘Initial’) and 50 model runs (‘Heterogeneous’).</w:t>
        </w:r>
        <w:r w:rsidR="00836443">
          <w:rPr>
            <w:noProof/>
            <w:webHidden/>
          </w:rPr>
          <w:tab/>
        </w:r>
        <w:r w:rsidR="00836443">
          <w:rPr>
            <w:noProof/>
            <w:webHidden/>
          </w:rPr>
          <w:fldChar w:fldCharType="begin"/>
        </w:r>
        <w:r w:rsidR="00836443">
          <w:rPr>
            <w:noProof/>
            <w:webHidden/>
          </w:rPr>
          <w:instrText xml:space="preserve"> PAGEREF _Toc482034949 \h </w:instrText>
        </w:r>
        <w:r w:rsidR="00836443">
          <w:rPr>
            <w:noProof/>
            <w:webHidden/>
          </w:rPr>
        </w:r>
        <w:r w:rsidR="00836443">
          <w:rPr>
            <w:noProof/>
            <w:webHidden/>
          </w:rPr>
          <w:fldChar w:fldCharType="separate"/>
        </w:r>
        <w:r w:rsidR="000B6FA5">
          <w:rPr>
            <w:noProof/>
            <w:webHidden/>
          </w:rPr>
          <w:t>76</w:t>
        </w:r>
        <w:r w:rsidR="00836443">
          <w:rPr>
            <w:noProof/>
            <w:webHidden/>
          </w:rPr>
          <w:fldChar w:fldCharType="end"/>
        </w:r>
      </w:hyperlink>
    </w:p>
    <w:p w14:paraId="2C78005A" w14:textId="77777777" w:rsidR="00836443" w:rsidRDefault="00A2085C">
      <w:pPr>
        <w:pStyle w:val="TableofFigures"/>
        <w:rPr>
          <w:rFonts w:asciiTheme="minorHAnsi" w:eastAsiaTheme="minorEastAsia" w:hAnsiTheme="minorHAnsi" w:cstheme="minorBidi"/>
          <w:noProof/>
          <w:color w:val="auto"/>
          <w:sz w:val="22"/>
        </w:rPr>
      </w:pPr>
      <w:hyperlink w:anchor="_Toc482034950" w:history="1">
        <w:r w:rsidR="00836443" w:rsidRPr="000D3FB8">
          <w:rPr>
            <w:rStyle w:val="Hyperlink"/>
            <w:noProof/>
          </w:rPr>
          <w:t>Figure 6</w:t>
        </w:r>
        <w:r w:rsidR="00836443" w:rsidRPr="000D3FB8">
          <w:rPr>
            <w:rStyle w:val="Hyperlink"/>
            <w:noProof/>
          </w:rPr>
          <w:noBreakHyphen/>
          <w:t>14 Relationship between impact thresholds and acceptable probability of exceeding a given threshold.</w:t>
        </w:r>
        <w:r w:rsidR="00836443">
          <w:rPr>
            <w:noProof/>
            <w:webHidden/>
          </w:rPr>
          <w:tab/>
        </w:r>
        <w:r w:rsidR="00836443">
          <w:rPr>
            <w:noProof/>
            <w:webHidden/>
          </w:rPr>
          <w:fldChar w:fldCharType="begin"/>
        </w:r>
        <w:r w:rsidR="00836443">
          <w:rPr>
            <w:noProof/>
            <w:webHidden/>
          </w:rPr>
          <w:instrText xml:space="preserve"> PAGEREF _Toc482034950 \h </w:instrText>
        </w:r>
        <w:r w:rsidR="00836443">
          <w:rPr>
            <w:noProof/>
            <w:webHidden/>
          </w:rPr>
        </w:r>
        <w:r w:rsidR="00836443">
          <w:rPr>
            <w:noProof/>
            <w:webHidden/>
          </w:rPr>
          <w:fldChar w:fldCharType="separate"/>
        </w:r>
        <w:r w:rsidR="000B6FA5">
          <w:rPr>
            <w:noProof/>
            <w:webHidden/>
          </w:rPr>
          <w:t>79</w:t>
        </w:r>
        <w:r w:rsidR="00836443">
          <w:rPr>
            <w:noProof/>
            <w:webHidden/>
          </w:rPr>
          <w:fldChar w:fldCharType="end"/>
        </w:r>
      </w:hyperlink>
    </w:p>
    <w:p w14:paraId="12B24E38" w14:textId="77777777" w:rsidR="00836443" w:rsidRDefault="00A2085C">
      <w:pPr>
        <w:pStyle w:val="TableofFigures"/>
        <w:rPr>
          <w:rFonts w:asciiTheme="minorHAnsi" w:eastAsiaTheme="minorEastAsia" w:hAnsiTheme="minorHAnsi" w:cstheme="minorBidi"/>
          <w:noProof/>
          <w:color w:val="auto"/>
          <w:sz w:val="22"/>
        </w:rPr>
      </w:pPr>
      <w:hyperlink w:anchor="_Toc482034951" w:history="1">
        <w:r w:rsidR="00836443" w:rsidRPr="000D3FB8">
          <w:rPr>
            <w:rStyle w:val="Hyperlink"/>
            <w:noProof/>
          </w:rPr>
          <w:t>Figure 6</w:t>
        </w:r>
        <w:r w:rsidR="00836443" w:rsidRPr="000D3FB8">
          <w:rPr>
            <w:rStyle w:val="Hyperlink"/>
            <w:noProof/>
          </w:rPr>
          <w:noBreakHyphen/>
          <w:t xml:space="preserve">15 Cumulative distribution function (CDF) and complementary cumulative distribution function (CCDF) for variable </w:t>
        </w:r>
        <w:r w:rsidR="00836443" w:rsidRPr="000D3FB8">
          <w:rPr>
            <w:rStyle w:val="Hyperlink"/>
            <w:i/>
            <w:noProof/>
          </w:rPr>
          <w:t>v</w:t>
        </w:r>
        <w:r w:rsidR="00836443" w:rsidRPr="000D3FB8">
          <w:rPr>
            <w:rStyle w:val="Hyperlink"/>
            <w:noProof/>
          </w:rPr>
          <w:t xml:space="preserve"> with a triangular distribution on [1, 10] and a mode at 7 (based on Helton et al. 2004).</w:t>
        </w:r>
        <w:r w:rsidR="00836443">
          <w:rPr>
            <w:noProof/>
            <w:webHidden/>
          </w:rPr>
          <w:tab/>
        </w:r>
        <w:r w:rsidR="00836443">
          <w:rPr>
            <w:noProof/>
            <w:webHidden/>
          </w:rPr>
          <w:fldChar w:fldCharType="begin"/>
        </w:r>
        <w:r w:rsidR="00836443">
          <w:rPr>
            <w:noProof/>
            <w:webHidden/>
          </w:rPr>
          <w:instrText xml:space="preserve"> PAGEREF _Toc482034951 \h </w:instrText>
        </w:r>
        <w:r w:rsidR="00836443">
          <w:rPr>
            <w:noProof/>
            <w:webHidden/>
          </w:rPr>
        </w:r>
        <w:r w:rsidR="00836443">
          <w:rPr>
            <w:noProof/>
            <w:webHidden/>
          </w:rPr>
          <w:fldChar w:fldCharType="separate"/>
        </w:r>
        <w:r w:rsidR="000B6FA5">
          <w:rPr>
            <w:noProof/>
            <w:webHidden/>
          </w:rPr>
          <w:t>79</w:t>
        </w:r>
        <w:r w:rsidR="00836443">
          <w:rPr>
            <w:noProof/>
            <w:webHidden/>
          </w:rPr>
          <w:fldChar w:fldCharType="end"/>
        </w:r>
      </w:hyperlink>
    </w:p>
    <w:p w14:paraId="5D6F85CC" w14:textId="77777777" w:rsidR="00836443" w:rsidRDefault="00A2085C">
      <w:pPr>
        <w:pStyle w:val="TableofFigures"/>
        <w:rPr>
          <w:rFonts w:asciiTheme="minorHAnsi" w:eastAsiaTheme="minorEastAsia" w:hAnsiTheme="minorHAnsi" w:cstheme="minorBidi"/>
          <w:noProof/>
          <w:color w:val="auto"/>
          <w:sz w:val="22"/>
        </w:rPr>
      </w:pPr>
      <w:hyperlink w:anchor="_Toc482034952" w:history="1">
        <w:r w:rsidR="00836443" w:rsidRPr="000D3FB8">
          <w:rPr>
            <w:rStyle w:val="Hyperlink"/>
            <w:noProof/>
          </w:rPr>
          <w:t>Figure 6</w:t>
        </w:r>
        <w:r w:rsidR="00836443" w:rsidRPr="000D3FB8">
          <w:rPr>
            <w:rStyle w:val="Hyperlink"/>
            <w:noProof/>
          </w:rPr>
          <w:noBreakHyphen/>
          <w:t>16 Boundary line approach to specification of acceptable risk (modified from Helton and Breeding, 1993).</w:t>
        </w:r>
        <w:r w:rsidR="00836443">
          <w:rPr>
            <w:noProof/>
            <w:webHidden/>
          </w:rPr>
          <w:tab/>
        </w:r>
        <w:r w:rsidR="00836443">
          <w:rPr>
            <w:noProof/>
            <w:webHidden/>
          </w:rPr>
          <w:fldChar w:fldCharType="begin"/>
        </w:r>
        <w:r w:rsidR="00836443">
          <w:rPr>
            <w:noProof/>
            <w:webHidden/>
          </w:rPr>
          <w:instrText xml:space="preserve"> PAGEREF _Toc482034952 \h </w:instrText>
        </w:r>
        <w:r w:rsidR="00836443">
          <w:rPr>
            <w:noProof/>
            <w:webHidden/>
          </w:rPr>
        </w:r>
        <w:r w:rsidR="00836443">
          <w:rPr>
            <w:noProof/>
            <w:webHidden/>
          </w:rPr>
          <w:fldChar w:fldCharType="separate"/>
        </w:r>
        <w:r w:rsidR="000B6FA5">
          <w:rPr>
            <w:noProof/>
            <w:webHidden/>
          </w:rPr>
          <w:t>80</w:t>
        </w:r>
        <w:r w:rsidR="00836443">
          <w:rPr>
            <w:noProof/>
            <w:webHidden/>
          </w:rPr>
          <w:fldChar w:fldCharType="end"/>
        </w:r>
      </w:hyperlink>
    </w:p>
    <w:p w14:paraId="1A6CB994" w14:textId="77777777" w:rsidR="00836443" w:rsidRDefault="00A2085C">
      <w:pPr>
        <w:pStyle w:val="TableofFigures"/>
        <w:rPr>
          <w:rFonts w:asciiTheme="minorHAnsi" w:eastAsiaTheme="minorEastAsia" w:hAnsiTheme="minorHAnsi" w:cstheme="minorBidi"/>
          <w:noProof/>
          <w:color w:val="auto"/>
          <w:sz w:val="22"/>
        </w:rPr>
      </w:pPr>
      <w:hyperlink w:anchor="_Toc482034953" w:history="1">
        <w:r w:rsidR="00836443" w:rsidRPr="000D3FB8">
          <w:rPr>
            <w:rStyle w:val="Hyperlink"/>
            <w:noProof/>
          </w:rPr>
          <w:t>Figure 6</w:t>
        </w:r>
        <w:r w:rsidR="00836443" w:rsidRPr="000D3FB8">
          <w:rPr>
            <w:rStyle w:val="Hyperlink"/>
            <w:noProof/>
          </w:rPr>
          <w:noBreakHyphen/>
          <w:t>17 Comparison of CCDF for maximum drawdown and single requirement boundary lines for 30% (A), 50% (B), and 80% (C) acceptable probability of exceeding 2 m drawdown. Multiple requirement boundary line considers 50% acceptable probability of exceeding for 0.2 m, 10% for 2 m and 1% for 10 m drawdown (D).</w:t>
        </w:r>
        <w:r w:rsidR="00836443">
          <w:rPr>
            <w:noProof/>
            <w:webHidden/>
          </w:rPr>
          <w:tab/>
        </w:r>
        <w:r w:rsidR="00836443">
          <w:rPr>
            <w:noProof/>
            <w:webHidden/>
          </w:rPr>
          <w:fldChar w:fldCharType="begin"/>
        </w:r>
        <w:r w:rsidR="00836443">
          <w:rPr>
            <w:noProof/>
            <w:webHidden/>
          </w:rPr>
          <w:instrText xml:space="preserve"> PAGEREF _Toc482034953 \h </w:instrText>
        </w:r>
        <w:r w:rsidR="00836443">
          <w:rPr>
            <w:noProof/>
            <w:webHidden/>
          </w:rPr>
        </w:r>
        <w:r w:rsidR="00836443">
          <w:rPr>
            <w:noProof/>
            <w:webHidden/>
          </w:rPr>
          <w:fldChar w:fldCharType="separate"/>
        </w:r>
        <w:r w:rsidR="000B6FA5">
          <w:rPr>
            <w:noProof/>
            <w:webHidden/>
          </w:rPr>
          <w:t>81</w:t>
        </w:r>
        <w:r w:rsidR="00836443">
          <w:rPr>
            <w:noProof/>
            <w:webHidden/>
          </w:rPr>
          <w:fldChar w:fldCharType="end"/>
        </w:r>
      </w:hyperlink>
    </w:p>
    <w:p w14:paraId="58182DC5" w14:textId="77777777" w:rsidR="00836443" w:rsidRDefault="00A2085C">
      <w:pPr>
        <w:pStyle w:val="TableofFigures"/>
        <w:rPr>
          <w:rFonts w:asciiTheme="minorHAnsi" w:eastAsiaTheme="minorEastAsia" w:hAnsiTheme="minorHAnsi" w:cstheme="minorBidi"/>
          <w:noProof/>
          <w:color w:val="auto"/>
          <w:sz w:val="22"/>
        </w:rPr>
      </w:pPr>
      <w:hyperlink w:anchor="_Toc482034954" w:history="1">
        <w:r w:rsidR="00836443" w:rsidRPr="000D3FB8">
          <w:rPr>
            <w:rStyle w:val="Hyperlink"/>
            <w:noProof/>
          </w:rPr>
          <w:t>Figure 7</w:t>
        </w:r>
        <w:r w:rsidR="00836443" w:rsidRPr="000D3FB8">
          <w:rPr>
            <w:rStyle w:val="Hyperlink"/>
            <w:noProof/>
          </w:rPr>
          <w:noBreakHyphen/>
          <w:t>1. Illustration of the bootstrapping approach to estimate parameter (a) and model prediction uncertainty (b) based on a sample size of 50.</w:t>
        </w:r>
        <w:r w:rsidR="00836443">
          <w:rPr>
            <w:noProof/>
            <w:webHidden/>
          </w:rPr>
          <w:tab/>
        </w:r>
        <w:r w:rsidR="00836443">
          <w:rPr>
            <w:noProof/>
            <w:webHidden/>
          </w:rPr>
          <w:fldChar w:fldCharType="begin"/>
        </w:r>
        <w:r w:rsidR="00836443">
          <w:rPr>
            <w:noProof/>
            <w:webHidden/>
          </w:rPr>
          <w:instrText xml:space="preserve"> PAGEREF _Toc482034954 \h </w:instrText>
        </w:r>
        <w:r w:rsidR="00836443">
          <w:rPr>
            <w:noProof/>
            <w:webHidden/>
          </w:rPr>
        </w:r>
        <w:r w:rsidR="00836443">
          <w:rPr>
            <w:noProof/>
            <w:webHidden/>
          </w:rPr>
          <w:fldChar w:fldCharType="separate"/>
        </w:r>
        <w:r w:rsidR="000B6FA5">
          <w:rPr>
            <w:noProof/>
            <w:webHidden/>
          </w:rPr>
          <w:t>85</w:t>
        </w:r>
        <w:r w:rsidR="00836443">
          <w:rPr>
            <w:noProof/>
            <w:webHidden/>
          </w:rPr>
          <w:fldChar w:fldCharType="end"/>
        </w:r>
      </w:hyperlink>
    </w:p>
    <w:p w14:paraId="32A0B197" w14:textId="77777777" w:rsidR="00836443" w:rsidRDefault="00A2085C">
      <w:pPr>
        <w:pStyle w:val="TableofFigures"/>
        <w:rPr>
          <w:rFonts w:asciiTheme="minorHAnsi" w:eastAsiaTheme="minorEastAsia" w:hAnsiTheme="minorHAnsi" w:cstheme="minorBidi"/>
          <w:noProof/>
          <w:color w:val="auto"/>
          <w:sz w:val="22"/>
        </w:rPr>
      </w:pPr>
      <w:hyperlink w:anchor="_Toc482034955" w:history="1">
        <w:r w:rsidR="00836443" w:rsidRPr="000D3FB8">
          <w:rPr>
            <w:rStyle w:val="Hyperlink"/>
            <w:noProof/>
          </w:rPr>
          <w:t>Figure 7</w:t>
        </w:r>
        <w:r w:rsidR="00836443" w:rsidRPr="000D3FB8">
          <w:rPr>
            <w:rStyle w:val="Hyperlink"/>
            <w:noProof/>
          </w:rPr>
          <w:noBreakHyphen/>
          <w:t>2. Illustration of the bootstrapping approach to estimate parameter (a) and model prediction uncertainty (b) based on a sample size of 300.</w:t>
        </w:r>
        <w:r w:rsidR="00836443">
          <w:rPr>
            <w:noProof/>
            <w:webHidden/>
          </w:rPr>
          <w:tab/>
        </w:r>
        <w:r w:rsidR="00836443">
          <w:rPr>
            <w:noProof/>
            <w:webHidden/>
          </w:rPr>
          <w:fldChar w:fldCharType="begin"/>
        </w:r>
        <w:r w:rsidR="00836443">
          <w:rPr>
            <w:noProof/>
            <w:webHidden/>
          </w:rPr>
          <w:instrText xml:space="preserve"> PAGEREF _Toc482034955 \h </w:instrText>
        </w:r>
        <w:r w:rsidR="00836443">
          <w:rPr>
            <w:noProof/>
            <w:webHidden/>
          </w:rPr>
        </w:r>
        <w:r w:rsidR="00836443">
          <w:rPr>
            <w:noProof/>
            <w:webHidden/>
          </w:rPr>
          <w:fldChar w:fldCharType="separate"/>
        </w:r>
        <w:r w:rsidR="000B6FA5">
          <w:rPr>
            <w:noProof/>
            <w:webHidden/>
          </w:rPr>
          <w:t>85</w:t>
        </w:r>
        <w:r w:rsidR="00836443">
          <w:rPr>
            <w:noProof/>
            <w:webHidden/>
          </w:rPr>
          <w:fldChar w:fldCharType="end"/>
        </w:r>
      </w:hyperlink>
    </w:p>
    <w:p w14:paraId="59C9AB38" w14:textId="77777777" w:rsidR="00836443" w:rsidRDefault="00A2085C">
      <w:pPr>
        <w:pStyle w:val="TableofFigures"/>
        <w:rPr>
          <w:rFonts w:asciiTheme="minorHAnsi" w:eastAsiaTheme="minorEastAsia" w:hAnsiTheme="minorHAnsi" w:cstheme="minorBidi"/>
          <w:noProof/>
          <w:color w:val="auto"/>
          <w:sz w:val="22"/>
        </w:rPr>
      </w:pPr>
      <w:hyperlink w:anchor="_Toc482034956" w:history="1">
        <w:r w:rsidR="00836443" w:rsidRPr="000D3FB8">
          <w:rPr>
            <w:rStyle w:val="Hyperlink"/>
            <w:noProof/>
          </w:rPr>
          <w:t>Figure 7</w:t>
        </w:r>
        <w:r w:rsidR="00836443" w:rsidRPr="000D3FB8">
          <w:rPr>
            <w:rStyle w:val="Hyperlink"/>
            <w:noProof/>
          </w:rPr>
          <w:noBreakHyphen/>
          <w:t>3 Effect of sample size on robustness (90 % confidence interval) of estimated percentiles of maximum drawdown.</w:t>
        </w:r>
        <w:r w:rsidR="00836443">
          <w:rPr>
            <w:noProof/>
            <w:webHidden/>
          </w:rPr>
          <w:tab/>
        </w:r>
        <w:r w:rsidR="00836443">
          <w:rPr>
            <w:noProof/>
            <w:webHidden/>
          </w:rPr>
          <w:fldChar w:fldCharType="begin"/>
        </w:r>
        <w:r w:rsidR="00836443">
          <w:rPr>
            <w:noProof/>
            <w:webHidden/>
          </w:rPr>
          <w:instrText xml:space="preserve"> PAGEREF _Toc482034956 \h </w:instrText>
        </w:r>
        <w:r w:rsidR="00836443">
          <w:rPr>
            <w:noProof/>
            <w:webHidden/>
          </w:rPr>
        </w:r>
        <w:r w:rsidR="00836443">
          <w:rPr>
            <w:noProof/>
            <w:webHidden/>
          </w:rPr>
          <w:fldChar w:fldCharType="separate"/>
        </w:r>
        <w:r w:rsidR="000B6FA5">
          <w:rPr>
            <w:noProof/>
            <w:webHidden/>
          </w:rPr>
          <w:t>86</w:t>
        </w:r>
        <w:r w:rsidR="00836443">
          <w:rPr>
            <w:noProof/>
            <w:webHidden/>
          </w:rPr>
          <w:fldChar w:fldCharType="end"/>
        </w:r>
      </w:hyperlink>
    </w:p>
    <w:p w14:paraId="28BA7A7B" w14:textId="77777777" w:rsidR="00836443" w:rsidRDefault="00A2085C">
      <w:pPr>
        <w:pStyle w:val="TableofFigures"/>
        <w:rPr>
          <w:rFonts w:asciiTheme="minorHAnsi" w:eastAsiaTheme="minorEastAsia" w:hAnsiTheme="minorHAnsi" w:cstheme="minorBidi"/>
          <w:noProof/>
          <w:color w:val="auto"/>
          <w:sz w:val="22"/>
        </w:rPr>
      </w:pPr>
      <w:hyperlink w:anchor="_Toc482034957" w:history="1">
        <w:r w:rsidR="00836443" w:rsidRPr="000D3FB8">
          <w:rPr>
            <w:rStyle w:val="Hyperlink"/>
            <w:noProof/>
          </w:rPr>
          <w:t>Figure 7</w:t>
        </w:r>
        <w:r w:rsidR="00836443" w:rsidRPr="000D3FB8">
          <w:rPr>
            <w:rStyle w:val="Hyperlink"/>
            <w:noProof/>
          </w:rPr>
          <w:noBreakHyphen/>
          <w:t>4 Illustration of the bootstrapping approach to estimate model prediction uncertainty (maximum drawdown) based on a sample size of 50 for the homogeneous (a) and heterogeneous model (b).</w:t>
        </w:r>
        <w:r w:rsidR="00836443">
          <w:rPr>
            <w:noProof/>
            <w:webHidden/>
          </w:rPr>
          <w:tab/>
        </w:r>
        <w:r w:rsidR="00836443">
          <w:rPr>
            <w:noProof/>
            <w:webHidden/>
          </w:rPr>
          <w:fldChar w:fldCharType="begin"/>
        </w:r>
        <w:r w:rsidR="00836443">
          <w:rPr>
            <w:noProof/>
            <w:webHidden/>
          </w:rPr>
          <w:instrText xml:space="preserve"> PAGEREF _Toc482034957 \h </w:instrText>
        </w:r>
        <w:r w:rsidR="00836443">
          <w:rPr>
            <w:noProof/>
            <w:webHidden/>
          </w:rPr>
        </w:r>
        <w:r w:rsidR="00836443">
          <w:rPr>
            <w:noProof/>
            <w:webHidden/>
          </w:rPr>
          <w:fldChar w:fldCharType="separate"/>
        </w:r>
        <w:r w:rsidR="000B6FA5">
          <w:rPr>
            <w:noProof/>
            <w:webHidden/>
          </w:rPr>
          <w:t>87</w:t>
        </w:r>
        <w:r w:rsidR="00836443">
          <w:rPr>
            <w:noProof/>
            <w:webHidden/>
          </w:rPr>
          <w:fldChar w:fldCharType="end"/>
        </w:r>
      </w:hyperlink>
    </w:p>
    <w:p w14:paraId="14F9932F" w14:textId="77777777" w:rsidR="00836443" w:rsidRDefault="00A2085C">
      <w:pPr>
        <w:pStyle w:val="TableofFigures"/>
        <w:rPr>
          <w:rFonts w:asciiTheme="minorHAnsi" w:eastAsiaTheme="minorEastAsia" w:hAnsiTheme="minorHAnsi" w:cstheme="minorBidi"/>
          <w:noProof/>
          <w:color w:val="auto"/>
          <w:sz w:val="22"/>
        </w:rPr>
      </w:pPr>
      <w:hyperlink w:anchor="_Toc482034958" w:history="1">
        <w:r w:rsidR="00836443" w:rsidRPr="000D3FB8">
          <w:rPr>
            <w:rStyle w:val="Hyperlink"/>
            <w:noProof/>
          </w:rPr>
          <w:t>Figure 7</w:t>
        </w:r>
        <w:r w:rsidR="00836443" w:rsidRPr="000D3FB8">
          <w:rPr>
            <w:rStyle w:val="Hyperlink"/>
            <w:noProof/>
          </w:rPr>
          <w:noBreakHyphen/>
          <w:t>5 Illustration of the bootstrapping approach to estimate model prediction uncertainty across different sample sizes (heterogeneous model). Box plots show full data range, interquartile range (box) and median (red line).</w:t>
        </w:r>
        <w:r w:rsidR="00836443">
          <w:rPr>
            <w:noProof/>
            <w:webHidden/>
          </w:rPr>
          <w:tab/>
        </w:r>
        <w:r w:rsidR="00836443">
          <w:rPr>
            <w:noProof/>
            <w:webHidden/>
          </w:rPr>
          <w:fldChar w:fldCharType="begin"/>
        </w:r>
        <w:r w:rsidR="00836443">
          <w:rPr>
            <w:noProof/>
            <w:webHidden/>
          </w:rPr>
          <w:instrText xml:space="preserve"> PAGEREF _Toc482034958 \h </w:instrText>
        </w:r>
        <w:r w:rsidR="00836443">
          <w:rPr>
            <w:noProof/>
            <w:webHidden/>
          </w:rPr>
        </w:r>
        <w:r w:rsidR="00836443">
          <w:rPr>
            <w:noProof/>
            <w:webHidden/>
          </w:rPr>
          <w:fldChar w:fldCharType="separate"/>
        </w:r>
        <w:r w:rsidR="000B6FA5">
          <w:rPr>
            <w:noProof/>
            <w:webHidden/>
          </w:rPr>
          <w:t>87</w:t>
        </w:r>
        <w:r w:rsidR="00836443">
          <w:rPr>
            <w:noProof/>
            <w:webHidden/>
          </w:rPr>
          <w:fldChar w:fldCharType="end"/>
        </w:r>
      </w:hyperlink>
    </w:p>
    <w:p w14:paraId="607987C0" w14:textId="77777777" w:rsidR="00921014" w:rsidRPr="00B0618E" w:rsidRDefault="009959BB" w:rsidP="00994757">
      <w:pPr>
        <w:pStyle w:val="TableofFigures"/>
        <w:rPr>
          <w:color w:val="FF0000"/>
        </w:rPr>
      </w:pPr>
      <w:r w:rsidRPr="00B0618E">
        <w:rPr>
          <w:color w:val="FF0000"/>
        </w:rPr>
        <w:fldChar w:fldCharType="end"/>
      </w:r>
    </w:p>
    <w:p w14:paraId="3159C078" w14:textId="77777777" w:rsidR="00131036" w:rsidRPr="00B0618E" w:rsidRDefault="00131036">
      <w:pPr>
        <w:spacing w:after="0"/>
        <w:rPr>
          <w:rFonts w:eastAsiaTheme="majorEastAsia" w:cstheme="majorBidi"/>
          <w:b/>
          <w:color w:val="00313C" w:themeColor="accent2"/>
          <w:sz w:val="44"/>
          <w:szCs w:val="28"/>
        </w:rPr>
      </w:pPr>
      <w:r w:rsidRPr="00B0618E">
        <w:br w:type="page"/>
      </w:r>
    </w:p>
    <w:p w14:paraId="5B398EC3" w14:textId="77777777" w:rsidR="00A943B2" w:rsidRPr="00B0618E" w:rsidRDefault="004D139E" w:rsidP="00D1044D">
      <w:pPr>
        <w:pStyle w:val="ListofFiguresandTablesTOCHeading"/>
      </w:pPr>
      <w:r w:rsidRPr="00B0618E">
        <w:t>T</w:t>
      </w:r>
      <w:r w:rsidR="00A943B2" w:rsidRPr="00B0618E">
        <w:t>ables</w:t>
      </w:r>
    </w:p>
    <w:p w14:paraId="1EF422D0" w14:textId="77777777" w:rsidR="00D7232F" w:rsidRDefault="009959BB">
      <w:pPr>
        <w:pStyle w:val="TableofFigures"/>
        <w:rPr>
          <w:rFonts w:asciiTheme="minorHAnsi" w:eastAsiaTheme="minorEastAsia" w:hAnsiTheme="minorHAnsi" w:cstheme="minorBidi"/>
          <w:noProof/>
          <w:color w:val="auto"/>
          <w:sz w:val="22"/>
        </w:rPr>
      </w:pPr>
      <w:r w:rsidRPr="00B0618E">
        <w:rPr>
          <w:color w:val="FF0000"/>
        </w:rPr>
        <w:fldChar w:fldCharType="begin"/>
      </w:r>
      <w:r w:rsidR="00A943B2" w:rsidRPr="00B0618E">
        <w:rPr>
          <w:color w:val="FF0000"/>
        </w:rPr>
        <w:instrText xml:space="preserve"> TOC \h \z \c "Table" </w:instrText>
      </w:r>
      <w:r w:rsidRPr="00B0618E">
        <w:rPr>
          <w:color w:val="FF0000"/>
        </w:rPr>
        <w:fldChar w:fldCharType="separate"/>
      </w:r>
      <w:hyperlink w:anchor="_Toc503253885" w:history="1">
        <w:r w:rsidR="00D7232F" w:rsidRPr="008A2695">
          <w:rPr>
            <w:rStyle w:val="Hyperlink"/>
            <w:noProof/>
          </w:rPr>
          <w:t>Table 2</w:t>
        </w:r>
        <w:r w:rsidR="00D7232F" w:rsidRPr="008A2695">
          <w:rPr>
            <w:rStyle w:val="Hyperlink"/>
            <w:noProof/>
          </w:rPr>
          <w:noBreakHyphen/>
          <w:t>1. Stratigraphy of the Gunnedah Basin (CDM Smith, 2016; Geoscience Australia, 2016).</w:t>
        </w:r>
        <w:r w:rsidR="00D7232F">
          <w:rPr>
            <w:noProof/>
            <w:webHidden/>
          </w:rPr>
          <w:tab/>
        </w:r>
        <w:r w:rsidR="00D7232F">
          <w:rPr>
            <w:noProof/>
            <w:webHidden/>
          </w:rPr>
          <w:fldChar w:fldCharType="begin"/>
        </w:r>
        <w:r w:rsidR="00D7232F">
          <w:rPr>
            <w:noProof/>
            <w:webHidden/>
          </w:rPr>
          <w:instrText xml:space="preserve"> PAGEREF _Toc503253885 \h </w:instrText>
        </w:r>
        <w:r w:rsidR="00D7232F">
          <w:rPr>
            <w:noProof/>
            <w:webHidden/>
          </w:rPr>
        </w:r>
        <w:r w:rsidR="00D7232F">
          <w:rPr>
            <w:noProof/>
            <w:webHidden/>
          </w:rPr>
          <w:fldChar w:fldCharType="separate"/>
        </w:r>
        <w:r w:rsidR="000B6FA5">
          <w:rPr>
            <w:noProof/>
            <w:webHidden/>
          </w:rPr>
          <w:t>18</w:t>
        </w:r>
        <w:r w:rsidR="00D7232F">
          <w:rPr>
            <w:noProof/>
            <w:webHidden/>
          </w:rPr>
          <w:fldChar w:fldCharType="end"/>
        </w:r>
      </w:hyperlink>
    </w:p>
    <w:p w14:paraId="16E85597" w14:textId="77777777" w:rsidR="00D7232F" w:rsidRDefault="00A2085C">
      <w:pPr>
        <w:pStyle w:val="TableofFigures"/>
        <w:rPr>
          <w:rFonts w:asciiTheme="minorHAnsi" w:eastAsiaTheme="minorEastAsia" w:hAnsiTheme="minorHAnsi" w:cstheme="minorBidi"/>
          <w:noProof/>
          <w:color w:val="auto"/>
          <w:sz w:val="22"/>
        </w:rPr>
      </w:pPr>
      <w:hyperlink w:anchor="_Toc503253886" w:history="1">
        <w:r w:rsidR="00D7232F" w:rsidRPr="008A2695">
          <w:rPr>
            <w:rStyle w:val="Hyperlink"/>
            <w:noProof/>
          </w:rPr>
          <w:t>Table 2</w:t>
        </w:r>
        <w:r w:rsidR="00D7232F" w:rsidRPr="008A2695">
          <w:rPr>
            <w:rStyle w:val="Hyperlink"/>
            <w:noProof/>
          </w:rPr>
          <w:noBreakHyphen/>
          <w:t>2. Hydrostratigraphy of the Gunnedah-Surat basins as represented in the CDM Smith (2016) groundwater flow model.</w:t>
        </w:r>
        <w:r w:rsidR="00D7232F">
          <w:rPr>
            <w:noProof/>
            <w:webHidden/>
          </w:rPr>
          <w:tab/>
        </w:r>
        <w:r w:rsidR="00D7232F">
          <w:rPr>
            <w:noProof/>
            <w:webHidden/>
          </w:rPr>
          <w:fldChar w:fldCharType="begin"/>
        </w:r>
        <w:r w:rsidR="00D7232F">
          <w:rPr>
            <w:noProof/>
            <w:webHidden/>
          </w:rPr>
          <w:instrText xml:space="preserve"> PAGEREF _Toc503253886 \h </w:instrText>
        </w:r>
        <w:r w:rsidR="00D7232F">
          <w:rPr>
            <w:noProof/>
            <w:webHidden/>
          </w:rPr>
        </w:r>
        <w:r w:rsidR="00D7232F">
          <w:rPr>
            <w:noProof/>
            <w:webHidden/>
          </w:rPr>
          <w:fldChar w:fldCharType="separate"/>
        </w:r>
        <w:r w:rsidR="000B6FA5">
          <w:rPr>
            <w:noProof/>
            <w:webHidden/>
          </w:rPr>
          <w:t>20</w:t>
        </w:r>
        <w:r w:rsidR="00D7232F">
          <w:rPr>
            <w:noProof/>
            <w:webHidden/>
          </w:rPr>
          <w:fldChar w:fldCharType="end"/>
        </w:r>
      </w:hyperlink>
    </w:p>
    <w:p w14:paraId="6A283507" w14:textId="77777777" w:rsidR="00D7232F" w:rsidRDefault="00A2085C">
      <w:pPr>
        <w:pStyle w:val="TableofFigures"/>
        <w:rPr>
          <w:rFonts w:asciiTheme="minorHAnsi" w:eastAsiaTheme="minorEastAsia" w:hAnsiTheme="minorHAnsi" w:cstheme="minorBidi"/>
          <w:noProof/>
          <w:color w:val="auto"/>
          <w:sz w:val="22"/>
        </w:rPr>
      </w:pPr>
      <w:hyperlink w:anchor="_Toc503253887" w:history="1">
        <w:r w:rsidR="00D7232F" w:rsidRPr="008A2695">
          <w:rPr>
            <w:rStyle w:val="Hyperlink"/>
            <w:noProof/>
          </w:rPr>
          <w:t>Table 3</w:t>
        </w:r>
        <w:r w:rsidR="00D7232F" w:rsidRPr="008A2695">
          <w:rPr>
            <w:rStyle w:val="Hyperlink"/>
            <w:noProof/>
          </w:rPr>
          <w:noBreakHyphen/>
          <w:t xml:space="preserve">1. Results of parameter stress testing of the CDM Smith (2016) Gunnedah-Surat basins groundwater flow model. Parameter ranges (for each of </w:t>
        </w:r>
        <w:r w:rsidR="00D7232F" w:rsidRPr="008A2695">
          <w:rPr>
            <w:rStyle w:val="Hyperlink"/>
            <w:i/>
            <w:noProof/>
          </w:rPr>
          <w:t>K</w:t>
        </w:r>
        <w:r w:rsidR="00D7232F" w:rsidRPr="008A2695">
          <w:rPr>
            <w:rStyle w:val="Hyperlink"/>
            <w:i/>
            <w:noProof/>
            <w:vertAlign w:val="subscript"/>
          </w:rPr>
          <w:t>H</w:t>
        </w:r>
        <w:r w:rsidR="00D7232F" w:rsidRPr="008A2695">
          <w:rPr>
            <w:rStyle w:val="Hyperlink"/>
            <w:noProof/>
          </w:rPr>
          <w:t xml:space="preserve">, </w:t>
        </w:r>
        <w:r w:rsidR="00D7232F" w:rsidRPr="008A2695">
          <w:rPr>
            <w:rStyle w:val="Hyperlink"/>
            <w:i/>
            <w:noProof/>
          </w:rPr>
          <w:t>K</w:t>
        </w:r>
        <w:r w:rsidR="00D7232F" w:rsidRPr="008A2695">
          <w:rPr>
            <w:rStyle w:val="Hyperlink"/>
            <w:i/>
            <w:noProof/>
            <w:vertAlign w:val="subscript"/>
          </w:rPr>
          <w:t>V</w:t>
        </w:r>
        <w:r w:rsidR="00D7232F" w:rsidRPr="008A2695">
          <w:rPr>
            <w:rStyle w:val="Hyperlink"/>
            <w:i/>
            <w:noProof/>
          </w:rPr>
          <w:t xml:space="preserve"> </w:t>
        </w:r>
        <w:r w:rsidR="00D7232F" w:rsidRPr="008A2695">
          <w:rPr>
            <w:rStyle w:val="Hyperlink"/>
            <w:noProof/>
          </w:rPr>
          <w:t xml:space="preserve">and </w:t>
        </w:r>
        <w:r w:rsidR="00D7232F" w:rsidRPr="008A2695">
          <w:rPr>
            <w:rStyle w:val="Hyperlink"/>
            <w:i/>
            <w:noProof/>
          </w:rPr>
          <w:t>S</w:t>
        </w:r>
        <w:r w:rsidR="00D7232F" w:rsidRPr="008A2695">
          <w:rPr>
            <w:rStyle w:val="Hyperlink"/>
            <w:i/>
            <w:noProof/>
            <w:vertAlign w:val="subscript"/>
          </w:rPr>
          <w:t>S</w:t>
        </w:r>
        <w:r w:rsidR="00D7232F" w:rsidRPr="008A2695">
          <w:rPr>
            <w:rStyle w:val="Hyperlink"/>
            <w:noProof/>
          </w:rPr>
          <w:t>) were specified as the CDM Smith (2016) parameter value ± two orders of magnitude.</w:t>
        </w:r>
        <w:r w:rsidR="00D7232F">
          <w:rPr>
            <w:noProof/>
            <w:webHidden/>
          </w:rPr>
          <w:tab/>
        </w:r>
        <w:r w:rsidR="00D7232F">
          <w:rPr>
            <w:noProof/>
            <w:webHidden/>
          </w:rPr>
          <w:fldChar w:fldCharType="begin"/>
        </w:r>
        <w:r w:rsidR="00D7232F">
          <w:rPr>
            <w:noProof/>
            <w:webHidden/>
          </w:rPr>
          <w:instrText xml:space="preserve"> PAGEREF _Toc503253887 \h </w:instrText>
        </w:r>
        <w:r w:rsidR="00D7232F">
          <w:rPr>
            <w:noProof/>
            <w:webHidden/>
          </w:rPr>
        </w:r>
        <w:r w:rsidR="00D7232F">
          <w:rPr>
            <w:noProof/>
            <w:webHidden/>
          </w:rPr>
          <w:fldChar w:fldCharType="separate"/>
        </w:r>
        <w:r w:rsidR="000B6FA5">
          <w:rPr>
            <w:noProof/>
            <w:webHidden/>
          </w:rPr>
          <w:t>24</w:t>
        </w:r>
        <w:r w:rsidR="00D7232F">
          <w:rPr>
            <w:noProof/>
            <w:webHidden/>
          </w:rPr>
          <w:fldChar w:fldCharType="end"/>
        </w:r>
      </w:hyperlink>
    </w:p>
    <w:p w14:paraId="23875012" w14:textId="77777777" w:rsidR="00D7232F" w:rsidRDefault="00A2085C">
      <w:pPr>
        <w:pStyle w:val="TableofFigures"/>
        <w:rPr>
          <w:rFonts w:asciiTheme="minorHAnsi" w:eastAsiaTheme="minorEastAsia" w:hAnsiTheme="minorHAnsi" w:cstheme="minorBidi"/>
          <w:noProof/>
          <w:color w:val="auto"/>
          <w:sz w:val="22"/>
        </w:rPr>
      </w:pPr>
      <w:hyperlink w:anchor="_Toc503253888" w:history="1">
        <w:r w:rsidR="00D7232F" w:rsidRPr="008A2695">
          <w:rPr>
            <w:rStyle w:val="Hyperlink"/>
            <w:noProof/>
          </w:rPr>
          <w:t>Table 3</w:t>
        </w:r>
        <w:r w:rsidR="00D7232F" w:rsidRPr="008A2695">
          <w:rPr>
            <w:rStyle w:val="Hyperlink"/>
            <w:noProof/>
          </w:rPr>
          <w:noBreakHyphen/>
          <w:t>2. Specified and sampled minimum and maximum parameter values used in preliminary global sensitivity analysis of the preliminary CDM Smith (2016) groundwater flow model. All parameters were log</w:t>
        </w:r>
        <w:r w:rsidR="00D7232F" w:rsidRPr="008A2695">
          <w:rPr>
            <w:rStyle w:val="Hyperlink"/>
            <w:noProof/>
            <w:vertAlign w:val="subscript"/>
          </w:rPr>
          <w:t>10</w:t>
        </w:r>
        <w:r w:rsidR="00D7232F" w:rsidRPr="008A2695">
          <w:rPr>
            <w:rStyle w:val="Hyperlink"/>
            <w:noProof/>
          </w:rPr>
          <w:t xml:space="preserve"> transformed and random sampling of parameters was undertaken from log-uniform distributions. </w:t>
        </w:r>
        <w:r w:rsidR="00D7232F" w:rsidRPr="008A2695">
          <w:rPr>
            <w:rStyle w:val="Hyperlink"/>
            <w:i/>
            <w:noProof/>
          </w:rPr>
          <w:t>K</w:t>
        </w:r>
        <w:r w:rsidR="00D7232F" w:rsidRPr="008A2695">
          <w:rPr>
            <w:rStyle w:val="Hyperlink"/>
            <w:noProof/>
            <w:vertAlign w:val="subscript"/>
          </w:rPr>
          <w:t>H</w:t>
        </w:r>
        <w:r w:rsidR="00D7232F" w:rsidRPr="008A2695">
          <w:rPr>
            <w:rStyle w:val="Hyperlink"/>
            <w:i/>
            <w:noProof/>
          </w:rPr>
          <w:t xml:space="preserve"> </w:t>
        </w:r>
        <w:r w:rsidR="00D7232F" w:rsidRPr="008A2695">
          <w:rPr>
            <w:rStyle w:val="Hyperlink"/>
            <w:noProof/>
          </w:rPr>
          <w:t xml:space="preserve">and </w:t>
        </w:r>
        <w:r w:rsidR="00D7232F" w:rsidRPr="008A2695">
          <w:rPr>
            <w:rStyle w:val="Hyperlink"/>
            <w:i/>
            <w:noProof/>
          </w:rPr>
          <w:t>K</w:t>
        </w:r>
        <w:r w:rsidR="00D7232F" w:rsidRPr="008A2695">
          <w:rPr>
            <w:rStyle w:val="Hyperlink"/>
            <w:noProof/>
            <w:vertAlign w:val="subscript"/>
          </w:rPr>
          <w:t>V</w:t>
        </w:r>
        <w:r w:rsidR="00D7232F" w:rsidRPr="008A2695">
          <w:rPr>
            <w:rStyle w:val="Hyperlink"/>
            <w:i/>
            <w:noProof/>
          </w:rPr>
          <w:t xml:space="preserve"> </w:t>
        </w:r>
        <w:r w:rsidR="00D7232F" w:rsidRPr="008A2695">
          <w:rPr>
            <w:rStyle w:val="Hyperlink"/>
            <w:noProof/>
          </w:rPr>
          <w:t>in m/day, SS in m</w:t>
        </w:r>
        <w:r w:rsidR="00D7232F" w:rsidRPr="008A2695">
          <w:rPr>
            <w:rStyle w:val="Hyperlink"/>
            <w:noProof/>
            <w:vertAlign w:val="superscript"/>
          </w:rPr>
          <w:t>-1</w:t>
        </w:r>
        <w:r w:rsidR="00D7232F" w:rsidRPr="008A2695">
          <w:rPr>
            <w:rStyle w:val="Hyperlink"/>
            <w:noProof/>
          </w:rPr>
          <w:t>.</w:t>
        </w:r>
        <w:r w:rsidR="00D7232F">
          <w:rPr>
            <w:noProof/>
            <w:webHidden/>
          </w:rPr>
          <w:tab/>
        </w:r>
        <w:r w:rsidR="00D7232F">
          <w:rPr>
            <w:noProof/>
            <w:webHidden/>
          </w:rPr>
          <w:fldChar w:fldCharType="begin"/>
        </w:r>
        <w:r w:rsidR="00D7232F">
          <w:rPr>
            <w:noProof/>
            <w:webHidden/>
          </w:rPr>
          <w:instrText xml:space="preserve"> PAGEREF _Toc503253888 \h </w:instrText>
        </w:r>
        <w:r w:rsidR="00D7232F">
          <w:rPr>
            <w:noProof/>
            <w:webHidden/>
          </w:rPr>
        </w:r>
        <w:r w:rsidR="00D7232F">
          <w:rPr>
            <w:noProof/>
            <w:webHidden/>
          </w:rPr>
          <w:fldChar w:fldCharType="separate"/>
        </w:r>
        <w:r w:rsidR="000B6FA5">
          <w:rPr>
            <w:noProof/>
            <w:webHidden/>
          </w:rPr>
          <w:t>28</w:t>
        </w:r>
        <w:r w:rsidR="00D7232F">
          <w:rPr>
            <w:noProof/>
            <w:webHidden/>
          </w:rPr>
          <w:fldChar w:fldCharType="end"/>
        </w:r>
      </w:hyperlink>
    </w:p>
    <w:p w14:paraId="1917860D" w14:textId="77777777" w:rsidR="00D7232F" w:rsidRDefault="00A2085C">
      <w:pPr>
        <w:pStyle w:val="TableofFigures"/>
        <w:rPr>
          <w:rFonts w:asciiTheme="minorHAnsi" w:eastAsiaTheme="minorEastAsia" w:hAnsiTheme="minorHAnsi" w:cstheme="minorBidi"/>
          <w:noProof/>
          <w:color w:val="auto"/>
          <w:sz w:val="22"/>
        </w:rPr>
      </w:pPr>
      <w:hyperlink w:anchor="_Toc503253889" w:history="1">
        <w:r w:rsidR="00D7232F" w:rsidRPr="008A2695">
          <w:rPr>
            <w:rStyle w:val="Hyperlink"/>
            <w:noProof/>
          </w:rPr>
          <w:t>Table 4</w:t>
        </w:r>
        <w:r w:rsidR="00D7232F" w:rsidRPr="008A2695">
          <w:rPr>
            <w:rStyle w:val="Hyperlink"/>
            <w:noProof/>
          </w:rPr>
          <w:noBreakHyphen/>
          <w:t>1. Statistical summary of log</w:t>
        </w:r>
        <w:r w:rsidR="00D7232F" w:rsidRPr="008A2695">
          <w:rPr>
            <w:rStyle w:val="Hyperlink"/>
            <w:noProof/>
            <w:vertAlign w:val="subscript"/>
          </w:rPr>
          <w:t>10</w:t>
        </w:r>
        <w:r w:rsidR="00D7232F" w:rsidRPr="008A2695">
          <w:rPr>
            <w:rStyle w:val="Hyperlink"/>
            <w:noProof/>
          </w:rPr>
          <w:t xml:space="preserve"> aquitard vertical hydraulic conductivity (log</w:t>
        </w:r>
        <w:r w:rsidR="00D7232F" w:rsidRPr="008A2695">
          <w:rPr>
            <w:rStyle w:val="Hyperlink"/>
            <w:noProof/>
            <w:vertAlign w:val="subscript"/>
          </w:rPr>
          <w:t>10</w:t>
        </w:r>
        <w:r w:rsidR="00D7232F" w:rsidRPr="008A2695">
          <w:rPr>
            <w:rStyle w:val="Hyperlink"/>
            <w:noProof/>
          </w:rPr>
          <w:t xml:space="preserve"> </w:t>
        </w:r>
        <w:r w:rsidR="00D7232F" w:rsidRPr="008A2695">
          <w:rPr>
            <w:rStyle w:val="Hyperlink"/>
            <w:i/>
            <w:noProof/>
          </w:rPr>
          <w:t>K</w:t>
        </w:r>
        <w:r w:rsidR="00D7232F" w:rsidRPr="008A2695">
          <w:rPr>
            <w:rStyle w:val="Hyperlink"/>
            <w:i/>
            <w:noProof/>
            <w:vertAlign w:val="subscript"/>
          </w:rPr>
          <w:t>V</w:t>
        </w:r>
        <w:r w:rsidR="00D7232F" w:rsidRPr="008A2695">
          <w:rPr>
            <w:rStyle w:val="Hyperlink"/>
            <w:noProof/>
          </w:rPr>
          <w:t>) values upscaled from core-scale observations using harmonic averaging.</w:t>
        </w:r>
        <w:r w:rsidR="00D7232F">
          <w:rPr>
            <w:noProof/>
            <w:webHidden/>
          </w:rPr>
          <w:tab/>
        </w:r>
        <w:r w:rsidR="00D7232F">
          <w:rPr>
            <w:noProof/>
            <w:webHidden/>
          </w:rPr>
          <w:fldChar w:fldCharType="begin"/>
        </w:r>
        <w:r w:rsidR="00D7232F">
          <w:rPr>
            <w:noProof/>
            <w:webHidden/>
          </w:rPr>
          <w:instrText xml:space="preserve"> PAGEREF _Toc503253889 \h </w:instrText>
        </w:r>
        <w:r w:rsidR="00D7232F">
          <w:rPr>
            <w:noProof/>
            <w:webHidden/>
          </w:rPr>
        </w:r>
        <w:r w:rsidR="00D7232F">
          <w:rPr>
            <w:noProof/>
            <w:webHidden/>
          </w:rPr>
          <w:fldChar w:fldCharType="separate"/>
        </w:r>
        <w:r w:rsidR="000B6FA5">
          <w:rPr>
            <w:noProof/>
            <w:webHidden/>
          </w:rPr>
          <w:t>44</w:t>
        </w:r>
        <w:r w:rsidR="00D7232F">
          <w:rPr>
            <w:noProof/>
            <w:webHidden/>
          </w:rPr>
          <w:fldChar w:fldCharType="end"/>
        </w:r>
      </w:hyperlink>
    </w:p>
    <w:p w14:paraId="367E6D73" w14:textId="77777777" w:rsidR="00D7232F" w:rsidRDefault="00A2085C">
      <w:pPr>
        <w:pStyle w:val="TableofFigures"/>
        <w:rPr>
          <w:rFonts w:asciiTheme="minorHAnsi" w:eastAsiaTheme="minorEastAsia" w:hAnsiTheme="minorHAnsi" w:cstheme="minorBidi"/>
          <w:noProof/>
          <w:color w:val="auto"/>
          <w:sz w:val="22"/>
        </w:rPr>
      </w:pPr>
      <w:hyperlink w:anchor="_Toc503253890" w:history="1">
        <w:r w:rsidR="00D7232F" w:rsidRPr="008A2695">
          <w:rPr>
            <w:rStyle w:val="Hyperlink"/>
            <w:noProof/>
          </w:rPr>
          <w:t>Table 4</w:t>
        </w:r>
        <w:r w:rsidR="00D7232F" w:rsidRPr="008A2695">
          <w:rPr>
            <w:rStyle w:val="Hyperlink"/>
            <w:noProof/>
          </w:rPr>
          <w:noBreakHyphen/>
          <w:t>2. Statistical summary of log</w:t>
        </w:r>
        <w:r w:rsidR="00D7232F" w:rsidRPr="008A2695">
          <w:rPr>
            <w:rStyle w:val="Hyperlink"/>
            <w:noProof/>
            <w:vertAlign w:val="subscript"/>
          </w:rPr>
          <w:t>10</w:t>
        </w:r>
        <w:r w:rsidR="00D7232F" w:rsidRPr="008A2695">
          <w:rPr>
            <w:rStyle w:val="Hyperlink"/>
            <w:noProof/>
          </w:rPr>
          <w:t xml:space="preserve"> transformed aquitard vertical hydraulic conductivity (log</w:t>
        </w:r>
        <w:r w:rsidR="00D7232F" w:rsidRPr="008A2695">
          <w:rPr>
            <w:rStyle w:val="Hyperlink"/>
            <w:noProof/>
            <w:vertAlign w:val="subscript"/>
          </w:rPr>
          <w:t>10</w:t>
        </w:r>
        <w:r w:rsidR="00D7232F" w:rsidRPr="008A2695">
          <w:rPr>
            <w:rStyle w:val="Hyperlink"/>
            <w:noProof/>
          </w:rPr>
          <w:t xml:space="preserve"> </w:t>
        </w:r>
        <w:r w:rsidR="00D7232F" w:rsidRPr="008A2695">
          <w:rPr>
            <w:rStyle w:val="Hyperlink"/>
            <w:i/>
            <w:noProof/>
          </w:rPr>
          <w:t>K</w:t>
        </w:r>
        <w:r w:rsidR="00D7232F" w:rsidRPr="008A2695">
          <w:rPr>
            <w:rStyle w:val="Hyperlink"/>
            <w:i/>
            <w:noProof/>
            <w:vertAlign w:val="subscript"/>
          </w:rPr>
          <w:t>V</w:t>
        </w:r>
        <w:r w:rsidR="00D7232F" w:rsidRPr="008A2695">
          <w:rPr>
            <w:rStyle w:val="Hyperlink"/>
            <w:noProof/>
          </w:rPr>
          <w:t xml:space="preserve">) values upscaled from core-scale observations using numerical averaging. </w:t>
        </w:r>
        <w:r w:rsidR="00D7232F" w:rsidRPr="008A2695">
          <w:rPr>
            <w:rStyle w:val="Hyperlink"/>
            <w:i/>
            <w:noProof/>
          </w:rPr>
          <w:t>K</w:t>
        </w:r>
        <w:r w:rsidR="00D7232F" w:rsidRPr="008A2695">
          <w:rPr>
            <w:rStyle w:val="Hyperlink"/>
            <w:i/>
            <w:noProof/>
            <w:vertAlign w:val="subscript"/>
          </w:rPr>
          <w:t xml:space="preserve">V  </w:t>
        </w:r>
        <w:r w:rsidR="00D7232F" w:rsidRPr="008A2695">
          <w:rPr>
            <w:rStyle w:val="Hyperlink"/>
            <w:noProof/>
          </w:rPr>
          <w:t>in m/day.</w:t>
        </w:r>
        <w:r w:rsidR="00D7232F">
          <w:rPr>
            <w:noProof/>
            <w:webHidden/>
          </w:rPr>
          <w:tab/>
        </w:r>
        <w:r w:rsidR="00D7232F">
          <w:rPr>
            <w:noProof/>
            <w:webHidden/>
          </w:rPr>
          <w:fldChar w:fldCharType="begin"/>
        </w:r>
        <w:r w:rsidR="00D7232F">
          <w:rPr>
            <w:noProof/>
            <w:webHidden/>
          </w:rPr>
          <w:instrText xml:space="preserve"> PAGEREF _Toc503253890 \h </w:instrText>
        </w:r>
        <w:r w:rsidR="00D7232F">
          <w:rPr>
            <w:noProof/>
            <w:webHidden/>
          </w:rPr>
        </w:r>
        <w:r w:rsidR="00D7232F">
          <w:rPr>
            <w:noProof/>
            <w:webHidden/>
          </w:rPr>
          <w:fldChar w:fldCharType="separate"/>
        </w:r>
        <w:r w:rsidR="000B6FA5">
          <w:rPr>
            <w:noProof/>
            <w:webHidden/>
          </w:rPr>
          <w:t>45</w:t>
        </w:r>
        <w:r w:rsidR="00D7232F">
          <w:rPr>
            <w:noProof/>
            <w:webHidden/>
          </w:rPr>
          <w:fldChar w:fldCharType="end"/>
        </w:r>
      </w:hyperlink>
    </w:p>
    <w:p w14:paraId="2B39AE9E" w14:textId="77777777" w:rsidR="00D7232F" w:rsidRDefault="00A2085C">
      <w:pPr>
        <w:pStyle w:val="TableofFigures"/>
        <w:rPr>
          <w:rFonts w:asciiTheme="minorHAnsi" w:eastAsiaTheme="minorEastAsia" w:hAnsiTheme="minorHAnsi" w:cstheme="minorBidi"/>
          <w:noProof/>
          <w:color w:val="auto"/>
          <w:sz w:val="22"/>
        </w:rPr>
      </w:pPr>
      <w:hyperlink w:anchor="_Toc503253891" w:history="1">
        <w:r w:rsidR="00D7232F" w:rsidRPr="008A2695">
          <w:rPr>
            <w:rStyle w:val="Hyperlink"/>
            <w:noProof/>
          </w:rPr>
          <w:t>Table 5</w:t>
        </w:r>
        <w:r w:rsidR="00D7232F" w:rsidRPr="008A2695">
          <w:rPr>
            <w:rStyle w:val="Hyperlink"/>
            <w:noProof/>
          </w:rPr>
          <w:noBreakHyphen/>
          <w:t>1. Median values of four prediction metrics based on sets of 300 model runs for each of the ‘initial’ and ‘revised’ models.</w:t>
        </w:r>
        <w:r w:rsidR="00D7232F">
          <w:rPr>
            <w:noProof/>
            <w:webHidden/>
          </w:rPr>
          <w:tab/>
        </w:r>
        <w:r w:rsidR="00D7232F">
          <w:rPr>
            <w:noProof/>
            <w:webHidden/>
          </w:rPr>
          <w:fldChar w:fldCharType="begin"/>
        </w:r>
        <w:r w:rsidR="00D7232F">
          <w:rPr>
            <w:noProof/>
            <w:webHidden/>
          </w:rPr>
          <w:instrText xml:space="preserve"> PAGEREF _Toc503253891 \h </w:instrText>
        </w:r>
        <w:r w:rsidR="00D7232F">
          <w:rPr>
            <w:noProof/>
            <w:webHidden/>
          </w:rPr>
        </w:r>
        <w:r w:rsidR="00D7232F">
          <w:rPr>
            <w:noProof/>
            <w:webHidden/>
          </w:rPr>
          <w:fldChar w:fldCharType="separate"/>
        </w:r>
        <w:r w:rsidR="000B6FA5">
          <w:rPr>
            <w:noProof/>
            <w:webHidden/>
          </w:rPr>
          <w:t>61</w:t>
        </w:r>
        <w:r w:rsidR="00D7232F">
          <w:rPr>
            <w:noProof/>
            <w:webHidden/>
          </w:rPr>
          <w:fldChar w:fldCharType="end"/>
        </w:r>
      </w:hyperlink>
    </w:p>
    <w:p w14:paraId="5EECB512" w14:textId="77777777" w:rsidR="00D7232F" w:rsidRDefault="00A2085C">
      <w:pPr>
        <w:pStyle w:val="TableofFigures"/>
        <w:rPr>
          <w:rFonts w:asciiTheme="minorHAnsi" w:eastAsiaTheme="minorEastAsia" w:hAnsiTheme="minorHAnsi" w:cstheme="minorBidi"/>
          <w:noProof/>
          <w:color w:val="auto"/>
          <w:sz w:val="22"/>
        </w:rPr>
      </w:pPr>
      <w:hyperlink w:anchor="_Toc503253892" w:history="1">
        <w:r w:rsidR="00D7232F" w:rsidRPr="008A2695">
          <w:rPr>
            <w:rStyle w:val="Hyperlink"/>
            <w:noProof/>
          </w:rPr>
          <w:t>Table 5</w:t>
        </w:r>
        <w:r w:rsidR="00D7232F" w:rsidRPr="008A2695">
          <w:rPr>
            <w:rStyle w:val="Hyperlink"/>
            <w:noProof/>
          </w:rPr>
          <w:noBreakHyphen/>
          <w:t>2. 95</w:t>
        </w:r>
        <w:r w:rsidR="00D7232F" w:rsidRPr="008A2695">
          <w:rPr>
            <w:rStyle w:val="Hyperlink"/>
            <w:noProof/>
            <w:vertAlign w:val="superscript"/>
          </w:rPr>
          <w:t>th</w:t>
        </w:r>
        <w:r w:rsidR="00D7232F" w:rsidRPr="008A2695">
          <w:rPr>
            <w:rStyle w:val="Hyperlink"/>
            <w:noProof/>
          </w:rPr>
          <w:t xml:space="preserve"> percentiles of four prediction metrics based on sets of 300 model runs for each of the ‘initial’ and ‘revised’ models.</w:t>
        </w:r>
        <w:r w:rsidR="00D7232F">
          <w:rPr>
            <w:noProof/>
            <w:webHidden/>
          </w:rPr>
          <w:tab/>
        </w:r>
        <w:r w:rsidR="00D7232F">
          <w:rPr>
            <w:noProof/>
            <w:webHidden/>
          </w:rPr>
          <w:fldChar w:fldCharType="begin"/>
        </w:r>
        <w:r w:rsidR="00D7232F">
          <w:rPr>
            <w:noProof/>
            <w:webHidden/>
          </w:rPr>
          <w:instrText xml:space="preserve"> PAGEREF _Toc503253892 \h </w:instrText>
        </w:r>
        <w:r w:rsidR="00D7232F">
          <w:rPr>
            <w:noProof/>
            <w:webHidden/>
          </w:rPr>
        </w:r>
        <w:r w:rsidR="00D7232F">
          <w:rPr>
            <w:noProof/>
            <w:webHidden/>
          </w:rPr>
          <w:fldChar w:fldCharType="separate"/>
        </w:r>
        <w:r w:rsidR="000B6FA5">
          <w:rPr>
            <w:noProof/>
            <w:webHidden/>
          </w:rPr>
          <w:t>62</w:t>
        </w:r>
        <w:r w:rsidR="00D7232F">
          <w:rPr>
            <w:noProof/>
            <w:webHidden/>
          </w:rPr>
          <w:fldChar w:fldCharType="end"/>
        </w:r>
      </w:hyperlink>
    </w:p>
    <w:p w14:paraId="39EB4CEE" w14:textId="77777777" w:rsidR="00D7232F" w:rsidRDefault="00A2085C">
      <w:pPr>
        <w:pStyle w:val="TableofFigures"/>
        <w:rPr>
          <w:rFonts w:asciiTheme="minorHAnsi" w:eastAsiaTheme="minorEastAsia" w:hAnsiTheme="minorHAnsi" w:cstheme="minorBidi"/>
          <w:noProof/>
          <w:color w:val="auto"/>
          <w:sz w:val="22"/>
        </w:rPr>
      </w:pPr>
      <w:hyperlink w:anchor="_Toc503253893" w:history="1">
        <w:r w:rsidR="00D7232F" w:rsidRPr="008A2695">
          <w:rPr>
            <w:rStyle w:val="Hyperlink"/>
            <w:noProof/>
          </w:rPr>
          <w:t>Table 6</w:t>
        </w:r>
        <w:r w:rsidR="00D7232F" w:rsidRPr="008A2695">
          <w:rPr>
            <w:rStyle w:val="Hyperlink"/>
            <w:noProof/>
          </w:rPr>
          <w:noBreakHyphen/>
          <w:t>1. Variogram model parameter (i.e., range, sill and nugget) values and associated coefficient of determination (</w:t>
        </w:r>
        <w:r w:rsidR="00D7232F" w:rsidRPr="008A2695">
          <w:rPr>
            <w:rStyle w:val="Hyperlink"/>
            <w:i/>
            <w:noProof/>
          </w:rPr>
          <w:t>R</w:t>
        </w:r>
        <w:r w:rsidR="00D7232F" w:rsidRPr="008A2695">
          <w:rPr>
            <w:rStyle w:val="Hyperlink"/>
            <w:noProof/>
            <w:vertAlign w:val="superscript"/>
          </w:rPr>
          <w:t>2</w:t>
        </w:r>
        <w:r w:rsidR="00D7232F" w:rsidRPr="008A2695">
          <w:rPr>
            <w:rStyle w:val="Hyperlink"/>
            <w:noProof/>
          </w:rPr>
          <w:t xml:space="preserve">) values for power and logarithmic variogram models used to characterise the spatial correlation between upscaled </w:t>
        </w:r>
        <w:r w:rsidR="00D7232F" w:rsidRPr="008A2695">
          <w:rPr>
            <w:rStyle w:val="Hyperlink"/>
            <w:i/>
            <w:noProof/>
          </w:rPr>
          <w:t>K</w:t>
        </w:r>
        <w:r w:rsidR="00D7232F" w:rsidRPr="008A2695">
          <w:rPr>
            <w:rStyle w:val="Hyperlink"/>
            <w:i/>
            <w:noProof/>
            <w:vertAlign w:val="subscript"/>
          </w:rPr>
          <w:t>V</w:t>
        </w:r>
        <w:r w:rsidR="00D7232F" w:rsidRPr="008A2695">
          <w:rPr>
            <w:rStyle w:val="Hyperlink"/>
            <w:i/>
            <w:noProof/>
          </w:rPr>
          <w:t xml:space="preserve"> </w:t>
        </w:r>
        <w:r w:rsidR="00D7232F" w:rsidRPr="008A2695">
          <w:rPr>
            <w:rStyle w:val="Hyperlink"/>
            <w:noProof/>
          </w:rPr>
          <w:t>values for the upper and lower aquitard sequences. *Note that “Practical range” refers to the distance at which semi-variance values generated using an exponential variogram model reach 95 % of the sill value.</w:t>
        </w:r>
        <w:r w:rsidR="00D7232F">
          <w:rPr>
            <w:noProof/>
            <w:webHidden/>
          </w:rPr>
          <w:tab/>
        </w:r>
        <w:r w:rsidR="00D7232F">
          <w:rPr>
            <w:noProof/>
            <w:webHidden/>
          </w:rPr>
          <w:fldChar w:fldCharType="begin"/>
        </w:r>
        <w:r w:rsidR="00D7232F">
          <w:rPr>
            <w:noProof/>
            <w:webHidden/>
          </w:rPr>
          <w:instrText xml:space="preserve"> PAGEREF _Toc503253893 \h </w:instrText>
        </w:r>
        <w:r w:rsidR="00D7232F">
          <w:rPr>
            <w:noProof/>
            <w:webHidden/>
          </w:rPr>
        </w:r>
        <w:r w:rsidR="00D7232F">
          <w:rPr>
            <w:noProof/>
            <w:webHidden/>
          </w:rPr>
          <w:fldChar w:fldCharType="separate"/>
        </w:r>
        <w:r w:rsidR="000B6FA5">
          <w:rPr>
            <w:noProof/>
            <w:webHidden/>
          </w:rPr>
          <w:t>69</w:t>
        </w:r>
        <w:r w:rsidR="00D7232F">
          <w:rPr>
            <w:noProof/>
            <w:webHidden/>
          </w:rPr>
          <w:fldChar w:fldCharType="end"/>
        </w:r>
      </w:hyperlink>
    </w:p>
    <w:p w14:paraId="12F314B0" w14:textId="77777777" w:rsidR="00D7232F" w:rsidRDefault="00A2085C">
      <w:pPr>
        <w:pStyle w:val="TableofFigures"/>
        <w:rPr>
          <w:rFonts w:asciiTheme="minorHAnsi" w:eastAsiaTheme="minorEastAsia" w:hAnsiTheme="minorHAnsi" w:cstheme="minorBidi"/>
          <w:noProof/>
          <w:color w:val="auto"/>
          <w:sz w:val="22"/>
        </w:rPr>
      </w:pPr>
      <w:hyperlink w:anchor="_Toc503253894" w:history="1">
        <w:r w:rsidR="00D7232F" w:rsidRPr="008A2695">
          <w:rPr>
            <w:rStyle w:val="Hyperlink"/>
            <w:noProof/>
          </w:rPr>
          <w:t>Table 6</w:t>
        </w:r>
        <w:r w:rsidR="00D7232F" w:rsidRPr="008A2695">
          <w:rPr>
            <w:rStyle w:val="Hyperlink"/>
            <w:noProof/>
          </w:rPr>
          <w:noBreakHyphen/>
          <w:t>2. Summary statistics of 50 spatial distributions of equivalent log</w:t>
        </w:r>
        <w:r w:rsidR="00D7232F" w:rsidRPr="008A2695">
          <w:rPr>
            <w:rStyle w:val="Hyperlink"/>
            <w:noProof/>
            <w:vertAlign w:val="subscript"/>
          </w:rPr>
          <w:t>10</w:t>
        </w:r>
        <w:r w:rsidR="00D7232F" w:rsidRPr="008A2695">
          <w:rPr>
            <w:rStyle w:val="Hyperlink"/>
            <w:noProof/>
          </w:rPr>
          <w:t xml:space="preserve"> aquitard vertical hydraulic conductivity (m/d) generated for the upper and lower aquitard sequences using Sequential Gaussian Simulation.</w:t>
        </w:r>
        <w:r w:rsidR="00D7232F">
          <w:rPr>
            <w:noProof/>
            <w:webHidden/>
          </w:rPr>
          <w:tab/>
        </w:r>
        <w:r w:rsidR="00D7232F">
          <w:rPr>
            <w:noProof/>
            <w:webHidden/>
          </w:rPr>
          <w:fldChar w:fldCharType="begin"/>
        </w:r>
        <w:r w:rsidR="00D7232F">
          <w:rPr>
            <w:noProof/>
            <w:webHidden/>
          </w:rPr>
          <w:instrText xml:space="preserve"> PAGEREF _Toc503253894 \h </w:instrText>
        </w:r>
        <w:r w:rsidR="00D7232F">
          <w:rPr>
            <w:noProof/>
            <w:webHidden/>
          </w:rPr>
        </w:r>
        <w:r w:rsidR="00D7232F">
          <w:rPr>
            <w:noProof/>
            <w:webHidden/>
          </w:rPr>
          <w:fldChar w:fldCharType="separate"/>
        </w:r>
        <w:r w:rsidR="000B6FA5">
          <w:rPr>
            <w:noProof/>
            <w:webHidden/>
          </w:rPr>
          <w:t>70</w:t>
        </w:r>
        <w:r w:rsidR="00D7232F">
          <w:rPr>
            <w:noProof/>
            <w:webHidden/>
          </w:rPr>
          <w:fldChar w:fldCharType="end"/>
        </w:r>
      </w:hyperlink>
    </w:p>
    <w:p w14:paraId="126D6FB1" w14:textId="77777777" w:rsidR="00D7232F" w:rsidRDefault="00A2085C">
      <w:pPr>
        <w:pStyle w:val="TableofFigures"/>
        <w:rPr>
          <w:rFonts w:asciiTheme="minorHAnsi" w:eastAsiaTheme="minorEastAsia" w:hAnsiTheme="minorHAnsi" w:cstheme="minorBidi"/>
          <w:noProof/>
          <w:color w:val="auto"/>
          <w:sz w:val="22"/>
        </w:rPr>
      </w:pPr>
      <w:hyperlink w:anchor="_Toc503253895" w:history="1">
        <w:r w:rsidR="00D7232F" w:rsidRPr="008A2695">
          <w:rPr>
            <w:rStyle w:val="Hyperlink"/>
            <w:noProof/>
          </w:rPr>
          <w:t>Table 6</w:t>
        </w:r>
        <w:r w:rsidR="00D7232F" w:rsidRPr="008A2695">
          <w:rPr>
            <w:rStyle w:val="Hyperlink"/>
            <w:noProof/>
          </w:rPr>
          <w:noBreakHyphen/>
          <w:t>3. 50</w:t>
        </w:r>
        <w:r w:rsidR="00D7232F" w:rsidRPr="008A2695">
          <w:rPr>
            <w:rStyle w:val="Hyperlink"/>
            <w:noProof/>
            <w:vertAlign w:val="superscript"/>
          </w:rPr>
          <w:t>th</w:t>
        </w:r>
        <w:r w:rsidR="00D7232F" w:rsidRPr="008A2695">
          <w:rPr>
            <w:rStyle w:val="Hyperlink"/>
            <w:noProof/>
          </w:rPr>
          <w:t xml:space="preserve"> percentile (i.e., median) values of four prediction metrics based on sets of 300 model runs for each of the ‘initial’ and ‘revised’ models and 50 model runs with the ‘heterogeneous’ models.</w:t>
        </w:r>
        <w:r w:rsidR="00D7232F">
          <w:rPr>
            <w:noProof/>
            <w:webHidden/>
          </w:rPr>
          <w:tab/>
        </w:r>
        <w:r w:rsidR="00D7232F">
          <w:rPr>
            <w:noProof/>
            <w:webHidden/>
          </w:rPr>
          <w:fldChar w:fldCharType="begin"/>
        </w:r>
        <w:r w:rsidR="00D7232F">
          <w:rPr>
            <w:noProof/>
            <w:webHidden/>
          </w:rPr>
          <w:instrText xml:space="preserve"> PAGEREF _Toc503253895 \h </w:instrText>
        </w:r>
        <w:r w:rsidR="00D7232F">
          <w:rPr>
            <w:noProof/>
            <w:webHidden/>
          </w:rPr>
        </w:r>
        <w:r w:rsidR="00D7232F">
          <w:rPr>
            <w:noProof/>
            <w:webHidden/>
          </w:rPr>
          <w:fldChar w:fldCharType="separate"/>
        </w:r>
        <w:r w:rsidR="000B6FA5">
          <w:rPr>
            <w:noProof/>
            <w:webHidden/>
          </w:rPr>
          <w:t>76</w:t>
        </w:r>
        <w:r w:rsidR="00D7232F">
          <w:rPr>
            <w:noProof/>
            <w:webHidden/>
          </w:rPr>
          <w:fldChar w:fldCharType="end"/>
        </w:r>
      </w:hyperlink>
    </w:p>
    <w:p w14:paraId="0B62A548" w14:textId="77777777" w:rsidR="00D7232F" w:rsidRDefault="00A2085C">
      <w:pPr>
        <w:pStyle w:val="TableofFigures"/>
        <w:rPr>
          <w:rFonts w:asciiTheme="minorHAnsi" w:eastAsiaTheme="minorEastAsia" w:hAnsiTheme="minorHAnsi" w:cstheme="minorBidi"/>
          <w:noProof/>
          <w:color w:val="auto"/>
          <w:sz w:val="22"/>
        </w:rPr>
      </w:pPr>
      <w:hyperlink w:anchor="_Toc503253896" w:history="1">
        <w:r w:rsidR="00D7232F" w:rsidRPr="008A2695">
          <w:rPr>
            <w:rStyle w:val="Hyperlink"/>
            <w:noProof/>
          </w:rPr>
          <w:t>Table 6</w:t>
        </w:r>
        <w:r w:rsidR="00D7232F" w:rsidRPr="008A2695">
          <w:rPr>
            <w:rStyle w:val="Hyperlink"/>
            <w:noProof/>
          </w:rPr>
          <w:noBreakHyphen/>
          <w:t>4. 95</w:t>
        </w:r>
        <w:r w:rsidR="00D7232F" w:rsidRPr="008A2695">
          <w:rPr>
            <w:rStyle w:val="Hyperlink"/>
            <w:noProof/>
            <w:vertAlign w:val="superscript"/>
          </w:rPr>
          <w:t>th</w:t>
        </w:r>
        <w:r w:rsidR="00D7232F" w:rsidRPr="008A2695">
          <w:rPr>
            <w:rStyle w:val="Hyperlink"/>
            <w:noProof/>
          </w:rPr>
          <w:t xml:space="preserve"> percentiles of four prediction metrics based on sets of 300 model runs for each of the ‘initial’ and ‘revised’ models and 50 model runs with the ‘heterogeneous’ models.</w:t>
        </w:r>
        <w:r w:rsidR="00D7232F">
          <w:rPr>
            <w:noProof/>
            <w:webHidden/>
          </w:rPr>
          <w:tab/>
        </w:r>
        <w:r w:rsidR="00D7232F">
          <w:rPr>
            <w:noProof/>
            <w:webHidden/>
          </w:rPr>
          <w:fldChar w:fldCharType="begin"/>
        </w:r>
        <w:r w:rsidR="00D7232F">
          <w:rPr>
            <w:noProof/>
            <w:webHidden/>
          </w:rPr>
          <w:instrText xml:space="preserve"> PAGEREF _Toc503253896 \h </w:instrText>
        </w:r>
        <w:r w:rsidR="00D7232F">
          <w:rPr>
            <w:noProof/>
            <w:webHidden/>
          </w:rPr>
        </w:r>
        <w:r w:rsidR="00D7232F">
          <w:rPr>
            <w:noProof/>
            <w:webHidden/>
          </w:rPr>
          <w:fldChar w:fldCharType="separate"/>
        </w:r>
        <w:r w:rsidR="000B6FA5">
          <w:rPr>
            <w:noProof/>
            <w:webHidden/>
          </w:rPr>
          <w:t>77</w:t>
        </w:r>
        <w:r w:rsidR="00D7232F">
          <w:rPr>
            <w:noProof/>
            <w:webHidden/>
          </w:rPr>
          <w:fldChar w:fldCharType="end"/>
        </w:r>
      </w:hyperlink>
    </w:p>
    <w:p w14:paraId="626B75AC" w14:textId="77777777" w:rsidR="00D7232F" w:rsidRDefault="00A2085C">
      <w:pPr>
        <w:pStyle w:val="TableofFigures"/>
        <w:rPr>
          <w:rFonts w:asciiTheme="minorHAnsi" w:eastAsiaTheme="minorEastAsia" w:hAnsiTheme="minorHAnsi" w:cstheme="minorBidi"/>
          <w:noProof/>
          <w:color w:val="auto"/>
          <w:sz w:val="22"/>
        </w:rPr>
      </w:pPr>
      <w:hyperlink w:anchor="_Toc503253897" w:history="1">
        <w:r w:rsidR="00D7232F" w:rsidRPr="008A2695">
          <w:rPr>
            <w:rStyle w:val="Hyperlink"/>
            <w:noProof/>
          </w:rPr>
          <w:t>Table 7</w:t>
        </w:r>
        <w:r w:rsidR="00D7232F" w:rsidRPr="008A2695">
          <w:rPr>
            <w:rStyle w:val="Hyperlink"/>
            <w:noProof/>
          </w:rPr>
          <w:noBreakHyphen/>
          <w:t>1 Examples of data worth or value of information applications in groundwater investigations and management.</w:t>
        </w:r>
        <w:r w:rsidR="00D7232F">
          <w:rPr>
            <w:noProof/>
            <w:webHidden/>
          </w:rPr>
          <w:tab/>
        </w:r>
        <w:r w:rsidR="00D7232F">
          <w:rPr>
            <w:noProof/>
            <w:webHidden/>
          </w:rPr>
          <w:fldChar w:fldCharType="begin"/>
        </w:r>
        <w:r w:rsidR="00D7232F">
          <w:rPr>
            <w:noProof/>
            <w:webHidden/>
          </w:rPr>
          <w:instrText xml:space="preserve"> PAGEREF _Toc503253897 \h </w:instrText>
        </w:r>
        <w:r w:rsidR="00D7232F">
          <w:rPr>
            <w:noProof/>
            <w:webHidden/>
          </w:rPr>
        </w:r>
        <w:r w:rsidR="00D7232F">
          <w:rPr>
            <w:noProof/>
            <w:webHidden/>
          </w:rPr>
          <w:fldChar w:fldCharType="separate"/>
        </w:r>
        <w:r w:rsidR="000B6FA5">
          <w:rPr>
            <w:noProof/>
            <w:webHidden/>
          </w:rPr>
          <w:t>83</w:t>
        </w:r>
        <w:r w:rsidR="00D7232F">
          <w:rPr>
            <w:noProof/>
            <w:webHidden/>
          </w:rPr>
          <w:fldChar w:fldCharType="end"/>
        </w:r>
      </w:hyperlink>
    </w:p>
    <w:p w14:paraId="4F8E425E" w14:textId="77777777" w:rsidR="00D7232F" w:rsidRDefault="00A2085C">
      <w:pPr>
        <w:pStyle w:val="TableofFigures"/>
        <w:rPr>
          <w:rFonts w:asciiTheme="minorHAnsi" w:eastAsiaTheme="minorEastAsia" w:hAnsiTheme="minorHAnsi" w:cstheme="minorBidi"/>
          <w:noProof/>
          <w:color w:val="auto"/>
          <w:sz w:val="22"/>
        </w:rPr>
      </w:pPr>
      <w:hyperlink w:anchor="_Toc503253898" w:history="1">
        <w:r w:rsidR="00D7232F" w:rsidRPr="008A2695">
          <w:rPr>
            <w:rStyle w:val="Hyperlink"/>
            <w:noProof/>
          </w:rPr>
          <w:t>Table 7</w:t>
        </w:r>
        <w:r w:rsidR="00D7232F" w:rsidRPr="008A2695">
          <w:rPr>
            <w:rStyle w:val="Hyperlink"/>
            <w:noProof/>
          </w:rPr>
          <w:noBreakHyphen/>
          <w:t>2 90% confidence intervals derived for summary statistics p50, p75, and p90.</w:t>
        </w:r>
        <w:r w:rsidR="00D7232F">
          <w:rPr>
            <w:noProof/>
            <w:webHidden/>
          </w:rPr>
          <w:tab/>
        </w:r>
        <w:r w:rsidR="00D7232F">
          <w:rPr>
            <w:noProof/>
            <w:webHidden/>
          </w:rPr>
          <w:fldChar w:fldCharType="begin"/>
        </w:r>
        <w:r w:rsidR="00D7232F">
          <w:rPr>
            <w:noProof/>
            <w:webHidden/>
          </w:rPr>
          <w:instrText xml:space="preserve"> PAGEREF _Toc503253898 \h </w:instrText>
        </w:r>
        <w:r w:rsidR="00D7232F">
          <w:rPr>
            <w:noProof/>
            <w:webHidden/>
          </w:rPr>
        </w:r>
        <w:r w:rsidR="00D7232F">
          <w:rPr>
            <w:noProof/>
            <w:webHidden/>
          </w:rPr>
          <w:fldChar w:fldCharType="separate"/>
        </w:r>
        <w:r w:rsidR="000B6FA5">
          <w:rPr>
            <w:noProof/>
            <w:webHidden/>
          </w:rPr>
          <w:t>86</w:t>
        </w:r>
        <w:r w:rsidR="00D7232F">
          <w:rPr>
            <w:noProof/>
            <w:webHidden/>
          </w:rPr>
          <w:fldChar w:fldCharType="end"/>
        </w:r>
      </w:hyperlink>
    </w:p>
    <w:p w14:paraId="62280C48" w14:textId="10D56ECB" w:rsidR="00AA0F3B" w:rsidRPr="00B0618E" w:rsidRDefault="009959BB" w:rsidP="00903355">
      <w:pPr>
        <w:pStyle w:val="TableofFigures"/>
        <w:rPr>
          <w:rFonts w:eastAsiaTheme="majorEastAsia" w:cstheme="majorBidi"/>
          <w:b/>
          <w:bCs/>
          <w:color w:val="00313C" w:themeColor="accent2"/>
          <w:sz w:val="44"/>
          <w:szCs w:val="28"/>
        </w:rPr>
      </w:pPr>
      <w:r w:rsidRPr="00B0618E">
        <w:rPr>
          <w:color w:val="FF0000"/>
        </w:rPr>
        <w:fldChar w:fldCharType="end"/>
      </w:r>
      <w:bookmarkStart w:id="1" w:name="_Toc315694429"/>
      <w:r w:rsidR="00AA0F3B" w:rsidRPr="00B0618E">
        <w:br w:type="page"/>
      </w:r>
    </w:p>
    <w:p w14:paraId="356C005F" w14:textId="77777777" w:rsidR="00AA0F3B" w:rsidRPr="00B0618E" w:rsidRDefault="00AA0F3B" w:rsidP="00AA0F3B">
      <w:pPr>
        <w:pStyle w:val="Heading1noTOC"/>
      </w:pPr>
      <w:bookmarkStart w:id="2" w:name="_Toc432618722"/>
      <w:r w:rsidRPr="00B0618E">
        <w:t>Abbreviations</w:t>
      </w:r>
      <w:bookmarkEnd w:id="2"/>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7087"/>
      </w:tblGrid>
      <w:tr w:rsidR="00AA0F3B" w:rsidRPr="00B0618E" w14:paraId="44F30498" w14:textId="77777777" w:rsidTr="00871329">
        <w:trPr>
          <w:trHeight w:val="188"/>
          <w:tblHeader/>
        </w:trPr>
        <w:tc>
          <w:tcPr>
            <w:tcW w:w="2127" w:type="dxa"/>
            <w:shd w:val="clear" w:color="auto" w:fill="EAEAEA"/>
          </w:tcPr>
          <w:p w14:paraId="0B570AAA" w14:textId="77777777" w:rsidR="00AA0F3B" w:rsidRPr="00B0618E" w:rsidRDefault="00AA0F3B" w:rsidP="00E046D7">
            <w:pPr>
              <w:pStyle w:val="Body"/>
              <w:spacing w:before="10" w:after="10"/>
              <w:rPr>
                <w:b/>
              </w:rPr>
            </w:pPr>
            <w:r w:rsidRPr="00B0618E">
              <w:rPr>
                <w:b/>
              </w:rPr>
              <w:t>Abbreviation</w:t>
            </w:r>
          </w:p>
        </w:tc>
        <w:tc>
          <w:tcPr>
            <w:tcW w:w="7087" w:type="dxa"/>
            <w:shd w:val="clear" w:color="auto" w:fill="EAEAEA"/>
          </w:tcPr>
          <w:p w14:paraId="2540E08B" w14:textId="77777777" w:rsidR="00AA0F3B" w:rsidRPr="00B0618E" w:rsidRDefault="00AA0F3B" w:rsidP="00E046D7">
            <w:pPr>
              <w:pStyle w:val="Body"/>
              <w:spacing w:before="10" w:after="10"/>
              <w:rPr>
                <w:b/>
              </w:rPr>
            </w:pPr>
            <w:r w:rsidRPr="00B0618E">
              <w:rPr>
                <w:b/>
              </w:rPr>
              <w:t>Description</w:t>
            </w:r>
          </w:p>
        </w:tc>
      </w:tr>
      <w:tr w:rsidR="00AA0F3B" w:rsidRPr="00B0618E" w14:paraId="3E40F8EC" w14:textId="77777777" w:rsidTr="00E046D7">
        <w:trPr>
          <w:trHeight w:val="188"/>
        </w:trPr>
        <w:tc>
          <w:tcPr>
            <w:tcW w:w="2127" w:type="dxa"/>
          </w:tcPr>
          <w:p w14:paraId="3A041BBA" w14:textId="77777777" w:rsidR="00AA0F3B" w:rsidRPr="00B0618E" w:rsidRDefault="00AA0F3B" w:rsidP="00E046D7">
            <w:pPr>
              <w:pStyle w:val="Body"/>
              <w:spacing w:before="10" w:after="10"/>
            </w:pPr>
            <w:r w:rsidRPr="00B0618E">
              <w:t>CSG</w:t>
            </w:r>
          </w:p>
        </w:tc>
        <w:tc>
          <w:tcPr>
            <w:tcW w:w="7087" w:type="dxa"/>
          </w:tcPr>
          <w:p w14:paraId="4AA8869C" w14:textId="77777777" w:rsidR="00AA0F3B" w:rsidRPr="00B0618E" w:rsidRDefault="00AA0F3B" w:rsidP="00E046D7">
            <w:pPr>
              <w:pStyle w:val="Body"/>
              <w:spacing w:before="10" w:after="10"/>
            </w:pPr>
            <w:r w:rsidRPr="00B0618E">
              <w:t>Coal Seam Gas</w:t>
            </w:r>
          </w:p>
        </w:tc>
      </w:tr>
      <w:tr w:rsidR="00AA0F3B" w:rsidRPr="00B0618E" w14:paraId="5D59BA90" w14:textId="77777777" w:rsidTr="00E046D7">
        <w:trPr>
          <w:trHeight w:val="188"/>
        </w:trPr>
        <w:tc>
          <w:tcPr>
            <w:tcW w:w="2127" w:type="dxa"/>
          </w:tcPr>
          <w:p w14:paraId="5D9A3EF0" w14:textId="77777777" w:rsidR="00AA0F3B" w:rsidRPr="00B0618E" w:rsidRDefault="00AA0F3B" w:rsidP="00E046D7">
            <w:pPr>
              <w:pStyle w:val="Body"/>
              <w:spacing w:before="10" w:after="10"/>
            </w:pPr>
            <w:r w:rsidRPr="00B0618E">
              <w:t>CSIRO</w:t>
            </w:r>
          </w:p>
        </w:tc>
        <w:tc>
          <w:tcPr>
            <w:tcW w:w="7087" w:type="dxa"/>
          </w:tcPr>
          <w:p w14:paraId="016D68CA" w14:textId="77777777" w:rsidR="00AA0F3B" w:rsidRPr="00B0618E" w:rsidRDefault="00AA0F3B" w:rsidP="00E046D7">
            <w:pPr>
              <w:pStyle w:val="Body"/>
              <w:spacing w:before="10" w:after="10"/>
            </w:pPr>
            <w:r w:rsidRPr="00B0618E">
              <w:t>Commonwealth Scientific and Industrial Research Organisation (Australia)</w:t>
            </w:r>
          </w:p>
        </w:tc>
      </w:tr>
      <w:tr w:rsidR="00AA0F3B" w:rsidRPr="00B0618E" w14:paraId="799B5B13" w14:textId="77777777" w:rsidTr="00E046D7">
        <w:trPr>
          <w:trHeight w:val="84"/>
        </w:trPr>
        <w:tc>
          <w:tcPr>
            <w:tcW w:w="2127" w:type="dxa"/>
          </w:tcPr>
          <w:p w14:paraId="56571475" w14:textId="77777777" w:rsidR="00AA0F3B" w:rsidRPr="00B0618E" w:rsidRDefault="00AA0F3B" w:rsidP="00E046D7">
            <w:pPr>
              <w:pStyle w:val="Body"/>
              <w:spacing w:before="10" w:after="10"/>
            </w:pPr>
            <w:r w:rsidRPr="00B0618E">
              <w:t>HSU</w:t>
            </w:r>
          </w:p>
        </w:tc>
        <w:tc>
          <w:tcPr>
            <w:tcW w:w="7087" w:type="dxa"/>
          </w:tcPr>
          <w:p w14:paraId="65B8B241" w14:textId="77777777" w:rsidR="00AA0F3B" w:rsidRPr="00B0618E" w:rsidRDefault="00AA0F3B" w:rsidP="00E046D7">
            <w:pPr>
              <w:pStyle w:val="Body"/>
              <w:spacing w:before="10" w:after="10"/>
            </w:pPr>
            <w:r w:rsidRPr="00B0618E">
              <w:t>HydroStratigraphic Unit</w:t>
            </w:r>
          </w:p>
        </w:tc>
      </w:tr>
      <w:tr w:rsidR="00AA0F3B" w:rsidRPr="00B0618E" w14:paraId="4BE74836" w14:textId="77777777" w:rsidTr="00E046D7">
        <w:trPr>
          <w:trHeight w:val="84"/>
        </w:trPr>
        <w:tc>
          <w:tcPr>
            <w:tcW w:w="2127" w:type="dxa"/>
          </w:tcPr>
          <w:p w14:paraId="5801E495" w14:textId="77777777" w:rsidR="00AA0F3B" w:rsidRPr="00B0618E" w:rsidRDefault="00AA0F3B" w:rsidP="00E046D7">
            <w:pPr>
              <w:pStyle w:val="Body"/>
              <w:spacing w:before="10" w:after="10"/>
            </w:pPr>
            <w:r w:rsidRPr="00B0618E">
              <w:t>NSW</w:t>
            </w:r>
          </w:p>
        </w:tc>
        <w:tc>
          <w:tcPr>
            <w:tcW w:w="7087" w:type="dxa"/>
          </w:tcPr>
          <w:p w14:paraId="5BAB0B8F" w14:textId="77777777" w:rsidR="00AA0F3B" w:rsidRPr="00B0618E" w:rsidRDefault="00AA0F3B" w:rsidP="00E046D7">
            <w:pPr>
              <w:pStyle w:val="Body"/>
              <w:spacing w:before="10" w:after="10"/>
            </w:pPr>
            <w:r w:rsidRPr="00B0618E">
              <w:t>New South Wales</w:t>
            </w:r>
          </w:p>
        </w:tc>
      </w:tr>
      <w:tr w:rsidR="00AA0F3B" w:rsidRPr="00B0618E" w14:paraId="10276167" w14:textId="77777777" w:rsidTr="00E046D7">
        <w:trPr>
          <w:trHeight w:val="84"/>
        </w:trPr>
        <w:tc>
          <w:tcPr>
            <w:tcW w:w="2127" w:type="dxa"/>
          </w:tcPr>
          <w:p w14:paraId="02CA229A" w14:textId="77777777" w:rsidR="00AA0F3B" w:rsidRPr="00B0618E" w:rsidRDefault="00AA0F3B" w:rsidP="00E046D7">
            <w:pPr>
              <w:pStyle w:val="Body"/>
              <w:spacing w:before="10" w:after="10"/>
            </w:pPr>
            <w:r w:rsidRPr="00B0618E">
              <w:t>Qld</w:t>
            </w:r>
          </w:p>
        </w:tc>
        <w:tc>
          <w:tcPr>
            <w:tcW w:w="7087" w:type="dxa"/>
          </w:tcPr>
          <w:p w14:paraId="1F9E1F66" w14:textId="77777777" w:rsidR="00AA0F3B" w:rsidRPr="00B0618E" w:rsidRDefault="00AA0F3B" w:rsidP="00E046D7">
            <w:pPr>
              <w:pStyle w:val="Body"/>
              <w:spacing w:before="10" w:after="10"/>
            </w:pPr>
            <w:r w:rsidRPr="00B0618E">
              <w:t>Queensland</w:t>
            </w:r>
          </w:p>
        </w:tc>
      </w:tr>
    </w:tbl>
    <w:p w14:paraId="51D072A0" w14:textId="77777777" w:rsidR="00AA0F3B" w:rsidRPr="00B0618E" w:rsidRDefault="00AA0F3B" w:rsidP="00AA0F3B">
      <w:pPr>
        <w:rPr>
          <w:rFonts w:cs="Calibri"/>
          <w:sz w:val="18"/>
          <w:szCs w:val="18"/>
          <w:lang w:val="en-GB"/>
        </w:rPr>
      </w:pPr>
      <w:r w:rsidRPr="00B0618E">
        <w:br w:type="page"/>
      </w:r>
    </w:p>
    <w:p w14:paraId="44CA4588" w14:textId="77777777" w:rsidR="00AA0F3B" w:rsidRPr="00B0618E" w:rsidRDefault="00AA0F3B" w:rsidP="00AA0F3B">
      <w:pPr>
        <w:pStyle w:val="Heading1noTOC"/>
      </w:pPr>
      <w:bookmarkStart w:id="3" w:name="_Toc351121191"/>
      <w:bookmarkStart w:id="4" w:name="_Toc409431712"/>
      <w:bookmarkStart w:id="5" w:name="_Toc413683947"/>
      <w:bookmarkStart w:id="6" w:name="_Toc432618723"/>
      <w:r w:rsidRPr="00B0618E">
        <w:t>Glossary</w:t>
      </w:r>
      <w:bookmarkEnd w:id="3"/>
      <w:bookmarkEnd w:id="4"/>
      <w:bookmarkEnd w:id="5"/>
      <w:bookmarkEnd w:id="6"/>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AA0F3B" w:rsidRPr="00B0618E" w14:paraId="223A0DE8" w14:textId="77777777" w:rsidTr="00871329">
        <w:trPr>
          <w:tblHeader/>
        </w:trPr>
        <w:tc>
          <w:tcPr>
            <w:tcW w:w="2268" w:type="dxa"/>
            <w:shd w:val="clear" w:color="auto" w:fill="EAEAEA"/>
          </w:tcPr>
          <w:p w14:paraId="1EDA5158" w14:textId="77777777" w:rsidR="00AA0F3B" w:rsidRPr="00B0618E" w:rsidRDefault="00AA0F3B" w:rsidP="00E046D7">
            <w:pPr>
              <w:pStyle w:val="Body"/>
              <w:rPr>
                <w:b/>
              </w:rPr>
            </w:pPr>
            <w:r w:rsidRPr="00B0618E">
              <w:rPr>
                <w:b/>
              </w:rPr>
              <w:t>Term</w:t>
            </w:r>
          </w:p>
        </w:tc>
        <w:tc>
          <w:tcPr>
            <w:tcW w:w="6946" w:type="dxa"/>
            <w:shd w:val="clear" w:color="auto" w:fill="EAEAEA"/>
          </w:tcPr>
          <w:p w14:paraId="386F55C4" w14:textId="77777777" w:rsidR="00AA0F3B" w:rsidRPr="00B0618E" w:rsidRDefault="00AA0F3B" w:rsidP="00E046D7">
            <w:pPr>
              <w:pStyle w:val="Body"/>
              <w:rPr>
                <w:b/>
              </w:rPr>
            </w:pPr>
            <w:r w:rsidRPr="00B0618E">
              <w:rPr>
                <w:b/>
              </w:rPr>
              <w:t>Description</w:t>
            </w:r>
          </w:p>
        </w:tc>
      </w:tr>
      <w:tr w:rsidR="00AA0F3B" w:rsidRPr="00B0618E" w14:paraId="4A6E94F7" w14:textId="77777777" w:rsidTr="00E046D7">
        <w:tc>
          <w:tcPr>
            <w:tcW w:w="2268" w:type="dxa"/>
          </w:tcPr>
          <w:p w14:paraId="28343E9F" w14:textId="77777777" w:rsidR="00AA0F3B" w:rsidRPr="00B0618E" w:rsidRDefault="00AA0F3B" w:rsidP="00E046D7">
            <w:pPr>
              <w:pStyle w:val="Body"/>
              <w:rPr>
                <w:rFonts w:eastAsia="Times New Roman"/>
                <w:lang w:eastAsia="en-AU"/>
              </w:rPr>
            </w:pPr>
            <w:r w:rsidRPr="00B0618E">
              <w:rPr>
                <w:rFonts w:eastAsia="Times New Roman"/>
                <w:lang w:eastAsia="en-AU"/>
              </w:rPr>
              <w:t>Anisotropy</w:t>
            </w:r>
          </w:p>
        </w:tc>
        <w:tc>
          <w:tcPr>
            <w:tcW w:w="6946" w:type="dxa"/>
          </w:tcPr>
          <w:p w14:paraId="77531C38" w14:textId="77777777" w:rsidR="00AA0F3B" w:rsidRPr="00B0618E" w:rsidRDefault="00AA0F3B" w:rsidP="00E046D7">
            <w:pPr>
              <w:pStyle w:val="Body"/>
              <w:rPr>
                <w:rFonts w:eastAsia="Times New Roman"/>
                <w:lang w:eastAsia="en-AU"/>
              </w:rPr>
            </w:pPr>
            <w:r w:rsidRPr="00B0618E">
              <w:t>A term used to describe the directional dependence of given properties; for example, the hydraulic properties of an aquifer (as opposed to isotropy, which denotes identical properties in all directions)</w:t>
            </w:r>
          </w:p>
        </w:tc>
      </w:tr>
      <w:tr w:rsidR="00AA0F3B" w:rsidRPr="00B0618E" w14:paraId="7DCABE13" w14:textId="77777777" w:rsidTr="00E046D7">
        <w:tc>
          <w:tcPr>
            <w:tcW w:w="2268" w:type="dxa"/>
          </w:tcPr>
          <w:p w14:paraId="0F55B50E" w14:textId="77777777" w:rsidR="00AA0F3B" w:rsidRPr="00B0618E" w:rsidRDefault="00AA0F3B" w:rsidP="00E046D7">
            <w:pPr>
              <w:pStyle w:val="Body"/>
              <w:rPr>
                <w:rFonts w:eastAsia="Times New Roman"/>
                <w:lang w:eastAsia="en-AU"/>
              </w:rPr>
            </w:pPr>
            <w:r w:rsidRPr="00B0618E">
              <w:rPr>
                <w:rFonts w:eastAsia="Times New Roman"/>
                <w:lang w:eastAsia="en-AU"/>
              </w:rPr>
              <w:t>Aquifer</w:t>
            </w:r>
          </w:p>
        </w:tc>
        <w:tc>
          <w:tcPr>
            <w:tcW w:w="6946" w:type="dxa"/>
          </w:tcPr>
          <w:p w14:paraId="660F8E16" w14:textId="77777777" w:rsidR="00AA0F3B" w:rsidRPr="00B0618E" w:rsidRDefault="00AA0F3B" w:rsidP="00E046D7">
            <w:pPr>
              <w:pStyle w:val="Body"/>
              <w:rPr>
                <w:rFonts w:eastAsia="Times New Roman"/>
                <w:lang w:eastAsia="en-AU"/>
              </w:rPr>
            </w:pPr>
            <w:r w:rsidRPr="00B0618E">
              <w:rPr>
                <w:rFonts w:eastAsia="Times New Roman"/>
                <w:lang w:eastAsia="en-AU"/>
              </w:rPr>
              <w:t>Rock or sediment in a formation, group of formations or part of a formation, which is saturated and sufficiently permeable to transmit quantities of water to wells and springs</w:t>
            </w:r>
          </w:p>
        </w:tc>
      </w:tr>
      <w:tr w:rsidR="00AA0F3B" w:rsidRPr="00B0618E" w14:paraId="5D61B4D8" w14:textId="77777777" w:rsidTr="00E046D7">
        <w:tc>
          <w:tcPr>
            <w:tcW w:w="2268" w:type="dxa"/>
          </w:tcPr>
          <w:p w14:paraId="65EAE82B" w14:textId="77777777" w:rsidR="00AA0F3B" w:rsidRPr="00B0618E" w:rsidRDefault="00AA0F3B" w:rsidP="00E046D7">
            <w:pPr>
              <w:pStyle w:val="Body"/>
              <w:rPr>
                <w:rFonts w:eastAsia="Times New Roman"/>
                <w:lang w:eastAsia="en-AU"/>
              </w:rPr>
            </w:pPr>
            <w:r w:rsidRPr="00B0618E">
              <w:rPr>
                <w:rFonts w:eastAsia="Times New Roman"/>
                <w:lang w:eastAsia="en-AU"/>
              </w:rPr>
              <w:t>Aquitard</w:t>
            </w:r>
          </w:p>
        </w:tc>
        <w:tc>
          <w:tcPr>
            <w:tcW w:w="6946" w:type="dxa"/>
          </w:tcPr>
          <w:p w14:paraId="7FD9B0D4" w14:textId="77777777" w:rsidR="00AA0F3B" w:rsidRPr="00B0618E" w:rsidRDefault="00AA0F3B" w:rsidP="00E046D7">
            <w:pPr>
              <w:pStyle w:val="Body"/>
              <w:rPr>
                <w:rFonts w:eastAsia="Times New Roman"/>
                <w:lang w:eastAsia="en-AU"/>
              </w:rPr>
            </w:pPr>
            <w:r w:rsidRPr="00B0618E">
              <w:rPr>
                <w:rFonts w:eastAsia="Times New Roman"/>
                <w:lang w:eastAsia="en-AU"/>
              </w:rPr>
              <w:t>A saturated geological unit that is less permeable than an aquifer and incapable of transmitting useful quantities of water. Aquitards often form a confining layer over aquifers</w:t>
            </w:r>
          </w:p>
        </w:tc>
      </w:tr>
      <w:tr w:rsidR="00AA0F3B" w:rsidRPr="00B0618E" w14:paraId="47E0C876" w14:textId="77777777" w:rsidTr="00E046D7">
        <w:tc>
          <w:tcPr>
            <w:tcW w:w="2268" w:type="dxa"/>
          </w:tcPr>
          <w:p w14:paraId="086397D1" w14:textId="77777777" w:rsidR="00AA0F3B" w:rsidRPr="00B0618E" w:rsidRDefault="00AA0F3B" w:rsidP="00E046D7">
            <w:pPr>
              <w:pStyle w:val="Body"/>
              <w:rPr>
                <w:rFonts w:eastAsia="Times New Roman"/>
                <w:lang w:eastAsia="en-AU"/>
              </w:rPr>
            </w:pPr>
            <w:r w:rsidRPr="00B0618E">
              <w:rPr>
                <w:rFonts w:eastAsia="Times New Roman"/>
                <w:lang w:eastAsia="en-AU"/>
              </w:rPr>
              <w:t>Coal measure</w:t>
            </w:r>
          </w:p>
        </w:tc>
        <w:tc>
          <w:tcPr>
            <w:tcW w:w="6946" w:type="dxa"/>
          </w:tcPr>
          <w:p w14:paraId="6FC3DC21" w14:textId="77777777" w:rsidR="00AA0F3B" w:rsidRPr="00B0618E" w:rsidRDefault="00AA0F3B" w:rsidP="00E046D7">
            <w:pPr>
              <w:pStyle w:val="Body"/>
              <w:rPr>
                <w:rFonts w:eastAsia="Times New Roman"/>
                <w:lang w:eastAsia="en-AU"/>
              </w:rPr>
            </w:pPr>
            <w:r w:rsidRPr="00B0618E">
              <w:rPr>
                <w:rFonts w:eastAsia="Times New Roman"/>
                <w:lang w:eastAsia="en-AU"/>
              </w:rPr>
              <w:t>Geological strata of the Carboniferous or Permian periods usually containing sequences of coal seams</w:t>
            </w:r>
          </w:p>
        </w:tc>
      </w:tr>
      <w:tr w:rsidR="00AA0F3B" w:rsidRPr="00B0618E" w14:paraId="0B5E69A6" w14:textId="77777777" w:rsidTr="00E046D7">
        <w:tc>
          <w:tcPr>
            <w:tcW w:w="2268" w:type="dxa"/>
          </w:tcPr>
          <w:p w14:paraId="1577350E" w14:textId="77777777" w:rsidR="00AA0F3B" w:rsidRPr="00B0618E" w:rsidRDefault="00AA0F3B" w:rsidP="00E046D7">
            <w:pPr>
              <w:pStyle w:val="Body"/>
              <w:rPr>
                <w:rFonts w:eastAsia="Times New Roman"/>
                <w:lang w:eastAsia="en-AU"/>
              </w:rPr>
            </w:pPr>
            <w:r w:rsidRPr="00B0618E">
              <w:rPr>
                <w:rFonts w:eastAsia="Times New Roman"/>
                <w:lang w:eastAsia="en-AU"/>
              </w:rPr>
              <w:t>Coal seam</w:t>
            </w:r>
          </w:p>
        </w:tc>
        <w:tc>
          <w:tcPr>
            <w:tcW w:w="6946" w:type="dxa"/>
          </w:tcPr>
          <w:p w14:paraId="193B19ED" w14:textId="77777777" w:rsidR="00AA0F3B" w:rsidRPr="00B0618E" w:rsidRDefault="00AA0F3B" w:rsidP="00E046D7">
            <w:pPr>
              <w:pStyle w:val="Body"/>
              <w:rPr>
                <w:rFonts w:eastAsia="Times New Roman"/>
                <w:lang w:eastAsia="en-AU"/>
              </w:rPr>
            </w:pPr>
            <w:r w:rsidRPr="00B0618E">
              <w:rPr>
                <w:rFonts w:eastAsia="Times New Roman"/>
                <w:lang w:eastAsia="en-AU"/>
              </w:rPr>
              <w:t>Individual layers containing mostly coal. Coal seams store both water and gas. Coal seams generally contain groundwater that is saltier than that in aquifers that are used for drinking water or agriculture</w:t>
            </w:r>
          </w:p>
        </w:tc>
      </w:tr>
      <w:tr w:rsidR="00AA0F3B" w:rsidRPr="00B0618E" w14:paraId="3BAA2125" w14:textId="77777777" w:rsidTr="00E046D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00"/>
        </w:trPr>
        <w:tc>
          <w:tcPr>
            <w:tcW w:w="2268" w:type="dxa"/>
            <w:tcBorders>
              <w:top w:val="nil"/>
              <w:left w:val="single" w:sz="4" w:space="0" w:color="auto"/>
              <w:bottom w:val="single" w:sz="4" w:space="0" w:color="auto"/>
              <w:right w:val="single" w:sz="4" w:space="0" w:color="auto"/>
            </w:tcBorders>
            <w:shd w:val="clear" w:color="auto" w:fill="auto"/>
          </w:tcPr>
          <w:p w14:paraId="4007C2E5" w14:textId="77777777" w:rsidR="00AA0F3B" w:rsidRPr="00B0618E" w:rsidRDefault="00AA0F3B" w:rsidP="00E046D7">
            <w:pPr>
              <w:pStyle w:val="Body"/>
              <w:rPr>
                <w:rFonts w:eastAsia="Times New Roman"/>
                <w:lang w:eastAsia="en-AU"/>
              </w:rPr>
            </w:pPr>
            <w:r w:rsidRPr="00B0618E">
              <w:rPr>
                <w:rFonts w:eastAsia="Times New Roman"/>
                <w:lang w:eastAsia="en-AU"/>
              </w:rPr>
              <w:t>Coal seam gas</w:t>
            </w:r>
          </w:p>
        </w:tc>
        <w:tc>
          <w:tcPr>
            <w:tcW w:w="6946" w:type="dxa"/>
            <w:tcBorders>
              <w:top w:val="nil"/>
              <w:left w:val="nil"/>
              <w:bottom w:val="single" w:sz="4" w:space="0" w:color="auto"/>
              <w:right w:val="single" w:sz="4" w:space="0" w:color="auto"/>
            </w:tcBorders>
            <w:shd w:val="clear" w:color="auto" w:fill="auto"/>
          </w:tcPr>
          <w:p w14:paraId="04CCB0DF" w14:textId="77777777" w:rsidR="00AA0F3B" w:rsidRPr="00B0618E" w:rsidRDefault="00AA0F3B" w:rsidP="00E046D7">
            <w:pPr>
              <w:pStyle w:val="Body"/>
            </w:pPr>
            <w:r w:rsidRPr="00B0618E">
              <w:rPr>
                <w:rFonts w:eastAsia="Times New Roman"/>
                <w:lang w:eastAsia="en-AU"/>
              </w:rPr>
              <w:t>A form of natural gas (generally 95 to 97% pure methane, CH</w:t>
            </w:r>
            <w:r w:rsidRPr="00B0618E">
              <w:rPr>
                <w:rFonts w:eastAsia="Times New Roman"/>
                <w:vertAlign w:val="subscript"/>
                <w:lang w:eastAsia="en-AU"/>
              </w:rPr>
              <w:t>4</w:t>
            </w:r>
            <w:r w:rsidRPr="00B0618E">
              <w:rPr>
                <w:rFonts w:eastAsia="Times New Roman"/>
                <w:lang w:eastAsia="en-AU"/>
              </w:rPr>
              <w:t>) typically extracted from permeable coal seams at depths of 300 to 1000 m. Also called coal seam methane (CSM) or coalbed methane (CBM)</w:t>
            </w:r>
          </w:p>
        </w:tc>
      </w:tr>
      <w:tr w:rsidR="00AA0F3B" w:rsidRPr="00B0618E" w14:paraId="5E122E87" w14:textId="77777777" w:rsidTr="00E046D7">
        <w:tc>
          <w:tcPr>
            <w:tcW w:w="2268" w:type="dxa"/>
          </w:tcPr>
          <w:p w14:paraId="08C662E2" w14:textId="77777777" w:rsidR="00AA0F3B" w:rsidRPr="00B0618E" w:rsidRDefault="00AA0F3B" w:rsidP="00E046D7">
            <w:pPr>
              <w:pStyle w:val="Body"/>
              <w:rPr>
                <w:rFonts w:eastAsia="Times New Roman"/>
                <w:lang w:eastAsia="en-AU"/>
              </w:rPr>
            </w:pPr>
            <w:r w:rsidRPr="00B0618E">
              <w:rPr>
                <w:rFonts w:eastAsia="Times New Roman"/>
                <w:lang w:eastAsia="en-AU"/>
              </w:rPr>
              <w:t>Confined aquifer</w:t>
            </w:r>
          </w:p>
        </w:tc>
        <w:tc>
          <w:tcPr>
            <w:tcW w:w="6946" w:type="dxa"/>
          </w:tcPr>
          <w:p w14:paraId="3DCC34CB" w14:textId="77777777" w:rsidR="00AA0F3B" w:rsidRPr="00B0618E" w:rsidRDefault="00AA0F3B" w:rsidP="00E046D7">
            <w:pPr>
              <w:pStyle w:val="Body"/>
              <w:rPr>
                <w:rFonts w:eastAsia="Times New Roman"/>
                <w:lang w:eastAsia="en-AU"/>
              </w:rPr>
            </w:pPr>
            <w:r w:rsidRPr="00B0618E">
              <w:rPr>
                <w:rFonts w:eastAsia="Times New Roman"/>
                <w:lang w:eastAsia="en-AU"/>
              </w:rPr>
              <w:t>An aquifer that is isolated from the atmosphere by an impermeable layer. Pressure in confined aquifers is generally greater than atmospheric pressure</w:t>
            </w:r>
          </w:p>
        </w:tc>
      </w:tr>
      <w:tr w:rsidR="00AA0F3B" w:rsidRPr="00B0618E" w14:paraId="0553E8FE" w14:textId="77777777" w:rsidTr="00E046D7">
        <w:tc>
          <w:tcPr>
            <w:tcW w:w="2268" w:type="dxa"/>
          </w:tcPr>
          <w:p w14:paraId="7A8FE8A0" w14:textId="77777777" w:rsidR="00AA0F3B" w:rsidRPr="00B0618E" w:rsidRDefault="00AA0F3B" w:rsidP="00E046D7">
            <w:pPr>
              <w:pStyle w:val="Body"/>
              <w:rPr>
                <w:rFonts w:eastAsia="Times New Roman"/>
                <w:lang w:eastAsia="en-AU"/>
              </w:rPr>
            </w:pPr>
            <w:r w:rsidRPr="00B0618E">
              <w:rPr>
                <w:rFonts w:eastAsia="Times New Roman"/>
                <w:lang w:eastAsia="en-AU"/>
              </w:rPr>
              <w:t>Covariance</w:t>
            </w:r>
          </w:p>
        </w:tc>
        <w:tc>
          <w:tcPr>
            <w:tcW w:w="6946" w:type="dxa"/>
          </w:tcPr>
          <w:p w14:paraId="7DDC3E6D" w14:textId="77777777" w:rsidR="00AA0F3B" w:rsidRPr="00B0618E" w:rsidRDefault="00A2085C" w:rsidP="00E046D7">
            <w:pPr>
              <w:pStyle w:val="Body"/>
              <w:rPr>
                <w:rFonts w:eastAsia="Times New Roman"/>
                <w:lang w:eastAsia="en-AU"/>
              </w:rPr>
            </w:pPr>
            <w:hyperlink r:id="rId16" w:tooltip="Covariance" w:history="1">
              <w:r w:rsidR="00AA0F3B" w:rsidRPr="00B0618E">
                <w:rPr>
                  <w:rFonts w:eastAsia="Times New Roman"/>
                  <w:lang w:eastAsia="en-AU"/>
                </w:rPr>
                <w:t>Covariance</w:t>
              </w:r>
            </w:hyperlink>
            <w:r w:rsidR="00AA0F3B" w:rsidRPr="00B0618E">
              <w:rPr>
                <w:rFonts w:eastAsia="Times New Roman"/>
                <w:lang w:eastAsia="en-AU"/>
              </w:rPr>
              <w:t xml:space="preserve"> is a measure of how much two given variables vary together, as a function of either space or time</w:t>
            </w:r>
          </w:p>
        </w:tc>
      </w:tr>
      <w:tr w:rsidR="00AA0F3B" w:rsidRPr="00B0618E" w14:paraId="6D3D3C54" w14:textId="77777777" w:rsidTr="00E046D7">
        <w:tc>
          <w:tcPr>
            <w:tcW w:w="2268" w:type="dxa"/>
          </w:tcPr>
          <w:p w14:paraId="7F1E0274" w14:textId="77777777" w:rsidR="00AA0F3B" w:rsidRPr="00B0618E" w:rsidRDefault="00AA0F3B" w:rsidP="00E046D7">
            <w:pPr>
              <w:pStyle w:val="Body"/>
              <w:rPr>
                <w:rFonts w:eastAsia="Times New Roman"/>
                <w:lang w:eastAsia="en-AU"/>
              </w:rPr>
            </w:pPr>
            <w:r w:rsidRPr="00B0618E">
              <w:rPr>
                <w:rFonts w:eastAsia="Times New Roman"/>
                <w:lang w:eastAsia="en-AU"/>
              </w:rPr>
              <w:t>Darcy flow</w:t>
            </w:r>
          </w:p>
        </w:tc>
        <w:tc>
          <w:tcPr>
            <w:tcW w:w="6946" w:type="dxa"/>
          </w:tcPr>
          <w:p w14:paraId="3D512675" w14:textId="77777777" w:rsidR="00AA0F3B" w:rsidRPr="00B0618E" w:rsidRDefault="00AA0F3B" w:rsidP="00E046D7">
            <w:pPr>
              <w:pStyle w:val="Body"/>
              <w:rPr>
                <w:rFonts w:eastAsia="Times New Roman"/>
                <w:lang w:eastAsia="en-AU"/>
              </w:rPr>
            </w:pPr>
            <w:r w:rsidRPr="00B0618E">
              <w:rPr>
                <w:rFonts w:eastAsia="Times New Roman"/>
                <w:lang w:eastAsia="en-AU"/>
              </w:rPr>
              <w:t>Liquid flow that conforms to Darcy’s law</w:t>
            </w:r>
          </w:p>
        </w:tc>
      </w:tr>
      <w:tr w:rsidR="00AA0F3B" w:rsidRPr="00B0618E" w14:paraId="4E63CD81" w14:textId="77777777" w:rsidTr="00E046D7">
        <w:tc>
          <w:tcPr>
            <w:tcW w:w="2268" w:type="dxa"/>
          </w:tcPr>
          <w:p w14:paraId="61405CF2" w14:textId="77777777" w:rsidR="00AA0F3B" w:rsidRPr="00B0618E" w:rsidRDefault="00AA0F3B" w:rsidP="00E046D7">
            <w:pPr>
              <w:pStyle w:val="Body"/>
              <w:rPr>
                <w:rFonts w:eastAsia="Times New Roman"/>
                <w:lang w:eastAsia="en-AU"/>
              </w:rPr>
            </w:pPr>
            <w:r w:rsidRPr="00B0618E">
              <w:rPr>
                <w:rFonts w:eastAsia="Times New Roman"/>
                <w:lang w:eastAsia="en-AU"/>
              </w:rPr>
              <w:t>Darcy’s law</w:t>
            </w:r>
          </w:p>
        </w:tc>
        <w:tc>
          <w:tcPr>
            <w:tcW w:w="6946" w:type="dxa"/>
          </w:tcPr>
          <w:p w14:paraId="7D3AA89F" w14:textId="77777777" w:rsidR="00AA0F3B" w:rsidRPr="00B0618E" w:rsidRDefault="00AA0F3B" w:rsidP="00E046D7">
            <w:pPr>
              <w:pStyle w:val="Body"/>
              <w:rPr>
                <w:rFonts w:eastAsia="Times New Roman"/>
                <w:lang w:eastAsia="en-AU"/>
              </w:rPr>
            </w:pPr>
            <w:r w:rsidRPr="00B0618E">
              <w:rPr>
                <w:rFonts w:eastAsia="Times New Roman"/>
                <w:lang w:eastAsia="en-AU"/>
              </w:rPr>
              <w:t>A constitutive equation that describes the flow of a fluid through a porous medium such as rock or soil</w:t>
            </w:r>
          </w:p>
        </w:tc>
      </w:tr>
      <w:tr w:rsidR="00AA0F3B" w:rsidRPr="00B0618E" w14:paraId="2292DC13" w14:textId="77777777" w:rsidTr="00E046D7">
        <w:tc>
          <w:tcPr>
            <w:tcW w:w="2268" w:type="dxa"/>
          </w:tcPr>
          <w:p w14:paraId="65CF9D83" w14:textId="77777777" w:rsidR="00AA0F3B" w:rsidRPr="00B0618E" w:rsidRDefault="00AA0F3B" w:rsidP="00E046D7">
            <w:pPr>
              <w:pStyle w:val="Body"/>
              <w:rPr>
                <w:rFonts w:eastAsia="Times New Roman"/>
                <w:lang w:eastAsia="en-AU"/>
              </w:rPr>
            </w:pPr>
            <w:r w:rsidRPr="00B0618E">
              <w:rPr>
                <w:rFonts w:eastAsia="Times New Roman"/>
                <w:lang w:eastAsia="en-AU"/>
              </w:rPr>
              <w:t>Depressurisation</w:t>
            </w:r>
          </w:p>
        </w:tc>
        <w:tc>
          <w:tcPr>
            <w:tcW w:w="6946" w:type="dxa"/>
          </w:tcPr>
          <w:p w14:paraId="68DA87A6" w14:textId="77777777" w:rsidR="00AA0F3B" w:rsidRPr="00B0618E" w:rsidRDefault="00AA0F3B" w:rsidP="00E046D7">
            <w:pPr>
              <w:pStyle w:val="Body"/>
              <w:rPr>
                <w:rFonts w:eastAsia="Times New Roman"/>
                <w:lang w:eastAsia="en-AU"/>
              </w:rPr>
            </w:pPr>
            <w:r w:rsidRPr="00B0618E">
              <w:rPr>
                <w:rFonts w:eastAsia="Times New Roman"/>
                <w:lang w:eastAsia="en-AU"/>
              </w:rPr>
              <w:t>The lowering of static groundwater levels through the partial extraction of available groundwater, usually by means of pumping from one or several groundwater bores or gas wells</w:t>
            </w:r>
          </w:p>
        </w:tc>
      </w:tr>
      <w:tr w:rsidR="00AA0F3B" w:rsidRPr="00B0618E" w14:paraId="57C6DB71" w14:textId="77777777" w:rsidTr="00E046D7">
        <w:tc>
          <w:tcPr>
            <w:tcW w:w="2268" w:type="dxa"/>
          </w:tcPr>
          <w:p w14:paraId="77118689" w14:textId="77777777" w:rsidR="00AA0F3B" w:rsidRPr="00B0618E" w:rsidRDefault="00AA0F3B" w:rsidP="00E046D7">
            <w:pPr>
              <w:pStyle w:val="Body"/>
              <w:rPr>
                <w:rFonts w:eastAsia="Times New Roman"/>
                <w:lang w:eastAsia="en-AU"/>
              </w:rPr>
            </w:pPr>
            <w:r w:rsidRPr="00B0618E">
              <w:rPr>
                <w:rFonts w:eastAsia="Times New Roman"/>
                <w:lang w:eastAsia="en-AU"/>
              </w:rPr>
              <w:t>Dewatering</w:t>
            </w:r>
          </w:p>
        </w:tc>
        <w:tc>
          <w:tcPr>
            <w:tcW w:w="6946" w:type="dxa"/>
          </w:tcPr>
          <w:p w14:paraId="76633A77" w14:textId="77777777" w:rsidR="00AA0F3B" w:rsidRPr="00B0618E" w:rsidRDefault="00AA0F3B" w:rsidP="00E046D7">
            <w:pPr>
              <w:pStyle w:val="Body"/>
              <w:rPr>
                <w:rFonts w:eastAsia="Times New Roman"/>
                <w:lang w:eastAsia="en-AU"/>
              </w:rPr>
            </w:pPr>
            <w:r w:rsidRPr="00B0618E">
              <w:rPr>
                <w:rFonts w:eastAsia="Times New Roman"/>
                <w:lang w:eastAsia="en-AU"/>
              </w:rPr>
              <w:t>The lowering of static groundwater levels through complete extraction of all readily available groundwater, usually by means of pumping from one or several groundwater bores or gas wells</w:t>
            </w:r>
          </w:p>
        </w:tc>
      </w:tr>
      <w:tr w:rsidR="00AA0F3B" w:rsidRPr="00B0618E" w14:paraId="44EFC238" w14:textId="77777777" w:rsidTr="00E046D7">
        <w:tc>
          <w:tcPr>
            <w:tcW w:w="2268" w:type="dxa"/>
          </w:tcPr>
          <w:p w14:paraId="02DD73C4" w14:textId="77777777" w:rsidR="00AA0F3B" w:rsidRPr="00B0618E" w:rsidRDefault="00AA0F3B" w:rsidP="00E046D7">
            <w:pPr>
              <w:pStyle w:val="Body"/>
              <w:rPr>
                <w:rFonts w:eastAsia="Times New Roman"/>
                <w:lang w:eastAsia="en-AU"/>
              </w:rPr>
            </w:pPr>
            <w:r w:rsidRPr="00B0618E">
              <w:rPr>
                <w:rFonts w:eastAsia="Times New Roman"/>
                <w:lang w:eastAsia="en-AU"/>
              </w:rPr>
              <w:t>Dirichlet boundary condition</w:t>
            </w:r>
          </w:p>
        </w:tc>
        <w:tc>
          <w:tcPr>
            <w:tcW w:w="6946" w:type="dxa"/>
          </w:tcPr>
          <w:p w14:paraId="04AEE765" w14:textId="77777777" w:rsidR="00AA0F3B" w:rsidRPr="00B0618E" w:rsidRDefault="00AA0F3B" w:rsidP="00E046D7">
            <w:pPr>
              <w:pStyle w:val="Body"/>
              <w:rPr>
                <w:rFonts w:eastAsia="Times New Roman"/>
                <w:lang w:eastAsia="en-AU"/>
              </w:rPr>
            </w:pPr>
            <w:r w:rsidRPr="00B0618E">
              <w:rPr>
                <w:rFonts w:eastAsia="Times New Roman"/>
                <w:lang w:eastAsia="en-AU"/>
              </w:rPr>
              <w:t>Also known as a first type boundary condition, involves specification of the value that the solution of a differential equation needs to produce along the boundary of a model domain. Applicable to both numerical and analytical models</w:t>
            </w:r>
          </w:p>
        </w:tc>
      </w:tr>
      <w:tr w:rsidR="00AA0F3B" w:rsidRPr="00B0618E" w14:paraId="170A1787" w14:textId="77777777" w:rsidTr="00E046D7">
        <w:tc>
          <w:tcPr>
            <w:tcW w:w="2268" w:type="dxa"/>
          </w:tcPr>
          <w:p w14:paraId="3CFAB57A" w14:textId="77777777" w:rsidR="00AA0F3B" w:rsidRPr="00B0618E" w:rsidRDefault="00AA0F3B" w:rsidP="00E046D7">
            <w:pPr>
              <w:pStyle w:val="Body"/>
              <w:rPr>
                <w:rFonts w:eastAsia="Times New Roman"/>
                <w:lang w:eastAsia="en-AU"/>
              </w:rPr>
            </w:pPr>
            <w:r w:rsidRPr="00B0618E">
              <w:rPr>
                <w:rFonts w:eastAsia="Times New Roman"/>
                <w:lang w:eastAsia="en-AU"/>
              </w:rPr>
              <w:t>Gaussian (probability distribution)</w:t>
            </w:r>
          </w:p>
        </w:tc>
        <w:tc>
          <w:tcPr>
            <w:tcW w:w="6946" w:type="dxa"/>
          </w:tcPr>
          <w:p w14:paraId="7910DD63" w14:textId="77777777" w:rsidR="00AA0F3B" w:rsidRPr="00B0618E" w:rsidRDefault="00AA0F3B" w:rsidP="00E046D7">
            <w:pPr>
              <w:pStyle w:val="Body"/>
              <w:rPr>
                <w:rFonts w:eastAsia="Times New Roman"/>
                <w:lang w:eastAsia="en-AU"/>
              </w:rPr>
            </w:pPr>
            <w:r w:rsidRPr="00B0618E">
              <w:rPr>
                <w:rFonts w:eastAsia="Times New Roman"/>
                <w:lang w:eastAsia="en-AU"/>
              </w:rPr>
              <w:t>A continuous function that approximates the exact binomial distribution and which represents the statistical distribution of many random variables. This can be described using only two parameters: mean (i.e. central tendency) and variance (i.e. spread). Typically visualised as a symmetrical bell-shaped graph</w:t>
            </w:r>
          </w:p>
        </w:tc>
      </w:tr>
      <w:tr w:rsidR="00AA0F3B" w:rsidRPr="00B0618E" w14:paraId="0408E4A7" w14:textId="77777777" w:rsidTr="00E046D7">
        <w:tc>
          <w:tcPr>
            <w:tcW w:w="2268" w:type="dxa"/>
          </w:tcPr>
          <w:p w14:paraId="7935538E" w14:textId="77777777" w:rsidR="00AA0F3B" w:rsidRPr="00B0618E" w:rsidRDefault="00AA0F3B" w:rsidP="00E046D7">
            <w:pPr>
              <w:pStyle w:val="Body"/>
              <w:rPr>
                <w:rFonts w:eastAsia="Times New Roman"/>
                <w:lang w:eastAsia="en-AU"/>
              </w:rPr>
            </w:pPr>
            <w:r w:rsidRPr="00B0618E">
              <w:rPr>
                <w:rFonts w:eastAsia="Times New Roman"/>
                <w:lang w:eastAsia="en-AU"/>
              </w:rPr>
              <w:t>Groundwater</w:t>
            </w:r>
          </w:p>
        </w:tc>
        <w:tc>
          <w:tcPr>
            <w:tcW w:w="6946" w:type="dxa"/>
          </w:tcPr>
          <w:p w14:paraId="0DD373A9" w14:textId="77777777" w:rsidR="00AA0F3B" w:rsidRPr="00B0618E" w:rsidRDefault="00AA0F3B" w:rsidP="00E046D7">
            <w:pPr>
              <w:pStyle w:val="Body"/>
              <w:rPr>
                <w:rFonts w:eastAsia="Times New Roman"/>
                <w:lang w:eastAsia="en-AU"/>
              </w:rPr>
            </w:pPr>
            <w:r w:rsidRPr="00B0618E">
              <w:rPr>
                <w:rFonts w:eastAsia="Times New Roman"/>
                <w:lang w:eastAsia="en-AU"/>
              </w:rPr>
              <w:t>Water occurring naturally below ground level (whether in an aquifer or other low-permeability material), or water occurring at a place below ground that has been pumped, diverted or released to that place for storage. This does not include water held in underground tanks, pipes or other works</w:t>
            </w:r>
          </w:p>
        </w:tc>
      </w:tr>
      <w:tr w:rsidR="00AA0F3B" w:rsidRPr="00B0618E" w14:paraId="589BB698" w14:textId="77777777" w:rsidTr="00E046D7">
        <w:tc>
          <w:tcPr>
            <w:tcW w:w="2268" w:type="dxa"/>
          </w:tcPr>
          <w:p w14:paraId="64388E5E" w14:textId="77777777" w:rsidR="00AA0F3B" w:rsidRPr="00B0618E" w:rsidRDefault="00AA0F3B" w:rsidP="00E046D7">
            <w:pPr>
              <w:pStyle w:val="Body"/>
              <w:rPr>
                <w:rFonts w:eastAsia="Times New Roman"/>
                <w:lang w:eastAsia="en-AU"/>
              </w:rPr>
            </w:pPr>
            <w:r w:rsidRPr="00B0618E">
              <w:rPr>
                <w:rFonts w:eastAsia="Times New Roman"/>
                <w:lang w:eastAsia="en-AU"/>
              </w:rPr>
              <w:t>Groundwater (single phase) flow model</w:t>
            </w:r>
          </w:p>
        </w:tc>
        <w:tc>
          <w:tcPr>
            <w:tcW w:w="6946" w:type="dxa"/>
          </w:tcPr>
          <w:p w14:paraId="68BA92B9" w14:textId="77777777" w:rsidR="00AA0F3B" w:rsidRPr="00B0618E" w:rsidRDefault="00AA0F3B" w:rsidP="00E046D7">
            <w:pPr>
              <w:pStyle w:val="Body"/>
              <w:rPr>
                <w:lang w:eastAsia="en-AU"/>
              </w:rPr>
            </w:pPr>
            <w:r w:rsidRPr="00B0618E">
              <w:rPr>
                <w:rFonts w:eastAsia="Times New Roman"/>
                <w:lang w:eastAsia="en-AU"/>
              </w:rPr>
              <w:t>A numerical solution to a partial differential equation used to describe the flow of water in the subsurface. Groundwater flow models involve the flow simulation of a single fluid phase (i.e. water). Common parameters used in groundwater flow models are hydraulic conductivity, specific yield and specific storage</w:t>
            </w:r>
          </w:p>
        </w:tc>
      </w:tr>
      <w:tr w:rsidR="00AA0F3B" w:rsidRPr="00B0618E" w14:paraId="097381FB" w14:textId="77777777" w:rsidTr="00E046D7">
        <w:tc>
          <w:tcPr>
            <w:tcW w:w="2268" w:type="dxa"/>
          </w:tcPr>
          <w:p w14:paraId="68B8DAEE"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Hydraulic conductivity  </w:t>
            </w:r>
          </w:p>
        </w:tc>
        <w:tc>
          <w:tcPr>
            <w:tcW w:w="6946" w:type="dxa"/>
          </w:tcPr>
          <w:p w14:paraId="16B3C404" w14:textId="77777777" w:rsidR="00AA0F3B" w:rsidRPr="00B0618E" w:rsidRDefault="00AA0F3B" w:rsidP="00E046D7">
            <w:pPr>
              <w:pStyle w:val="Body"/>
              <w:rPr>
                <w:lang w:eastAsia="en-AU"/>
              </w:rPr>
            </w:pPr>
            <w:r w:rsidRPr="00B0618E">
              <w:rPr>
                <w:lang w:eastAsia="en-AU"/>
              </w:rPr>
              <w:t>A coefficient of proportionality describing the rate at which a fluid can move through a permeable medium</w:t>
            </w:r>
          </w:p>
        </w:tc>
      </w:tr>
      <w:tr w:rsidR="00AA0F3B" w:rsidRPr="00B0618E" w14:paraId="5C7F1316" w14:textId="77777777" w:rsidTr="00E046D7">
        <w:tc>
          <w:tcPr>
            <w:tcW w:w="2268" w:type="dxa"/>
          </w:tcPr>
          <w:p w14:paraId="2F4E3A53" w14:textId="77777777" w:rsidR="00AA0F3B" w:rsidRPr="00B0618E" w:rsidRDefault="00AA0F3B" w:rsidP="00E046D7">
            <w:pPr>
              <w:pStyle w:val="Body"/>
              <w:rPr>
                <w:rFonts w:eastAsia="Times New Roman"/>
                <w:lang w:eastAsia="en-AU"/>
              </w:rPr>
            </w:pPr>
            <w:r w:rsidRPr="00B0618E">
              <w:rPr>
                <w:rFonts w:eastAsia="Times New Roman"/>
                <w:lang w:eastAsia="en-AU"/>
              </w:rPr>
              <w:t>Hydraulic gradient</w:t>
            </w:r>
          </w:p>
        </w:tc>
        <w:tc>
          <w:tcPr>
            <w:tcW w:w="6946" w:type="dxa"/>
          </w:tcPr>
          <w:p w14:paraId="67204835" w14:textId="77777777" w:rsidR="00AA0F3B" w:rsidRPr="00B0618E" w:rsidRDefault="00AA0F3B" w:rsidP="00E046D7">
            <w:pPr>
              <w:pStyle w:val="Body"/>
              <w:rPr>
                <w:rFonts w:eastAsia="Times New Roman"/>
                <w:lang w:eastAsia="en-AU"/>
              </w:rPr>
            </w:pPr>
            <w:r w:rsidRPr="00B0618E">
              <w:rPr>
                <w:rFonts w:eastAsia="Times New Roman"/>
                <w:lang w:eastAsia="en-AU"/>
              </w:rPr>
              <w:t>The difference in hydraulic head between different locations within or between hydrostratigraphic units, as indicated by water levels observed in wells constructed in those units</w:t>
            </w:r>
          </w:p>
        </w:tc>
      </w:tr>
      <w:tr w:rsidR="00AA0F3B" w:rsidRPr="00B0618E" w14:paraId="4FA481A6" w14:textId="77777777" w:rsidTr="00E046D7">
        <w:tc>
          <w:tcPr>
            <w:tcW w:w="2268" w:type="dxa"/>
          </w:tcPr>
          <w:p w14:paraId="120C1A2C" w14:textId="77777777" w:rsidR="00AA0F3B" w:rsidRPr="00B0618E" w:rsidRDefault="00AA0F3B" w:rsidP="00E046D7">
            <w:pPr>
              <w:pStyle w:val="Body"/>
              <w:rPr>
                <w:rFonts w:eastAsia="Times New Roman"/>
                <w:lang w:eastAsia="en-AU"/>
              </w:rPr>
            </w:pPr>
            <w:r w:rsidRPr="00B0618E">
              <w:rPr>
                <w:rFonts w:eastAsia="Times New Roman"/>
                <w:lang w:eastAsia="en-AU"/>
              </w:rPr>
              <w:t>Hydraulic head</w:t>
            </w:r>
          </w:p>
        </w:tc>
        <w:tc>
          <w:tcPr>
            <w:tcW w:w="6946" w:type="dxa"/>
          </w:tcPr>
          <w:p w14:paraId="7554C207" w14:textId="77777777" w:rsidR="00AA0F3B" w:rsidRPr="00B0618E" w:rsidRDefault="00AA0F3B" w:rsidP="00E046D7">
            <w:pPr>
              <w:pStyle w:val="Body"/>
              <w:rPr>
                <w:rFonts w:eastAsia="Times New Roman"/>
                <w:lang w:eastAsia="en-AU"/>
              </w:rPr>
            </w:pPr>
            <w:r w:rsidRPr="00B0618E">
              <w:rPr>
                <w:rFonts w:eastAsia="Times New Roman"/>
                <w:lang w:eastAsia="en-AU"/>
              </w:rPr>
              <w:t>The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water table at that location. For a confined aquifer, it is a reflection of the pressure that the groundwater is subject to and will typically manifest in a bore as a water level above the top of the confined aquifer, and in some cases above ground level</w:t>
            </w:r>
          </w:p>
        </w:tc>
      </w:tr>
      <w:tr w:rsidR="00AA0F3B" w:rsidRPr="00B0618E" w14:paraId="7F173194" w14:textId="77777777" w:rsidTr="00E046D7">
        <w:tc>
          <w:tcPr>
            <w:tcW w:w="2268" w:type="dxa"/>
          </w:tcPr>
          <w:p w14:paraId="750EA7ED" w14:textId="77777777" w:rsidR="00AA0F3B" w:rsidRPr="00B0618E" w:rsidRDefault="00AA0F3B" w:rsidP="00E046D7">
            <w:pPr>
              <w:pStyle w:val="Body"/>
              <w:rPr>
                <w:rFonts w:eastAsia="Times New Roman"/>
                <w:lang w:eastAsia="en-AU"/>
              </w:rPr>
            </w:pPr>
            <w:r w:rsidRPr="00B0618E">
              <w:rPr>
                <w:rFonts w:eastAsia="Times New Roman"/>
                <w:lang w:eastAsia="en-AU"/>
              </w:rPr>
              <w:t>Hydraulic pressure</w:t>
            </w:r>
          </w:p>
        </w:tc>
        <w:tc>
          <w:tcPr>
            <w:tcW w:w="6946" w:type="dxa"/>
          </w:tcPr>
          <w:p w14:paraId="4E4D1B25" w14:textId="77777777" w:rsidR="00AA0F3B" w:rsidRPr="00B0618E" w:rsidRDefault="00AA0F3B" w:rsidP="00E046D7">
            <w:pPr>
              <w:pStyle w:val="Body"/>
              <w:rPr>
                <w:rFonts w:eastAsia="Times New Roman"/>
                <w:lang w:eastAsia="en-AU"/>
              </w:rPr>
            </w:pPr>
            <w:r w:rsidRPr="00B0618E">
              <w:rPr>
                <w:rFonts w:eastAsia="Times New Roman"/>
                <w:lang w:eastAsia="en-AU"/>
              </w:rPr>
              <w:t>The total pressure that water exerts on the materials comprising the aquifer. Also known as pore pressure</w:t>
            </w:r>
          </w:p>
        </w:tc>
      </w:tr>
      <w:tr w:rsidR="00AA0F3B" w:rsidRPr="00B0618E" w14:paraId="731BF972" w14:textId="77777777" w:rsidTr="00E046D7">
        <w:tc>
          <w:tcPr>
            <w:tcW w:w="2268" w:type="dxa"/>
          </w:tcPr>
          <w:p w14:paraId="37D6047C" w14:textId="77777777" w:rsidR="00AA0F3B" w:rsidRPr="00B0618E" w:rsidRDefault="00AA0F3B" w:rsidP="00E046D7">
            <w:pPr>
              <w:pStyle w:val="Body"/>
              <w:rPr>
                <w:rFonts w:eastAsia="Times New Roman"/>
                <w:lang w:eastAsia="en-AU"/>
              </w:rPr>
            </w:pPr>
            <w:r w:rsidRPr="00B0618E">
              <w:rPr>
                <w:rFonts w:eastAsia="Times New Roman"/>
                <w:lang w:eastAsia="en-AU"/>
              </w:rPr>
              <w:t>Hydrostratigraphic unit</w:t>
            </w:r>
          </w:p>
        </w:tc>
        <w:tc>
          <w:tcPr>
            <w:tcW w:w="6946" w:type="dxa"/>
          </w:tcPr>
          <w:p w14:paraId="2876DD7E" w14:textId="77777777" w:rsidR="00AA0F3B" w:rsidRPr="00B0618E" w:rsidRDefault="00AA0F3B" w:rsidP="00E046D7">
            <w:pPr>
              <w:pStyle w:val="Body"/>
              <w:rPr>
                <w:rFonts w:eastAsia="Times New Roman"/>
                <w:lang w:eastAsia="en-AU"/>
              </w:rPr>
            </w:pPr>
            <w:r w:rsidRPr="00B0618E">
              <w:rPr>
                <w:rFonts w:eastAsia="Times New Roman"/>
                <w:lang w:eastAsia="en-AU"/>
              </w:rPr>
              <w:t>A formation, part of a formation, or group of formations of significant lateral extent that compose a unit of reasonably distinct (similar) hydrogeologic parameters and responses</w:t>
            </w:r>
          </w:p>
        </w:tc>
      </w:tr>
      <w:tr w:rsidR="00AA0F3B" w:rsidRPr="00B0618E" w14:paraId="37532C53" w14:textId="77777777" w:rsidTr="00E046D7">
        <w:tc>
          <w:tcPr>
            <w:tcW w:w="2268" w:type="dxa"/>
          </w:tcPr>
          <w:p w14:paraId="133D7FFB"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Interburden </w:t>
            </w:r>
          </w:p>
        </w:tc>
        <w:tc>
          <w:tcPr>
            <w:tcW w:w="6946" w:type="dxa"/>
          </w:tcPr>
          <w:p w14:paraId="39637383" w14:textId="77777777" w:rsidR="00AA0F3B" w:rsidRPr="00B0618E" w:rsidRDefault="00AA0F3B" w:rsidP="00E046D7">
            <w:pPr>
              <w:pStyle w:val="Body"/>
              <w:rPr>
                <w:rFonts w:eastAsia="Times New Roman"/>
                <w:lang w:eastAsia="en-AU"/>
              </w:rPr>
            </w:pPr>
            <w:r w:rsidRPr="00B0618E">
              <w:rPr>
                <w:rFonts w:eastAsia="Times New Roman"/>
                <w:lang w:eastAsia="en-AU"/>
              </w:rPr>
              <w:t>Material of any nature that lies between two or more bedded ore zones or coal seams</w:t>
            </w:r>
          </w:p>
        </w:tc>
      </w:tr>
      <w:tr w:rsidR="00AA0F3B" w:rsidRPr="00B0618E" w14:paraId="126D0BF0" w14:textId="77777777" w:rsidTr="00E046D7">
        <w:tc>
          <w:tcPr>
            <w:tcW w:w="2268" w:type="dxa"/>
          </w:tcPr>
          <w:p w14:paraId="0CD84DCA" w14:textId="77777777" w:rsidR="00AA0F3B" w:rsidRPr="00B0618E" w:rsidRDefault="00AA0F3B" w:rsidP="00E046D7">
            <w:pPr>
              <w:pStyle w:val="Body"/>
              <w:rPr>
                <w:rFonts w:eastAsia="Times New Roman"/>
                <w:lang w:eastAsia="en-AU"/>
              </w:rPr>
            </w:pPr>
            <w:r w:rsidRPr="00B0618E">
              <w:rPr>
                <w:rFonts w:eastAsia="Times New Roman"/>
                <w:lang w:eastAsia="en-AU"/>
              </w:rPr>
              <w:t>Intrinsic permeability</w:t>
            </w:r>
          </w:p>
        </w:tc>
        <w:tc>
          <w:tcPr>
            <w:tcW w:w="6946" w:type="dxa"/>
          </w:tcPr>
          <w:p w14:paraId="612CE57E" w14:textId="77777777" w:rsidR="00AA0F3B" w:rsidRPr="00B0618E" w:rsidRDefault="00AA0F3B" w:rsidP="00E046D7">
            <w:pPr>
              <w:pStyle w:val="Body"/>
            </w:pPr>
            <w:r w:rsidRPr="00B0618E">
              <w:rPr>
                <w:rFonts w:eastAsia="Times New Roman"/>
                <w:lang w:eastAsia="en-AU"/>
              </w:rPr>
              <w:t>The permeability of a given medium independent of the type of fluid present</w:t>
            </w:r>
          </w:p>
        </w:tc>
      </w:tr>
      <w:tr w:rsidR="00AA0F3B" w:rsidRPr="00B0618E" w14:paraId="0F2A7780" w14:textId="77777777" w:rsidTr="00E046D7">
        <w:tc>
          <w:tcPr>
            <w:tcW w:w="2268" w:type="dxa"/>
          </w:tcPr>
          <w:p w14:paraId="7C6F9EA5" w14:textId="77777777" w:rsidR="00AA0F3B" w:rsidRPr="00B0618E" w:rsidRDefault="00AA0F3B" w:rsidP="00E046D7">
            <w:pPr>
              <w:pStyle w:val="Body"/>
              <w:rPr>
                <w:rFonts w:eastAsia="Times New Roman"/>
                <w:lang w:eastAsia="en-AU"/>
              </w:rPr>
            </w:pPr>
            <w:r w:rsidRPr="00B0618E">
              <w:rPr>
                <w:rFonts w:eastAsia="Times New Roman"/>
                <w:lang w:eastAsia="en-AU"/>
              </w:rPr>
              <w:t>Isotropy</w:t>
            </w:r>
          </w:p>
        </w:tc>
        <w:tc>
          <w:tcPr>
            <w:tcW w:w="6946" w:type="dxa"/>
          </w:tcPr>
          <w:p w14:paraId="61262370" w14:textId="77777777" w:rsidR="00AA0F3B" w:rsidRPr="00B0618E" w:rsidRDefault="00AA0F3B" w:rsidP="00E046D7">
            <w:pPr>
              <w:pStyle w:val="Body"/>
              <w:rPr>
                <w:rFonts w:eastAsia="Times New Roman"/>
                <w:lang w:eastAsia="en-AU"/>
              </w:rPr>
            </w:pPr>
            <w:r w:rsidRPr="00B0618E">
              <w:rPr>
                <w:rFonts w:eastAsia="Times New Roman"/>
                <w:lang w:eastAsia="en-AU"/>
              </w:rPr>
              <w:t>The condition in which the hydraulic properties of a hydrostratigraphic unit are equal in all directions</w:t>
            </w:r>
          </w:p>
        </w:tc>
      </w:tr>
      <w:tr w:rsidR="00AA0F3B" w:rsidRPr="00B0618E" w14:paraId="7D74C46A" w14:textId="77777777" w:rsidTr="00E046D7">
        <w:tc>
          <w:tcPr>
            <w:tcW w:w="2268" w:type="dxa"/>
          </w:tcPr>
          <w:p w14:paraId="6B372DFB"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Kriging </w:t>
            </w:r>
          </w:p>
        </w:tc>
        <w:tc>
          <w:tcPr>
            <w:tcW w:w="6946" w:type="dxa"/>
          </w:tcPr>
          <w:p w14:paraId="3EEBF723" w14:textId="77777777" w:rsidR="00AA0F3B" w:rsidRPr="00B0618E" w:rsidRDefault="00AA0F3B" w:rsidP="00921DC2">
            <w:pPr>
              <w:pStyle w:val="Body"/>
              <w:rPr>
                <w:rFonts w:eastAsia="Times New Roman"/>
                <w:lang w:eastAsia="en-AU"/>
              </w:rPr>
            </w:pPr>
            <w:r w:rsidRPr="00B0618E">
              <w:rPr>
                <w:rFonts w:eastAsia="Times New Roman"/>
                <w:lang w:eastAsia="en-AU"/>
              </w:rPr>
              <w:t xml:space="preserve">A geostatistical method of spatial interpolation (i.e. prediction) using </w:t>
            </w:r>
            <w:r w:rsidR="00921DC2" w:rsidRPr="00B0618E">
              <w:rPr>
                <w:rFonts w:eastAsia="Times New Roman"/>
                <w:lang w:eastAsia="en-AU"/>
              </w:rPr>
              <w:t xml:space="preserve">the </w:t>
            </w:r>
            <w:r w:rsidRPr="00B0618E">
              <w:rPr>
                <w:rFonts w:eastAsia="Times New Roman"/>
                <w:lang w:eastAsia="en-AU"/>
              </w:rPr>
              <w:t xml:space="preserve">weighted </w:t>
            </w:r>
            <w:r w:rsidR="00921DC2" w:rsidRPr="00B0618E">
              <w:rPr>
                <w:rFonts w:eastAsia="Times New Roman"/>
                <w:lang w:eastAsia="en-AU"/>
              </w:rPr>
              <w:t xml:space="preserve">mean value </w:t>
            </w:r>
            <w:r w:rsidRPr="00B0618E">
              <w:rPr>
                <w:rFonts w:eastAsia="Times New Roman"/>
                <w:lang w:eastAsia="en-AU"/>
              </w:rPr>
              <w:t>of surrounding data points. The data are a set of observations with some spatial correlation present</w:t>
            </w:r>
          </w:p>
        </w:tc>
      </w:tr>
      <w:tr w:rsidR="00AA0F3B" w:rsidRPr="00B0618E" w14:paraId="7A8F0469" w14:textId="77777777" w:rsidTr="00E046D7">
        <w:tc>
          <w:tcPr>
            <w:tcW w:w="2268" w:type="dxa"/>
          </w:tcPr>
          <w:p w14:paraId="03A01A63"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Monte Carlo sampling </w:t>
            </w:r>
          </w:p>
        </w:tc>
        <w:tc>
          <w:tcPr>
            <w:tcW w:w="6946" w:type="dxa"/>
          </w:tcPr>
          <w:p w14:paraId="3020EF74" w14:textId="77777777" w:rsidR="00AA0F3B" w:rsidRPr="00B0618E" w:rsidRDefault="00AA0F3B" w:rsidP="00E046D7">
            <w:pPr>
              <w:pStyle w:val="Body"/>
              <w:rPr>
                <w:rFonts w:eastAsia="Times New Roman"/>
                <w:lang w:eastAsia="en-AU"/>
              </w:rPr>
            </w:pPr>
            <w:r w:rsidRPr="00B0618E">
              <w:rPr>
                <w:rFonts w:eastAsia="Times New Roman"/>
                <w:lang w:eastAsia="en-AU"/>
              </w:rPr>
              <w:t>The sampling of uncertain data for use in Monte Carlo risk analysis or simulation</w:t>
            </w:r>
          </w:p>
        </w:tc>
      </w:tr>
      <w:tr w:rsidR="00AA0F3B" w:rsidRPr="00B0618E" w14:paraId="4A8851C8" w14:textId="77777777" w:rsidTr="00E046D7">
        <w:tc>
          <w:tcPr>
            <w:tcW w:w="2268" w:type="dxa"/>
          </w:tcPr>
          <w:p w14:paraId="5BA93717" w14:textId="77777777" w:rsidR="00AA0F3B" w:rsidRPr="00B0618E" w:rsidRDefault="00AA0F3B" w:rsidP="00E046D7">
            <w:pPr>
              <w:pStyle w:val="Body"/>
              <w:rPr>
                <w:rFonts w:eastAsia="Times New Roman"/>
                <w:lang w:eastAsia="en-AU"/>
              </w:rPr>
            </w:pPr>
            <w:r w:rsidRPr="00B0618E">
              <w:rPr>
                <w:rFonts w:eastAsia="Times New Roman"/>
                <w:lang w:eastAsia="en-AU"/>
              </w:rPr>
              <w:t>Monte Carlo simulation</w:t>
            </w:r>
          </w:p>
        </w:tc>
        <w:tc>
          <w:tcPr>
            <w:tcW w:w="6946" w:type="dxa"/>
          </w:tcPr>
          <w:p w14:paraId="05B34C71"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The use of Monte Carlo analysis techniques to estimate the most probable outcomes from a </w:t>
            </w:r>
            <w:hyperlink r:id="rId17" w:history="1">
              <w:r w:rsidRPr="00B0618E">
                <w:rPr>
                  <w:rFonts w:eastAsia="Times New Roman"/>
                  <w:lang w:eastAsia="en-AU"/>
                </w:rPr>
                <w:t>model</w:t>
              </w:r>
            </w:hyperlink>
            <w:r w:rsidRPr="00B0618E">
              <w:rPr>
                <w:rFonts w:eastAsia="Times New Roman"/>
                <w:lang w:eastAsia="en-AU"/>
              </w:rPr>
              <w:t xml:space="preserve"> with uncertain input data</w:t>
            </w:r>
          </w:p>
        </w:tc>
      </w:tr>
      <w:tr w:rsidR="00AA0F3B" w:rsidRPr="00B0618E" w14:paraId="68917058" w14:textId="77777777" w:rsidTr="00E046D7">
        <w:tc>
          <w:tcPr>
            <w:tcW w:w="2268" w:type="dxa"/>
          </w:tcPr>
          <w:p w14:paraId="6AB6517A" w14:textId="77777777" w:rsidR="00AA0F3B" w:rsidRPr="00B0618E" w:rsidRDefault="00AA0F3B" w:rsidP="00E046D7">
            <w:pPr>
              <w:pStyle w:val="Body"/>
              <w:rPr>
                <w:rFonts w:eastAsia="Times New Roman"/>
                <w:lang w:eastAsia="en-AU"/>
              </w:rPr>
            </w:pPr>
            <w:r w:rsidRPr="00B0618E">
              <w:rPr>
                <w:rFonts w:eastAsia="Times New Roman"/>
                <w:lang w:eastAsia="en-AU"/>
              </w:rPr>
              <w:t>Numerical realisation</w:t>
            </w:r>
          </w:p>
        </w:tc>
        <w:tc>
          <w:tcPr>
            <w:tcW w:w="6946" w:type="dxa"/>
          </w:tcPr>
          <w:p w14:paraId="6F609DC5" w14:textId="77777777" w:rsidR="00AA0F3B" w:rsidRPr="00B0618E" w:rsidRDefault="00AA0F3B" w:rsidP="00E046D7">
            <w:pPr>
              <w:pStyle w:val="Body"/>
              <w:rPr>
                <w:rFonts w:eastAsia="Times New Roman"/>
                <w:lang w:eastAsia="en-AU"/>
              </w:rPr>
            </w:pPr>
            <w:r w:rsidRPr="00B0618E">
              <w:rPr>
                <w:rFonts w:eastAsia="Times New Roman"/>
                <w:lang w:eastAsia="en-AU"/>
              </w:rPr>
              <w:t>A numerically generated sample (usually of model parameters) drawn from a probability distribution, used to run a model simulation</w:t>
            </w:r>
          </w:p>
        </w:tc>
      </w:tr>
      <w:tr w:rsidR="00AA0F3B" w:rsidRPr="00B0618E" w14:paraId="342D2504" w14:textId="77777777" w:rsidTr="00E046D7">
        <w:tc>
          <w:tcPr>
            <w:tcW w:w="2268" w:type="dxa"/>
          </w:tcPr>
          <w:p w14:paraId="2E8FE1D2" w14:textId="77777777" w:rsidR="00AA0F3B" w:rsidRPr="00B0618E" w:rsidRDefault="00AA0F3B" w:rsidP="00E046D7">
            <w:pPr>
              <w:pStyle w:val="Body"/>
              <w:rPr>
                <w:rFonts w:eastAsia="Times New Roman"/>
                <w:lang w:eastAsia="en-AU"/>
              </w:rPr>
            </w:pPr>
            <w:r w:rsidRPr="00B0618E">
              <w:rPr>
                <w:rFonts w:eastAsia="Times New Roman"/>
                <w:lang w:eastAsia="en-AU"/>
              </w:rPr>
              <w:t>Permeability</w:t>
            </w:r>
          </w:p>
        </w:tc>
        <w:tc>
          <w:tcPr>
            <w:tcW w:w="6946" w:type="dxa"/>
          </w:tcPr>
          <w:p w14:paraId="60D706CF" w14:textId="77777777" w:rsidR="00AA0F3B" w:rsidRPr="00B0618E" w:rsidRDefault="00AA0F3B" w:rsidP="00E046D7">
            <w:pPr>
              <w:pStyle w:val="Body"/>
              <w:rPr>
                <w:rFonts w:eastAsia="Times New Roman"/>
                <w:lang w:eastAsia="en-AU"/>
              </w:rPr>
            </w:pPr>
            <w:r w:rsidRPr="00B0618E">
              <w:rPr>
                <w:rFonts w:eastAsia="Times New Roman"/>
                <w:lang w:eastAsia="en-AU"/>
              </w:rPr>
              <w:t>The measure of the ability of a rock, soil or sediment to yield or transmit a fluid. The magnitude of permeability depends largely on the porosity and the interconnectivity of pores and spaces in the ground</w:t>
            </w:r>
          </w:p>
        </w:tc>
      </w:tr>
      <w:tr w:rsidR="00AA0F3B" w:rsidRPr="00B0618E" w14:paraId="63E08DAE" w14:textId="77777777" w:rsidTr="00E046D7">
        <w:tc>
          <w:tcPr>
            <w:tcW w:w="2268" w:type="dxa"/>
          </w:tcPr>
          <w:p w14:paraId="42F1E0EC" w14:textId="77777777" w:rsidR="00AA0F3B" w:rsidRPr="00B0618E" w:rsidRDefault="00AA0F3B" w:rsidP="00E046D7">
            <w:pPr>
              <w:pStyle w:val="Body"/>
              <w:rPr>
                <w:rFonts w:eastAsia="Times New Roman"/>
                <w:lang w:eastAsia="en-AU"/>
              </w:rPr>
            </w:pPr>
            <w:r w:rsidRPr="00B0618E">
              <w:rPr>
                <w:rFonts w:eastAsia="Times New Roman"/>
                <w:lang w:eastAsia="en-AU"/>
              </w:rPr>
              <w:t>Porosity</w:t>
            </w:r>
          </w:p>
        </w:tc>
        <w:tc>
          <w:tcPr>
            <w:tcW w:w="6946" w:type="dxa"/>
          </w:tcPr>
          <w:p w14:paraId="544E88BD" w14:textId="77777777" w:rsidR="00AA0F3B" w:rsidRPr="00B0618E" w:rsidRDefault="00AA0F3B" w:rsidP="00E046D7">
            <w:pPr>
              <w:pStyle w:val="Body"/>
              <w:rPr>
                <w:rFonts w:eastAsia="Times New Roman"/>
                <w:lang w:eastAsia="en-AU"/>
              </w:rPr>
            </w:pPr>
            <w:r w:rsidRPr="00B0618E">
              <w:rPr>
                <w:rFonts w:eastAsia="Times New Roman"/>
                <w:lang w:eastAsia="en-AU"/>
              </w:rPr>
              <w:t>The proportion of the volume of rock consisting of pores, usually expressed as a percentage of the total rock or soil mass</w:t>
            </w:r>
          </w:p>
        </w:tc>
      </w:tr>
      <w:tr w:rsidR="00AA0F3B" w:rsidRPr="00B0618E" w14:paraId="76F39FA5" w14:textId="77777777" w:rsidTr="00E046D7">
        <w:tc>
          <w:tcPr>
            <w:tcW w:w="2268" w:type="dxa"/>
          </w:tcPr>
          <w:p w14:paraId="38A82FF1" w14:textId="77777777" w:rsidR="00AA0F3B" w:rsidRPr="00B0618E" w:rsidRDefault="00AA0F3B" w:rsidP="00E046D7">
            <w:pPr>
              <w:pStyle w:val="Body"/>
              <w:rPr>
                <w:rFonts w:eastAsia="Times New Roman"/>
                <w:lang w:eastAsia="en-AU"/>
              </w:rPr>
            </w:pPr>
            <w:r w:rsidRPr="00B0618E">
              <w:rPr>
                <w:rFonts w:eastAsia="Times New Roman"/>
                <w:lang w:eastAsia="en-AU"/>
              </w:rPr>
              <w:t>Probability density function</w:t>
            </w:r>
          </w:p>
        </w:tc>
        <w:tc>
          <w:tcPr>
            <w:tcW w:w="6946" w:type="dxa"/>
          </w:tcPr>
          <w:p w14:paraId="27440153"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A </w:t>
            </w:r>
            <w:hyperlink r:id="rId18" w:tooltip="Function (mathematics)" w:history="1">
              <w:r w:rsidRPr="00B0618E">
                <w:rPr>
                  <w:rFonts w:eastAsia="Times New Roman"/>
                  <w:lang w:eastAsia="en-AU"/>
                </w:rPr>
                <w:t>function</w:t>
              </w:r>
            </w:hyperlink>
            <w:r w:rsidRPr="00B0618E">
              <w:rPr>
                <w:rFonts w:eastAsia="Times New Roman"/>
                <w:lang w:eastAsia="en-AU"/>
              </w:rPr>
              <w:t xml:space="preserve"> that describes the relative likelihood for a random variable to take on a given value</w:t>
            </w:r>
          </w:p>
        </w:tc>
      </w:tr>
      <w:tr w:rsidR="00AA0F3B" w:rsidRPr="00B0618E" w14:paraId="4B893AC4" w14:textId="77777777" w:rsidTr="00E046D7">
        <w:tc>
          <w:tcPr>
            <w:tcW w:w="2268" w:type="dxa"/>
          </w:tcPr>
          <w:p w14:paraId="7B407C9E" w14:textId="77777777" w:rsidR="00AA0F3B" w:rsidRPr="00B0618E" w:rsidRDefault="00AA0F3B" w:rsidP="00E046D7">
            <w:pPr>
              <w:pStyle w:val="Body"/>
            </w:pPr>
            <w:r w:rsidRPr="00B0618E">
              <w:t>Regional-scale groundwater models</w:t>
            </w:r>
          </w:p>
        </w:tc>
        <w:tc>
          <w:tcPr>
            <w:tcW w:w="6946" w:type="dxa"/>
          </w:tcPr>
          <w:p w14:paraId="73F9A704" w14:textId="77777777" w:rsidR="00AA0F3B" w:rsidRPr="00B0618E" w:rsidRDefault="00AA0F3B" w:rsidP="00E046D7">
            <w:pPr>
              <w:pStyle w:val="Body"/>
            </w:pPr>
            <w:r w:rsidRPr="00B0618E">
              <w:t>Models that encompass an entire groundwater system, geological basin or other significant area of interest that extends well beyond the measurable influence of individual bores or borefields</w:t>
            </w:r>
          </w:p>
        </w:tc>
      </w:tr>
      <w:tr w:rsidR="00AA0F3B" w:rsidRPr="00B0618E" w14:paraId="3EE3E202" w14:textId="77777777" w:rsidTr="00E046D7">
        <w:tc>
          <w:tcPr>
            <w:tcW w:w="2268" w:type="dxa"/>
          </w:tcPr>
          <w:p w14:paraId="6AA043D9" w14:textId="77777777" w:rsidR="00AA0F3B" w:rsidRPr="00B0618E" w:rsidRDefault="00AA0F3B" w:rsidP="00E046D7">
            <w:pPr>
              <w:pStyle w:val="Body"/>
              <w:rPr>
                <w:rFonts w:eastAsia="Times New Roman"/>
                <w:lang w:eastAsia="en-AU"/>
              </w:rPr>
            </w:pPr>
            <w:r w:rsidRPr="00B0618E">
              <w:rPr>
                <w:rFonts w:eastAsia="Times New Roman"/>
                <w:lang w:eastAsia="en-AU"/>
              </w:rPr>
              <w:t>Reservoir (hydrocarbon)</w:t>
            </w:r>
          </w:p>
        </w:tc>
        <w:tc>
          <w:tcPr>
            <w:tcW w:w="6946" w:type="dxa"/>
          </w:tcPr>
          <w:p w14:paraId="2157C316" w14:textId="77777777" w:rsidR="00AA0F3B" w:rsidRPr="00B0618E" w:rsidRDefault="00AA0F3B" w:rsidP="00E046D7">
            <w:pPr>
              <w:pStyle w:val="Body"/>
              <w:rPr>
                <w:rFonts w:eastAsia="Times New Roman"/>
                <w:lang w:eastAsia="en-AU"/>
              </w:rPr>
            </w:pPr>
            <w:r w:rsidRPr="00B0618E">
              <w:rPr>
                <w:rFonts w:eastAsia="Times New Roman"/>
                <w:lang w:eastAsia="en-AU"/>
              </w:rPr>
              <w:t>Porous or fractured rock formations that contain significant reserves of hydrocarbons. Naturally-occurring hydrocarbons such as crude oil or natural gas are typically trapped in source or host rocks by overlying low permeability formations</w:t>
            </w:r>
          </w:p>
        </w:tc>
      </w:tr>
      <w:tr w:rsidR="00AA0F3B" w:rsidRPr="00B0618E" w14:paraId="70FE6B2B" w14:textId="77777777" w:rsidTr="00E046D7">
        <w:tc>
          <w:tcPr>
            <w:tcW w:w="2268" w:type="dxa"/>
          </w:tcPr>
          <w:p w14:paraId="47623759" w14:textId="77777777" w:rsidR="00AA0F3B" w:rsidRPr="00B0618E" w:rsidRDefault="00AA0F3B" w:rsidP="00E046D7">
            <w:pPr>
              <w:pStyle w:val="Body"/>
              <w:rPr>
                <w:rFonts w:eastAsia="Times New Roman"/>
                <w:lang w:eastAsia="en-AU"/>
              </w:rPr>
            </w:pPr>
            <w:r w:rsidRPr="00B0618E">
              <w:rPr>
                <w:rFonts w:eastAsia="Times New Roman"/>
                <w:lang w:eastAsia="en-AU"/>
              </w:rPr>
              <w:t>Robustness (of model</w:t>
            </w:r>
            <w:r w:rsidRPr="00B0618E">
              <w:rPr>
                <w:rFonts w:eastAsia="Times New Roman"/>
                <w:strike/>
                <w:lang w:eastAsia="en-AU"/>
              </w:rPr>
              <w:t xml:space="preserve"> </w:t>
            </w:r>
            <w:r w:rsidRPr="00B0618E">
              <w:rPr>
                <w:rFonts w:eastAsia="Times New Roman"/>
                <w:lang w:eastAsia="en-AU"/>
              </w:rPr>
              <w:t>predictions)</w:t>
            </w:r>
          </w:p>
        </w:tc>
        <w:tc>
          <w:tcPr>
            <w:tcW w:w="6946" w:type="dxa"/>
          </w:tcPr>
          <w:p w14:paraId="1DF23C42"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Insensitivity of model predictions to data outliers or other small departures from assumptions required by a predictive model, including the types of parametric distributions assumed </w:t>
            </w:r>
          </w:p>
        </w:tc>
      </w:tr>
      <w:tr w:rsidR="00AA0F3B" w:rsidRPr="00B0618E" w14:paraId="052AF1B3" w14:textId="77777777" w:rsidTr="00E046D7">
        <w:tc>
          <w:tcPr>
            <w:tcW w:w="2268" w:type="dxa"/>
          </w:tcPr>
          <w:p w14:paraId="6B623D7D" w14:textId="77777777" w:rsidR="00AA0F3B" w:rsidRPr="00B0618E" w:rsidRDefault="00AA0F3B" w:rsidP="00E046D7">
            <w:pPr>
              <w:pStyle w:val="Body"/>
              <w:rPr>
                <w:rFonts w:eastAsia="Times New Roman"/>
                <w:lang w:eastAsia="en-AU"/>
              </w:rPr>
            </w:pPr>
            <w:r w:rsidRPr="00B0618E">
              <w:rPr>
                <w:rFonts w:eastAsia="Times New Roman"/>
                <w:lang w:eastAsia="en-AU"/>
              </w:rPr>
              <w:t>Saturated flow</w:t>
            </w:r>
          </w:p>
        </w:tc>
        <w:tc>
          <w:tcPr>
            <w:tcW w:w="6946" w:type="dxa"/>
          </w:tcPr>
          <w:p w14:paraId="32DDE1C4" w14:textId="77777777" w:rsidR="00AA0F3B" w:rsidRPr="00B0618E" w:rsidRDefault="00AA0F3B" w:rsidP="00E046D7">
            <w:pPr>
              <w:pStyle w:val="Body"/>
              <w:rPr>
                <w:rFonts w:eastAsia="Times New Roman"/>
                <w:lang w:eastAsia="en-AU"/>
              </w:rPr>
            </w:pPr>
            <w:r w:rsidRPr="00B0618E">
              <w:rPr>
                <w:rFonts w:eastAsia="Times New Roman"/>
                <w:lang w:eastAsia="en-AU"/>
              </w:rPr>
              <w:t>Flow through a porous medium (such as soil or rock) in which the void space within the porous medium is entirely occupied by water (as opposed to water and gas)</w:t>
            </w:r>
          </w:p>
        </w:tc>
      </w:tr>
      <w:tr w:rsidR="00AA0F3B" w:rsidRPr="00B0618E" w14:paraId="1003760F" w14:textId="77777777" w:rsidTr="00E046D7">
        <w:tc>
          <w:tcPr>
            <w:tcW w:w="2268" w:type="dxa"/>
          </w:tcPr>
          <w:p w14:paraId="5B871D2B" w14:textId="77777777" w:rsidR="00AA0F3B" w:rsidRPr="00B0618E" w:rsidRDefault="00AA0F3B" w:rsidP="00E046D7">
            <w:pPr>
              <w:pStyle w:val="Body"/>
              <w:rPr>
                <w:rFonts w:eastAsia="Times New Roman"/>
                <w:lang w:eastAsia="en-AU"/>
              </w:rPr>
            </w:pPr>
            <w:r w:rsidRPr="00B0618E">
              <w:rPr>
                <w:rFonts w:eastAsia="Times New Roman"/>
                <w:lang w:eastAsia="en-AU"/>
              </w:rPr>
              <w:t>Single phase flow</w:t>
            </w:r>
          </w:p>
        </w:tc>
        <w:tc>
          <w:tcPr>
            <w:tcW w:w="6946" w:type="dxa"/>
          </w:tcPr>
          <w:p w14:paraId="6976DCDA" w14:textId="77777777" w:rsidR="00AA0F3B" w:rsidRPr="00B0618E" w:rsidRDefault="00AA0F3B" w:rsidP="00E046D7">
            <w:pPr>
              <w:pStyle w:val="Body"/>
              <w:rPr>
                <w:rFonts w:eastAsia="Times New Roman"/>
                <w:lang w:eastAsia="en-AU"/>
              </w:rPr>
            </w:pPr>
            <w:r w:rsidRPr="00B0618E">
              <w:rPr>
                <w:rFonts w:eastAsia="Times New Roman"/>
                <w:lang w:eastAsia="en-AU"/>
              </w:rPr>
              <w:t>The flow of a single phase, e.g. liquid or gas</w:t>
            </w:r>
          </w:p>
        </w:tc>
      </w:tr>
      <w:tr w:rsidR="00AA0F3B" w:rsidRPr="00B0618E" w14:paraId="49F1765C" w14:textId="77777777" w:rsidTr="00E046D7">
        <w:tc>
          <w:tcPr>
            <w:tcW w:w="2268" w:type="dxa"/>
          </w:tcPr>
          <w:p w14:paraId="6FD4CF46"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Spatial correlation  </w:t>
            </w:r>
          </w:p>
        </w:tc>
        <w:tc>
          <w:tcPr>
            <w:tcW w:w="6946" w:type="dxa"/>
          </w:tcPr>
          <w:p w14:paraId="5220A89D" w14:textId="77777777" w:rsidR="00AA0F3B" w:rsidRPr="00B0618E" w:rsidRDefault="00AA0F3B" w:rsidP="00E046D7">
            <w:pPr>
              <w:pStyle w:val="Body"/>
              <w:rPr>
                <w:rFonts w:eastAsia="Times New Roman"/>
                <w:lang w:eastAsia="en-AU"/>
              </w:rPr>
            </w:pPr>
            <w:r w:rsidRPr="00B0618E">
              <w:rPr>
                <w:rFonts w:eastAsia="Times New Roman"/>
                <w:lang w:eastAsia="en-AU"/>
              </w:rPr>
              <w:t>Spatial dependency (or correlation) between samples</w:t>
            </w:r>
          </w:p>
        </w:tc>
      </w:tr>
      <w:tr w:rsidR="00AA0F3B" w:rsidRPr="00B0618E" w14:paraId="241BAC7A" w14:textId="77777777" w:rsidTr="00E046D7">
        <w:tc>
          <w:tcPr>
            <w:tcW w:w="2268" w:type="dxa"/>
          </w:tcPr>
          <w:p w14:paraId="4F5693C4"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Spatial interpolation  </w:t>
            </w:r>
          </w:p>
        </w:tc>
        <w:tc>
          <w:tcPr>
            <w:tcW w:w="6946" w:type="dxa"/>
          </w:tcPr>
          <w:p w14:paraId="476FB911" w14:textId="77777777" w:rsidR="00AA0F3B" w:rsidRPr="00B0618E" w:rsidRDefault="00AA0F3B" w:rsidP="00E046D7">
            <w:pPr>
              <w:pStyle w:val="Body"/>
              <w:rPr>
                <w:rFonts w:eastAsia="Times New Roman"/>
                <w:lang w:eastAsia="en-AU"/>
              </w:rPr>
            </w:pPr>
            <w:r w:rsidRPr="00B0618E">
              <w:rPr>
                <w:rFonts w:eastAsia="Times New Roman"/>
                <w:lang w:eastAsia="en-AU"/>
              </w:rPr>
              <w:t>The procedure of estimating the value of properties at unsampled sites within the area covered by existing observations</w:t>
            </w:r>
          </w:p>
        </w:tc>
      </w:tr>
      <w:tr w:rsidR="00AA0F3B" w:rsidRPr="00B0618E" w14:paraId="109361ED" w14:textId="77777777" w:rsidTr="00E046D7">
        <w:tc>
          <w:tcPr>
            <w:tcW w:w="2268" w:type="dxa"/>
          </w:tcPr>
          <w:p w14:paraId="54B47BFE"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Stratigraphy </w:t>
            </w:r>
          </w:p>
        </w:tc>
        <w:tc>
          <w:tcPr>
            <w:tcW w:w="6946" w:type="dxa"/>
          </w:tcPr>
          <w:p w14:paraId="2B05978A" w14:textId="77777777" w:rsidR="00AA0F3B" w:rsidRPr="00B0618E" w:rsidRDefault="00AA0F3B" w:rsidP="00E046D7">
            <w:pPr>
              <w:pStyle w:val="Body"/>
              <w:rPr>
                <w:rFonts w:eastAsia="Times New Roman"/>
                <w:lang w:eastAsia="en-AU"/>
              </w:rPr>
            </w:pPr>
            <w:r w:rsidRPr="00B0618E">
              <w:rPr>
                <w:rFonts w:eastAsia="Times New Roman"/>
                <w:lang w:eastAsia="en-AU"/>
              </w:rPr>
              <w:t>An arrangement of sedimentary, metamorphic and/or igneous rocks</w:t>
            </w:r>
          </w:p>
        </w:tc>
      </w:tr>
      <w:tr w:rsidR="00AA0F3B" w:rsidRPr="00B0618E" w14:paraId="5F6F4FA0" w14:textId="77777777" w:rsidTr="00E046D7">
        <w:tc>
          <w:tcPr>
            <w:tcW w:w="2268" w:type="dxa"/>
          </w:tcPr>
          <w:p w14:paraId="01207DF2"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Transmissivity </w:t>
            </w:r>
          </w:p>
        </w:tc>
        <w:tc>
          <w:tcPr>
            <w:tcW w:w="6946" w:type="dxa"/>
          </w:tcPr>
          <w:p w14:paraId="568C4CE8" w14:textId="77777777" w:rsidR="00AA0F3B" w:rsidRPr="00B0618E" w:rsidRDefault="00AA0F3B" w:rsidP="00E046D7">
            <w:pPr>
              <w:pStyle w:val="Body"/>
              <w:rPr>
                <w:rFonts w:eastAsia="Times New Roman"/>
                <w:lang w:eastAsia="en-AU"/>
              </w:rPr>
            </w:pPr>
            <w:r w:rsidRPr="00B0618E">
              <w:rPr>
                <w:rFonts w:eastAsia="Times New Roman"/>
                <w:lang w:eastAsia="en-AU"/>
              </w:rPr>
              <w:t>The rate at which a fluid is transmitted through a unit width of a hydrostratigraphic unit under a hydraulic gradient</w:t>
            </w:r>
          </w:p>
        </w:tc>
      </w:tr>
      <w:tr w:rsidR="00AA0F3B" w:rsidRPr="00B0618E" w14:paraId="0EF1C9AD" w14:textId="77777777" w:rsidTr="00E046D7">
        <w:tc>
          <w:tcPr>
            <w:tcW w:w="2268" w:type="dxa"/>
          </w:tcPr>
          <w:p w14:paraId="4C4E8F48" w14:textId="77777777" w:rsidR="00AA0F3B" w:rsidRPr="00B0618E" w:rsidRDefault="00AA0F3B" w:rsidP="00E046D7">
            <w:pPr>
              <w:pStyle w:val="Body"/>
              <w:rPr>
                <w:rFonts w:eastAsia="Times New Roman"/>
                <w:lang w:eastAsia="en-AU"/>
              </w:rPr>
            </w:pPr>
            <w:r w:rsidRPr="00B0618E">
              <w:rPr>
                <w:rFonts w:eastAsia="Times New Roman"/>
                <w:lang w:eastAsia="en-AU"/>
              </w:rPr>
              <w:t>Unconfined aquifer</w:t>
            </w:r>
          </w:p>
        </w:tc>
        <w:tc>
          <w:tcPr>
            <w:tcW w:w="6946" w:type="dxa"/>
          </w:tcPr>
          <w:p w14:paraId="7CDB950B" w14:textId="77777777" w:rsidR="00AA0F3B" w:rsidRPr="00B0618E" w:rsidRDefault="00AA0F3B" w:rsidP="00E046D7">
            <w:pPr>
              <w:pStyle w:val="Body"/>
              <w:rPr>
                <w:rFonts w:eastAsia="Times New Roman"/>
                <w:lang w:eastAsia="en-AU"/>
              </w:rPr>
            </w:pPr>
            <w:r w:rsidRPr="00B0618E">
              <w:rPr>
                <w:rFonts w:eastAsia="Times New Roman"/>
                <w:lang w:eastAsia="en-AU"/>
              </w:rPr>
              <w:t>An aquifer in which there are no confining beds between the zone of saturation and land surface</w:t>
            </w:r>
          </w:p>
        </w:tc>
      </w:tr>
      <w:tr w:rsidR="00AA0F3B" w:rsidRPr="00B0618E" w14:paraId="04654E71" w14:textId="77777777" w:rsidTr="00E046D7">
        <w:tc>
          <w:tcPr>
            <w:tcW w:w="2268" w:type="dxa"/>
          </w:tcPr>
          <w:p w14:paraId="6CD29CEE" w14:textId="77777777" w:rsidR="00AA0F3B" w:rsidRPr="00B0618E" w:rsidRDefault="00AA0F3B" w:rsidP="00E046D7">
            <w:pPr>
              <w:pStyle w:val="Body"/>
              <w:rPr>
                <w:rFonts w:eastAsia="Times New Roman"/>
                <w:lang w:eastAsia="en-AU"/>
              </w:rPr>
            </w:pPr>
            <w:r w:rsidRPr="00B0618E">
              <w:rPr>
                <w:rFonts w:eastAsia="Times New Roman"/>
                <w:lang w:eastAsia="en-AU"/>
              </w:rPr>
              <w:t>Unconventional gas</w:t>
            </w:r>
          </w:p>
        </w:tc>
        <w:tc>
          <w:tcPr>
            <w:tcW w:w="6946" w:type="dxa"/>
          </w:tcPr>
          <w:p w14:paraId="66DB414F" w14:textId="77777777" w:rsidR="00AA0F3B" w:rsidRPr="00B0618E" w:rsidRDefault="00AA0F3B" w:rsidP="00E046D7">
            <w:pPr>
              <w:pStyle w:val="Body"/>
              <w:rPr>
                <w:rFonts w:eastAsia="Times New Roman"/>
                <w:lang w:eastAsia="en-AU"/>
              </w:rPr>
            </w:pPr>
            <w:r w:rsidRPr="00B0618E">
              <w:rPr>
                <w:rFonts w:eastAsia="Times New Roman"/>
                <w:lang w:eastAsia="en-AU"/>
              </w:rPr>
              <w:t>Natural gas found in a very low permeability rock, such as coal seam gas, shale gas, and tight gas.</w:t>
            </w:r>
            <w:r w:rsidRPr="00B0618E">
              <w:t xml:space="preserve"> Unconventional gas such as coal seam gas is trapped in coal beds by adsorption of the gas molecules to the internal surfaces of coal. It cannot migrate to a trap and form a conventional gas deposit. This distinguishes it from conventional gas resources, which occur as discrete accumulations in traps formed by folds and other structures in sedimentary layers</w:t>
            </w:r>
          </w:p>
        </w:tc>
      </w:tr>
      <w:tr w:rsidR="00AA0F3B" w:rsidRPr="00B0618E" w14:paraId="190D51BB" w14:textId="77777777" w:rsidTr="00E046D7">
        <w:tc>
          <w:tcPr>
            <w:tcW w:w="2268" w:type="dxa"/>
          </w:tcPr>
          <w:p w14:paraId="3D7EF741" w14:textId="77777777" w:rsidR="00AA0F3B" w:rsidRPr="00B0618E" w:rsidRDefault="00AA0F3B" w:rsidP="00E046D7">
            <w:pPr>
              <w:pStyle w:val="Body"/>
              <w:rPr>
                <w:rFonts w:eastAsia="Times New Roman"/>
                <w:lang w:eastAsia="en-AU"/>
              </w:rPr>
            </w:pPr>
            <w:r w:rsidRPr="00B0618E">
              <w:rPr>
                <w:rFonts w:eastAsia="Times New Roman"/>
                <w:lang w:eastAsia="en-AU"/>
              </w:rPr>
              <w:t xml:space="preserve">Upscaling </w:t>
            </w:r>
          </w:p>
        </w:tc>
        <w:tc>
          <w:tcPr>
            <w:tcW w:w="6946" w:type="dxa"/>
          </w:tcPr>
          <w:p w14:paraId="4AE046EA" w14:textId="77777777" w:rsidR="00AA0F3B" w:rsidRPr="00B0618E" w:rsidRDefault="00AA0F3B" w:rsidP="00E046D7">
            <w:pPr>
              <w:pStyle w:val="Body"/>
              <w:rPr>
                <w:rFonts w:eastAsia="Times New Roman"/>
                <w:lang w:eastAsia="en-AU"/>
              </w:rPr>
            </w:pPr>
            <w:r w:rsidRPr="00B0618E">
              <w:rPr>
                <w:rFonts w:eastAsia="Times New Roman"/>
                <w:lang w:eastAsia="en-AU"/>
              </w:rPr>
              <w:t>Upscaling is the process of transforming the detailed description of hydraulic parameters in a grid constructed at measurement scale to a coarser grid with less detailed description. It replaces a heterogeneous domain with a homogeneous one in such a way that both domains produce the same response under some upscaled boundary conditions</w:t>
            </w:r>
          </w:p>
        </w:tc>
      </w:tr>
      <w:tr w:rsidR="00AA0F3B" w:rsidRPr="00B0618E" w14:paraId="6E62BC93" w14:textId="77777777" w:rsidTr="00E046D7">
        <w:tc>
          <w:tcPr>
            <w:tcW w:w="2268" w:type="dxa"/>
          </w:tcPr>
          <w:p w14:paraId="2F053ACB" w14:textId="77777777" w:rsidR="00AA0F3B" w:rsidRPr="00B0618E" w:rsidRDefault="00AA0F3B" w:rsidP="00E046D7">
            <w:pPr>
              <w:pStyle w:val="Body"/>
              <w:rPr>
                <w:rFonts w:eastAsia="Times New Roman"/>
                <w:lang w:eastAsia="en-AU"/>
              </w:rPr>
            </w:pPr>
            <w:r w:rsidRPr="00B0618E">
              <w:rPr>
                <w:rFonts w:eastAsia="Times New Roman"/>
                <w:lang w:eastAsia="en-AU"/>
              </w:rPr>
              <w:t>Variogram  (also semi-variogram)</w:t>
            </w:r>
          </w:p>
        </w:tc>
        <w:tc>
          <w:tcPr>
            <w:tcW w:w="6946" w:type="dxa"/>
          </w:tcPr>
          <w:p w14:paraId="76AD38A3" w14:textId="3D897817" w:rsidR="00AA0F3B" w:rsidRPr="00B0618E" w:rsidRDefault="00AA0F3B" w:rsidP="00E046D7">
            <w:pPr>
              <w:pStyle w:val="Body"/>
              <w:rPr>
                <w:rFonts w:eastAsia="Times New Roman"/>
                <w:lang w:eastAsia="en-AU"/>
              </w:rPr>
            </w:pPr>
            <w:r w:rsidRPr="00B0618E">
              <w:rPr>
                <w:rFonts w:eastAsia="Times New Roman"/>
                <w:lang w:eastAsia="en-AU"/>
              </w:rPr>
              <w:t xml:space="preserve">A function describing the spatial dependency (similarity) between observations of a variable. The shape of the variogram is typically a function of the distance and direction separating observations at two locations; at short distances the </w:t>
            </w:r>
            <w:r w:rsidR="00133958" w:rsidRPr="00B0618E">
              <w:rPr>
                <w:rFonts w:eastAsia="Times New Roman"/>
                <w:lang w:eastAsia="en-AU"/>
              </w:rPr>
              <w:t>semi-variance</w:t>
            </w:r>
            <w:r w:rsidRPr="00B0618E">
              <w:rPr>
                <w:rFonts w:eastAsia="Times New Roman"/>
                <w:lang w:eastAsia="en-AU"/>
              </w:rPr>
              <w:t xml:space="preserve"> is small, and typically increases with increasing separation distance. The </w:t>
            </w:r>
            <w:r w:rsidR="00133958" w:rsidRPr="00B0618E">
              <w:rPr>
                <w:rFonts w:eastAsia="Times New Roman"/>
                <w:lang w:eastAsia="en-AU"/>
              </w:rPr>
              <w:t>semi-variance</w:t>
            </w:r>
            <w:r w:rsidRPr="00B0618E">
              <w:rPr>
                <w:rFonts w:eastAsia="Times New Roman"/>
                <w:lang w:eastAsia="en-AU"/>
              </w:rPr>
              <w:t xml:space="preserve"> is defined as the variance of the difference between two variables at two locations. At zero separation distance the </w:t>
            </w:r>
            <w:r w:rsidR="00133958" w:rsidRPr="00B0618E">
              <w:rPr>
                <w:rFonts w:eastAsia="Times New Roman"/>
                <w:lang w:eastAsia="en-AU"/>
              </w:rPr>
              <w:t>semi-variance</w:t>
            </w:r>
            <w:r w:rsidRPr="00B0618E">
              <w:rPr>
                <w:rFonts w:eastAsia="Times New Roman"/>
                <w:lang w:eastAsia="en-AU"/>
              </w:rPr>
              <w:t xml:space="preserve"> is called nugget (-effect). The sill is the maximum </w:t>
            </w:r>
            <w:r w:rsidR="00133958" w:rsidRPr="00B0618E">
              <w:rPr>
                <w:rFonts w:eastAsia="Times New Roman"/>
                <w:lang w:eastAsia="en-AU"/>
              </w:rPr>
              <w:t>semi-variance</w:t>
            </w:r>
            <w:r w:rsidRPr="00B0618E">
              <w:rPr>
                <w:rFonts w:eastAsia="Times New Roman"/>
                <w:lang w:eastAsia="en-AU"/>
              </w:rPr>
              <w:t xml:space="preserve"> or the plateau of the semi variogram; the correlation length or spatial range is the distance over which variables are spatially correlated</w:t>
            </w:r>
          </w:p>
        </w:tc>
      </w:tr>
      <w:tr w:rsidR="00AA0F3B" w:rsidRPr="00B0618E" w14:paraId="4CA40086" w14:textId="77777777" w:rsidTr="00E046D7">
        <w:tc>
          <w:tcPr>
            <w:tcW w:w="2268" w:type="dxa"/>
          </w:tcPr>
          <w:p w14:paraId="5CE93AE0" w14:textId="77777777" w:rsidR="00AA0F3B" w:rsidRPr="00B0618E" w:rsidRDefault="00AA0F3B" w:rsidP="00E046D7">
            <w:pPr>
              <w:pStyle w:val="Body"/>
              <w:rPr>
                <w:rFonts w:eastAsia="Times New Roman"/>
                <w:lang w:eastAsia="en-AU"/>
              </w:rPr>
            </w:pPr>
            <w:r w:rsidRPr="00B0618E">
              <w:rPr>
                <w:rFonts w:eastAsia="Times New Roman"/>
                <w:lang w:eastAsia="en-AU"/>
              </w:rPr>
              <w:t>Well</w:t>
            </w:r>
          </w:p>
        </w:tc>
        <w:tc>
          <w:tcPr>
            <w:tcW w:w="6946" w:type="dxa"/>
          </w:tcPr>
          <w:p w14:paraId="7A849DBB" w14:textId="77777777" w:rsidR="00AA0F3B" w:rsidRPr="00B0618E" w:rsidRDefault="00AA0F3B" w:rsidP="00E046D7">
            <w:pPr>
              <w:pStyle w:val="Body"/>
              <w:rPr>
                <w:rFonts w:eastAsia="Times New Roman"/>
                <w:lang w:eastAsia="en-AU"/>
              </w:rPr>
            </w:pPr>
            <w:r w:rsidRPr="00B0618E">
              <w:rPr>
                <w:rFonts w:eastAsia="Times New Roman"/>
                <w:lang w:eastAsia="en-AU"/>
              </w:rPr>
              <w:t>Borehole in which a casing (e.g. steel piping) has been placed to restrict connection to specific ground horizons/depths</w:t>
            </w:r>
          </w:p>
        </w:tc>
      </w:tr>
    </w:tbl>
    <w:p w14:paraId="4AB4FC9B" w14:textId="77777777" w:rsidR="00AA0F3B" w:rsidRPr="00B0618E" w:rsidRDefault="00AA0F3B" w:rsidP="00AA0F3B">
      <w:pPr>
        <w:rPr>
          <w:rFonts w:eastAsia="Times New Roman" w:cs="Calibri"/>
          <w:sz w:val="18"/>
          <w:szCs w:val="18"/>
          <w:lang w:val="en-GB"/>
        </w:rPr>
      </w:pPr>
    </w:p>
    <w:p w14:paraId="1C4B9DAD" w14:textId="77777777" w:rsidR="00AA0F3B" w:rsidRPr="00B0618E" w:rsidRDefault="00AA0F3B" w:rsidP="00AA0F3B">
      <w:pPr>
        <w:rPr>
          <w:rFonts w:ascii="Calibri-Bold" w:hAnsi="Calibri-Bold" w:cs="Calibri-Bold"/>
          <w:b/>
          <w:bCs/>
          <w:color w:val="00AEEF"/>
          <w:sz w:val="48"/>
          <w:szCs w:val="48"/>
          <w:lang w:val="en-GB"/>
        </w:rPr>
      </w:pPr>
      <w:bookmarkStart w:id="7" w:name="_Toc432618724"/>
      <w:r w:rsidRPr="00B0618E">
        <w:br w:type="page"/>
      </w:r>
    </w:p>
    <w:p w14:paraId="1BECC7BF" w14:textId="77777777" w:rsidR="00AA0F3B" w:rsidRPr="00B0618E" w:rsidRDefault="00AA0F3B" w:rsidP="00131036">
      <w:pPr>
        <w:pStyle w:val="Heading1noTOC"/>
      </w:pPr>
      <w:r w:rsidRPr="00B0618E">
        <w:t>Symbols</w:t>
      </w:r>
      <w:bookmarkEnd w:id="7"/>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8"/>
        <w:gridCol w:w="6946"/>
      </w:tblGrid>
      <w:tr w:rsidR="00AA0F3B" w:rsidRPr="00B0618E" w14:paraId="7485948B" w14:textId="77777777" w:rsidTr="00871329">
        <w:trPr>
          <w:tblHeader/>
        </w:trPr>
        <w:tc>
          <w:tcPr>
            <w:tcW w:w="2268" w:type="dxa"/>
            <w:shd w:val="clear" w:color="auto" w:fill="EAEAEA"/>
          </w:tcPr>
          <w:p w14:paraId="65B7B251" w14:textId="77777777" w:rsidR="00AA0F3B" w:rsidRPr="00B0618E" w:rsidRDefault="00AA0F3B" w:rsidP="00E046D7">
            <w:pPr>
              <w:pStyle w:val="Body"/>
              <w:rPr>
                <w:b/>
              </w:rPr>
            </w:pPr>
            <w:r w:rsidRPr="00B0618E">
              <w:rPr>
                <w:b/>
              </w:rPr>
              <w:t>Symbol</w:t>
            </w:r>
          </w:p>
        </w:tc>
        <w:tc>
          <w:tcPr>
            <w:tcW w:w="6946" w:type="dxa"/>
            <w:shd w:val="clear" w:color="auto" w:fill="EAEAEA"/>
          </w:tcPr>
          <w:p w14:paraId="5340B5A6" w14:textId="77777777" w:rsidR="00AA0F3B" w:rsidRPr="00B0618E" w:rsidRDefault="00AA0F3B" w:rsidP="00E046D7">
            <w:pPr>
              <w:pStyle w:val="Body"/>
              <w:rPr>
                <w:b/>
              </w:rPr>
            </w:pPr>
            <w:r w:rsidRPr="00B0618E">
              <w:rPr>
                <w:b/>
              </w:rPr>
              <w:t xml:space="preserve">Brief description and unit of measurement </w:t>
            </w:r>
          </w:p>
        </w:tc>
      </w:tr>
      <w:tr w:rsidR="0027274A" w:rsidRPr="00B0618E" w14:paraId="7E8D9FEE" w14:textId="77777777" w:rsidTr="00E046D7">
        <w:tc>
          <w:tcPr>
            <w:tcW w:w="2268" w:type="dxa"/>
          </w:tcPr>
          <w:p w14:paraId="43A08046" w14:textId="77777777" w:rsidR="0027274A" w:rsidRPr="00B0618E" w:rsidRDefault="0027274A" w:rsidP="00E046D7">
            <w:pPr>
              <w:pStyle w:val="Body"/>
              <w:rPr>
                <w:i/>
              </w:rPr>
            </w:pPr>
            <w:r w:rsidRPr="00B0618E">
              <w:rPr>
                <w:i/>
              </w:rPr>
              <w:t>A</w:t>
            </w:r>
          </w:p>
        </w:tc>
        <w:tc>
          <w:tcPr>
            <w:tcW w:w="6946" w:type="dxa"/>
          </w:tcPr>
          <w:p w14:paraId="7F65C6EE" w14:textId="77777777" w:rsidR="0027274A" w:rsidRPr="00B0618E" w:rsidRDefault="0027274A" w:rsidP="00E046D7">
            <w:pPr>
              <w:pStyle w:val="Body"/>
              <w:rPr>
                <w:rFonts w:eastAsia="Times New Roman"/>
                <w:lang w:eastAsia="en-AU"/>
              </w:rPr>
            </w:pPr>
            <w:r w:rsidRPr="00B0618E">
              <w:rPr>
                <w:rFonts w:eastAsia="Times New Roman"/>
                <w:lang w:eastAsia="en-AU"/>
              </w:rPr>
              <w:t>Range (variogram model parameter)</w:t>
            </w:r>
          </w:p>
        </w:tc>
      </w:tr>
      <w:tr w:rsidR="0027274A" w:rsidRPr="00B0618E" w14:paraId="7A414A75" w14:textId="77777777" w:rsidTr="00E046D7">
        <w:tc>
          <w:tcPr>
            <w:tcW w:w="2268" w:type="dxa"/>
          </w:tcPr>
          <w:p w14:paraId="1A3D56E3" w14:textId="77777777" w:rsidR="0027274A" w:rsidRPr="00B0618E" w:rsidRDefault="0027274A" w:rsidP="00E046D7">
            <w:pPr>
              <w:pStyle w:val="Body"/>
              <w:rPr>
                <w:i/>
              </w:rPr>
            </w:pPr>
            <w:r w:rsidRPr="00B0618E">
              <w:rPr>
                <w:i/>
              </w:rPr>
              <w:t>c</w:t>
            </w:r>
          </w:p>
        </w:tc>
        <w:tc>
          <w:tcPr>
            <w:tcW w:w="6946" w:type="dxa"/>
          </w:tcPr>
          <w:p w14:paraId="3E3B0BD2" w14:textId="77777777" w:rsidR="0027274A" w:rsidRPr="00B0618E" w:rsidRDefault="0027274A" w:rsidP="00E046D7">
            <w:pPr>
              <w:pStyle w:val="Body"/>
              <w:rPr>
                <w:rFonts w:eastAsia="Times New Roman"/>
                <w:lang w:eastAsia="en-AU"/>
              </w:rPr>
            </w:pPr>
            <w:r w:rsidRPr="00B0618E">
              <w:rPr>
                <w:rFonts w:eastAsia="Times New Roman"/>
                <w:lang w:eastAsia="en-AU"/>
              </w:rPr>
              <w:t>Sill (variogram model parameter)</w:t>
            </w:r>
          </w:p>
        </w:tc>
      </w:tr>
      <w:tr w:rsidR="00AA0F3B" w:rsidRPr="00B0618E" w14:paraId="05839713" w14:textId="77777777" w:rsidTr="00E046D7">
        <w:tc>
          <w:tcPr>
            <w:tcW w:w="2268" w:type="dxa"/>
          </w:tcPr>
          <w:p w14:paraId="35D25C2C" w14:textId="5D37E50F" w:rsidR="00AA0F3B" w:rsidRPr="00B0618E" w:rsidRDefault="005C3666" w:rsidP="00E046D7">
            <w:pPr>
              <w:pStyle w:val="Body"/>
              <w:rPr>
                <w:i/>
              </w:rPr>
            </w:pPr>
            <w:r>
              <w:rPr>
                <w:i/>
              </w:rPr>
              <w:t>δ</w:t>
            </w:r>
          </w:p>
        </w:tc>
        <w:tc>
          <w:tcPr>
            <w:tcW w:w="6946" w:type="dxa"/>
          </w:tcPr>
          <w:p w14:paraId="6226CC97" w14:textId="77777777" w:rsidR="00AA0F3B" w:rsidRPr="00B0618E" w:rsidRDefault="00131036" w:rsidP="00E046D7">
            <w:pPr>
              <w:pStyle w:val="Body"/>
              <w:rPr>
                <w:rFonts w:eastAsia="Times New Roman"/>
                <w:lang w:eastAsia="en-AU"/>
              </w:rPr>
            </w:pPr>
            <w:r w:rsidRPr="00B0618E">
              <w:rPr>
                <w:rFonts w:eastAsia="Times New Roman"/>
                <w:lang w:eastAsia="en-AU"/>
              </w:rPr>
              <w:t>Delta Moment-Independent Measure global sensitivity metric</w:t>
            </w:r>
          </w:p>
        </w:tc>
      </w:tr>
      <w:tr w:rsidR="0027274A" w:rsidRPr="00B0618E" w14:paraId="5CADCE17" w14:textId="77777777" w:rsidTr="00E046D7">
        <w:tc>
          <w:tcPr>
            <w:tcW w:w="2268" w:type="dxa"/>
          </w:tcPr>
          <w:p w14:paraId="24475BB1" w14:textId="77777777" w:rsidR="0027274A" w:rsidRPr="00B0618E" w:rsidRDefault="0027274A" w:rsidP="00131036">
            <w:pPr>
              <w:pStyle w:val="Body"/>
              <w:rPr>
                <w:i/>
              </w:rPr>
            </w:pPr>
            <w:r w:rsidRPr="00B0618E">
              <w:rPr>
                <w:i/>
              </w:rPr>
              <w:t>γ</w:t>
            </w:r>
          </w:p>
        </w:tc>
        <w:tc>
          <w:tcPr>
            <w:tcW w:w="6946" w:type="dxa"/>
          </w:tcPr>
          <w:p w14:paraId="60955A15" w14:textId="333393CD" w:rsidR="0027274A" w:rsidRPr="00B0618E" w:rsidRDefault="00133958" w:rsidP="00131036">
            <w:pPr>
              <w:pStyle w:val="Body"/>
              <w:rPr>
                <w:rFonts w:eastAsia="Times New Roman"/>
                <w:lang w:eastAsia="en-AU"/>
              </w:rPr>
            </w:pPr>
            <w:r w:rsidRPr="00B0618E">
              <w:rPr>
                <w:rFonts w:eastAsia="Times New Roman"/>
                <w:lang w:eastAsia="en-AU"/>
              </w:rPr>
              <w:t>Semi-variance</w:t>
            </w:r>
          </w:p>
        </w:tc>
      </w:tr>
      <w:tr w:rsidR="0027274A" w:rsidRPr="00B0618E" w14:paraId="29FF2067" w14:textId="77777777" w:rsidTr="00E046D7">
        <w:tc>
          <w:tcPr>
            <w:tcW w:w="2268" w:type="dxa"/>
          </w:tcPr>
          <w:p w14:paraId="12C828DE" w14:textId="77777777" w:rsidR="0027274A" w:rsidRPr="00B0618E" w:rsidRDefault="0027274A" w:rsidP="00131036">
            <w:pPr>
              <w:pStyle w:val="Body"/>
              <w:rPr>
                <w:i/>
              </w:rPr>
            </w:pPr>
            <w:r w:rsidRPr="00B0618E">
              <w:rPr>
                <w:i/>
              </w:rPr>
              <w:t>h</w:t>
            </w:r>
          </w:p>
        </w:tc>
        <w:tc>
          <w:tcPr>
            <w:tcW w:w="6946" w:type="dxa"/>
          </w:tcPr>
          <w:p w14:paraId="23D47E54" w14:textId="77777777" w:rsidR="0027274A" w:rsidRPr="00B0618E" w:rsidRDefault="0027274A" w:rsidP="0027274A">
            <w:pPr>
              <w:pStyle w:val="Body"/>
              <w:rPr>
                <w:rFonts w:eastAsia="Times New Roman"/>
                <w:lang w:eastAsia="en-AU"/>
              </w:rPr>
            </w:pPr>
            <w:r w:rsidRPr="00B0618E">
              <w:rPr>
                <w:rFonts w:eastAsia="Times New Roman"/>
                <w:lang w:eastAsia="en-AU"/>
              </w:rPr>
              <w:t xml:space="preserve">Variogram lag distance </w:t>
            </w:r>
          </w:p>
        </w:tc>
      </w:tr>
      <w:tr w:rsidR="00036549" w:rsidRPr="00B0618E" w14:paraId="554997F7" w14:textId="77777777" w:rsidTr="00E046D7">
        <w:tc>
          <w:tcPr>
            <w:tcW w:w="2268" w:type="dxa"/>
          </w:tcPr>
          <w:p w14:paraId="3B8AD8A0" w14:textId="77777777" w:rsidR="00036549" w:rsidRPr="00B0618E" w:rsidRDefault="00036549" w:rsidP="00131036">
            <w:pPr>
              <w:pStyle w:val="Body"/>
              <w:rPr>
                <w:i/>
              </w:rPr>
            </w:pPr>
            <w:r w:rsidRPr="00B0618E">
              <w:rPr>
                <w:i/>
              </w:rPr>
              <w:t>k</w:t>
            </w:r>
          </w:p>
        </w:tc>
        <w:tc>
          <w:tcPr>
            <w:tcW w:w="6946" w:type="dxa"/>
          </w:tcPr>
          <w:p w14:paraId="58A5375C" w14:textId="77777777" w:rsidR="00036549" w:rsidRPr="00B0618E" w:rsidRDefault="00036549" w:rsidP="00036549">
            <w:pPr>
              <w:pStyle w:val="Body"/>
              <w:rPr>
                <w:rFonts w:eastAsia="Times New Roman"/>
                <w:lang w:eastAsia="en-AU"/>
              </w:rPr>
            </w:pPr>
            <w:r w:rsidRPr="00B0618E">
              <w:rPr>
                <w:rFonts w:eastAsia="Times New Roman"/>
                <w:lang w:eastAsia="en-AU"/>
              </w:rPr>
              <w:t>Permeability [mD or m</w:t>
            </w:r>
            <w:r w:rsidRPr="00B0618E">
              <w:rPr>
                <w:rFonts w:eastAsia="Times New Roman"/>
                <w:vertAlign w:val="superscript"/>
                <w:lang w:eastAsia="en-AU"/>
              </w:rPr>
              <w:t>2</w:t>
            </w:r>
            <w:r w:rsidRPr="00B0618E">
              <w:rPr>
                <w:rFonts w:eastAsia="Times New Roman"/>
                <w:lang w:eastAsia="en-AU"/>
              </w:rPr>
              <w:t>]</w:t>
            </w:r>
          </w:p>
        </w:tc>
      </w:tr>
      <w:tr w:rsidR="00036549" w:rsidRPr="00B0618E" w14:paraId="047059E1" w14:textId="77777777" w:rsidTr="00E046D7">
        <w:tc>
          <w:tcPr>
            <w:tcW w:w="2268" w:type="dxa"/>
          </w:tcPr>
          <w:p w14:paraId="0357CCE1" w14:textId="77777777" w:rsidR="00036549" w:rsidRPr="00B0618E" w:rsidRDefault="00036549" w:rsidP="00131036">
            <w:pPr>
              <w:pStyle w:val="Body"/>
              <w:rPr>
                <w:i/>
                <w:vertAlign w:val="subscript"/>
              </w:rPr>
            </w:pPr>
            <w:r w:rsidRPr="00B0618E">
              <w:rPr>
                <w:i/>
              </w:rPr>
              <w:t>k</w:t>
            </w:r>
            <w:r w:rsidRPr="00B0618E">
              <w:rPr>
                <w:i/>
                <w:vertAlign w:val="subscript"/>
              </w:rPr>
              <w:t>V</w:t>
            </w:r>
          </w:p>
        </w:tc>
        <w:tc>
          <w:tcPr>
            <w:tcW w:w="6946" w:type="dxa"/>
          </w:tcPr>
          <w:p w14:paraId="5A5B87AA" w14:textId="77777777" w:rsidR="00036549" w:rsidRPr="00B0618E" w:rsidRDefault="00036549" w:rsidP="00131036">
            <w:pPr>
              <w:pStyle w:val="Body"/>
              <w:rPr>
                <w:rFonts w:eastAsia="Times New Roman"/>
                <w:lang w:eastAsia="en-AU"/>
              </w:rPr>
            </w:pPr>
            <w:r w:rsidRPr="00B0618E">
              <w:rPr>
                <w:rFonts w:eastAsia="Times New Roman"/>
                <w:lang w:eastAsia="en-AU"/>
              </w:rPr>
              <w:t>Vertical permeability [mD or m</w:t>
            </w:r>
            <w:r w:rsidRPr="00B0618E">
              <w:rPr>
                <w:rFonts w:eastAsia="Times New Roman"/>
                <w:vertAlign w:val="superscript"/>
                <w:lang w:eastAsia="en-AU"/>
              </w:rPr>
              <w:t>2</w:t>
            </w:r>
            <w:r w:rsidRPr="00B0618E">
              <w:rPr>
                <w:rFonts w:eastAsia="Times New Roman"/>
                <w:lang w:eastAsia="en-AU"/>
              </w:rPr>
              <w:t>]</w:t>
            </w:r>
          </w:p>
        </w:tc>
      </w:tr>
      <w:tr w:rsidR="00131036" w:rsidRPr="00B0618E" w14:paraId="0A99DFD1" w14:textId="77777777" w:rsidTr="00E046D7">
        <w:tc>
          <w:tcPr>
            <w:tcW w:w="2268" w:type="dxa"/>
          </w:tcPr>
          <w:p w14:paraId="6534CD66" w14:textId="77777777" w:rsidR="00131036" w:rsidRPr="00B0618E" w:rsidRDefault="00131036" w:rsidP="00131036">
            <w:pPr>
              <w:pStyle w:val="Body"/>
              <w:rPr>
                <w:i/>
              </w:rPr>
            </w:pPr>
            <w:r w:rsidRPr="00B0618E">
              <w:rPr>
                <w:i/>
              </w:rPr>
              <w:t>K</w:t>
            </w:r>
          </w:p>
        </w:tc>
        <w:tc>
          <w:tcPr>
            <w:tcW w:w="6946" w:type="dxa"/>
          </w:tcPr>
          <w:p w14:paraId="35B8B8E4" w14:textId="77777777" w:rsidR="00131036" w:rsidRPr="00B0618E" w:rsidRDefault="0027274A" w:rsidP="00131036">
            <w:pPr>
              <w:pStyle w:val="Body"/>
              <w:rPr>
                <w:rFonts w:eastAsia="Times New Roman"/>
                <w:lang w:eastAsia="en-AU"/>
              </w:rPr>
            </w:pPr>
            <w:r w:rsidRPr="00B0618E">
              <w:rPr>
                <w:rFonts w:eastAsia="Times New Roman"/>
                <w:lang w:eastAsia="en-AU"/>
              </w:rPr>
              <w:t>H</w:t>
            </w:r>
            <w:r w:rsidR="00131036" w:rsidRPr="00B0618E">
              <w:rPr>
                <w:rFonts w:eastAsia="Times New Roman"/>
                <w:lang w:eastAsia="en-AU"/>
              </w:rPr>
              <w:t>ydraulic conductivity [m.day</w:t>
            </w:r>
            <w:r w:rsidR="00131036" w:rsidRPr="00B0618E">
              <w:rPr>
                <w:rFonts w:eastAsia="Times New Roman"/>
                <w:vertAlign w:val="superscript"/>
                <w:lang w:eastAsia="en-AU"/>
              </w:rPr>
              <w:t>-1</w:t>
            </w:r>
            <w:r w:rsidR="00131036" w:rsidRPr="00B0618E">
              <w:rPr>
                <w:rFonts w:eastAsia="Times New Roman"/>
                <w:lang w:eastAsia="en-AU"/>
              </w:rPr>
              <w:t>]</w:t>
            </w:r>
          </w:p>
        </w:tc>
      </w:tr>
      <w:tr w:rsidR="00AA0F3B" w:rsidRPr="00B0618E" w14:paraId="2F0A4B75" w14:textId="77777777" w:rsidTr="00E046D7">
        <w:tc>
          <w:tcPr>
            <w:tcW w:w="2268" w:type="dxa"/>
          </w:tcPr>
          <w:p w14:paraId="4C2C185C" w14:textId="77777777" w:rsidR="00AA0F3B" w:rsidRPr="00B0618E" w:rsidRDefault="00AA0F3B" w:rsidP="00890954">
            <w:pPr>
              <w:pStyle w:val="Body"/>
              <w:rPr>
                <w:i/>
              </w:rPr>
            </w:pPr>
            <w:r w:rsidRPr="00B0618E">
              <w:rPr>
                <w:i/>
              </w:rPr>
              <w:t>K</w:t>
            </w:r>
            <w:r w:rsidR="00890954" w:rsidRPr="00B0618E">
              <w:rPr>
                <w:i/>
                <w:vertAlign w:val="subscript"/>
              </w:rPr>
              <w:t>H</w:t>
            </w:r>
            <w:r w:rsidRPr="00B0618E">
              <w:rPr>
                <w:i/>
              </w:rPr>
              <w:t xml:space="preserve"> </w:t>
            </w:r>
          </w:p>
        </w:tc>
        <w:tc>
          <w:tcPr>
            <w:tcW w:w="6946" w:type="dxa"/>
          </w:tcPr>
          <w:p w14:paraId="52AF6D8B" w14:textId="77777777" w:rsidR="00AA0F3B" w:rsidRPr="00B0618E" w:rsidRDefault="0027274A" w:rsidP="00E046D7">
            <w:pPr>
              <w:pStyle w:val="Body"/>
              <w:rPr>
                <w:rFonts w:eastAsia="Times New Roman"/>
                <w:lang w:eastAsia="en-AU"/>
              </w:rPr>
            </w:pPr>
            <w:r w:rsidRPr="00B0618E">
              <w:rPr>
                <w:rFonts w:eastAsia="Times New Roman"/>
                <w:lang w:eastAsia="en-AU"/>
              </w:rPr>
              <w:t>H</w:t>
            </w:r>
            <w:r w:rsidR="00AA0F3B" w:rsidRPr="00B0618E">
              <w:rPr>
                <w:rFonts w:eastAsia="Times New Roman"/>
                <w:lang w:eastAsia="en-AU"/>
              </w:rPr>
              <w:t>orizontal hydraulic conductivity [m.day</w:t>
            </w:r>
            <w:r w:rsidR="00AA0F3B" w:rsidRPr="00B0618E">
              <w:rPr>
                <w:rFonts w:eastAsia="Times New Roman"/>
                <w:vertAlign w:val="superscript"/>
                <w:lang w:eastAsia="en-AU"/>
              </w:rPr>
              <w:t>-1</w:t>
            </w:r>
            <w:r w:rsidR="00AA0F3B" w:rsidRPr="00B0618E">
              <w:rPr>
                <w:rFonts w:eastAsia="Times New Roman"/>
                <w:lang w:eastAsia="en-AU"/>
              </w:rPr>
              <w:t>]</w:t>
            </w:r>
          </w:p>
        </w:tc>
      </w:tr>
      <w:tr w:rsidR="00AA0F3B" w:rsidRPr="00B0618E" w14:paraId="52630B6E" w14:textId="77777777" w:rsidTr="00E046D7">
        <w:tc>
          <w:tcPr>
            <w:tcW w:w="2268" w:type="dxa"/>
          </w:tcPr>
          <w:p w14:paraId="38FD98CD" w14:textId="77777777" w:rsidR="00AA0F3B" w:rsidRPr="00B0618E" w:rsidRDefault="00AA0F3B" w:rsidP="00890954">
            <w:pPr>
              <w:pStyle w:val="Body"/>
              <w:rPr>
                <w:i/>
                <w:vertAlign w:val="superscript"/>
              </w:rPr>
            </w:pPr>
            <w:r w:rsidRPr="00B0618E">
              <w:rPr>
                <w:i/>
              </w:rPr>
              <w:t>K</w:t>
            </w:r>
            <w:r w:rsidR="00890954" w:rsidRPr="00B0618E">
              <w:rPr>
                <w:i/>
                <w:vertAlign w:val="subscript"/>
              </w:rPr>
              <w:t>V</w:t>
            </w:r>
          </w:p>
        </w:tc>
        <w:tc>
          <w:tcPr>
            <w:tcW w:w="6946" w:type="dxa"/>
          </w:tcPr>
          <w:p w14:paraId="73DBCD62" w14:textId="77777777" w:rsidR="00AA0F3B" w:rsidRPr="00B0618E" w:rsidRDefault="0027274A" w:rsidP="00E046D7">
            <w:pPr>
              <w:pStyle w:val="Body"/>
              <w:rPr>
                <w:rFonts w:eastAsia="Times New Roman"/>
                <w:lang w:eastAsia="en-AU"/>
              </w:rPr>
            </w:pPr>
            <w:r w:rsidRPr="00B0618E">
              <w:rPr>
                <w:rFonts w:eastAsia="Times New Roman"/>
                <w:lang w:eastAsia="en-AU"/>
              </w:rPr>
              <w:t>V</w:t>
            </w:r>
            <w:r w:rsidR="00AA0F3B" w:rsidRPr="00B0618E">
              <w:rPr>
                <w:rFonts w:eastAsia="Times New Roman"/>
                <w:lang w:eastAsia="en-AU"/>
              </w:rPr>
              <w:t>ertical hydraulic conductivity [m.day</w:t>
            </w:r>
            <w:r w:rsidR="00AA0F3B" w:rsidRPr="00B0618E">
              <w:rPr>
                <w:rFonts w:eastAsia="Times New Roman"/>
                <w:vertAlign w:val="superscript"/>
                <w:lang w:eastAsia="en-AU"/>
              </w:rPr>
              <w:t>-1</w:t>
            </w:r>
            <w:r w:rsidR="00AA0F3B" w:rsidRPr="00B0618E">
              <w:rPr>
                <w:rFonts w:eastAsia="Times New Roman"/>
                <w:lang w:eastAsia="en-AU"/>
              </w:rPr>
              <w:t>]</w:t>
            </w:r>
          </w:p>
        </w:tc>
      </w:tr>
      <w:tr w:rsidR="0027274A" w:rsidRPr="00B0618E" w14:paraId="15339208" w14:textId="77777777" w:rsidTr="00E046D7">
        <w:tc>
          <w:tcPr>
            <w:tcW w:w="2268" w:type="dxa"/>
          </w:tcPr>
          <w:p w14:paraId="3CBA6B47" w14:textId="77777777" w:rsidR="0027274A" w:rsidRPr="00B0618E" w:rsidRDefault="0027274A" w:rsidP="00E046D7">
            <w:pPr>
              <w:pStyle w:val="Body"/>
              <w:rPr>
                <w:i/>
              </w:rPr>
            </w:pPr>
            <w:r w:rsidRPr="00B0618E">
              <w:rPr>
                <w:i/>
              </w:rPr>
              <w:t>n</w:t>
            </w:r>
          </w:p>
        </w:tc>
        <w:tc>
          <w:tcPr>
            <w:tcW w:w="6946" w:type="dxa"/>
          </w:tcPr>
          <w:p w14:paraId="56B26758" w14:textId="77777777" w:rsidR="0027274A" w:rsidRPr="00B0618E" w:rsidRDefault="0027274A" w:rsidP="00E046D7">
            <w:pPr>
              <w:pStyle w:val="Body"/>
              <w:rPr>
                <w:rFonts w:eastAsia="Times New Roman"/>
                <w:lang w:eastAsia="en-AU"/>
              </w:rPr>
            </w:pPr>
            <w:r w:rsidRPr="00B0618E">
              <w:rPr>
                <w:rFonts w:eastAsia="Times New Roman"/>
                <w:lang w:eastAsia="en-AU"/>
              </w:rPr>
              <w:t>Nugget (variogram model parameter)</w:t>
            </w:r>
          </w:p>
        </w:tc>
      </w:tr>
      <w:tr w:rsidR="00AA0F3B" w:rsidRPr="00B0618E" w14:paraId="744F6ACB" w14:textId="77777777" w:rsidTr="00E046D7">
        <w:tc>
          <w:tcPr>
            <w:tcW w:w="2268" w:type="dxa"/>
          </w:tcPr>
          <w:p w14:paraId="7676086E" w14:textId="77777777" w:rsidR="00AA0F3B" w:rsidRPr="00B0618E" w:rsidRDefault="00AA0F3B" w:rsidP="00E046D7">
            <w:pPr>
              <w:pStyle w:val="Body"/>
              <w:rPr>
                <w:i/>
              </w:rPr>
            </w:pPr>
            <w:r w:rsidRPr="00B0618E">
              <w:rPr>
                <w:i/>
              </w:rPr>
              <w:t>Q</w:t>
            </w:r>
          </w:p>
        </w:tc>
        <w:tc>
          <w:tcPr>
            <w:tcW w:w="6946" w:type="dxa"/>
          </w:tcPr>
          <w:p w14:paraId="292E67C3" w14:textId="77777777" w:rsidR="00AA0F3B" w:rsidRPr="00B0618E" w:rsidRDefault="0027274A" w:rsidP="00E046D7">
            <w:pPr>
              <w:pStyle w:val="Body"/>
              <w:rPr>
                <w:rFonts w:eastAsia="Times New Roman"/>
                <w:lang w:eastAsia="en-AU"/>
              </w:rPr>
            </w:pPr>
            <w:r w:rsidRPr="00B0618E">
              <w:rPr>
                <w:rFonts w:eastAsia="Times New Roman"/>
                <w:lang w:eastAsia="en-AU"/>
              </w:rPr>
              <w:t>V</w:t>
            </w:r>
            <w:r w:rsidR="00AA0F3B" w:rsidRPr="00B0618E">
              <w:rPr>
                <w:rFonts w:eastAsia="Times New Roman"/>
                <w:lang w:eastAsia="en-AU"/>
              </w:rPr>
              <w:t>olumetric fluid flux [m</w:t>
            </w:r>
            <w:r w:rsidR="00AA0F3B" w:rsidRPr="00B0618E">
              <w:rPr>
                <w:rFonts w:eastAsia="Times New Roman"/>
                <w:vertAlign w:val="superscript"/>
                <w:lang w:eastAsia="en-AU"/>
              </w:rPr>
              <w:t>3</w:t>
            </w:r>
            <w:r w:rsidR="00AA0F3B" w:rsidRPr="00B0618E">
              <w:rPr>
                <w:rFonts w:eastAsia="Times New Roman"/>
                <w:lang w:eastAsia="en-AU"/>
              </w:rPr>
              <w:t>.day</w:t>
            </w:r>
            <w:r w:rsidR="00AA0F3B" w:rsidRPr="00B0618E">
              <w:rPr>
                <w:rFonts w:eastAsia="Times New Roman"/>
                <w:vertAlign w:val="superscript"/>
                <w:lang w:eastAsia="en-AU"/>
              </w:rPr>
              <w:t>-1</w:t>
            </w:r>
            <w:r w:rsidR="00AA0F3B" w:rsidRPr="00B0618E">
              <w:rPr>
                <w:rFonts w:eastAsia="Times New Roman"/>
                <w:lang w:eastAsia="en-AU"/>
              </w:rPr>
              <w:t>]</w:t>
            </w:r>
          </w:p>
        </w:tc>
      </w:tr>
      <w:tr w:rsidR="0027274A" w:rsidRPr="00B0618E" w14:paraId="353B6CA5" w14:textId="77777777" w:rsidTr="00E046D7">
        <w:tc>
          <w:tcPr>
            <w:tcW w:w="2268" w:type="dxa"/>
          </w:tcPr>
          <w:p w14:paraId="25C0EE7A" w14:textId="77777777" w:rsidR="0027274A" w:rsidRPr="00B0618E" w:rsidRDefault="0027274A" w:rsidP="00131036">
            <w:pPr>
              <w:pStyle w:val="Body"/>
              <w:rPr>
                <w:i/>
              </w:rPr>
            </w:pPr>
            <w:r w:rsidRPr="00B0618E">
              <w:rPr>
                <w:i/>
              </w:rPr>
              <w:t>S</w:t>
            </w:r>
          </w:p>
        </w:tc>
        <w:tc>
          <w:tcPr>
            <w:tcW w:w="6946" w:type="dxa"/>
          </w:tcPr>
          <w:p w14:paraId="75897431" w14:textId="77777777" w:rsidR="0027274A" w:rsidRPr="00B0618E" w:rsidRDefault="0027274A" w:rsidP="00131036">
            <w:pPr>
              <w:pStyle w:val="Body"/>
            </w:pPr>
            <w:r w:rsidRPr="00B0618E">
              <w:t>Storativity [dimensionless]</w:t>
            </w:r>
          </w:p>
        </w:tc>
      </w:tr>
      <w:tr w:rsidR="00AA0F3B" w:rsidRPr="00B0618E" w14:paraId="527B09D5" w14:textId="77777777" w:rsidTr="00E046D7">
        <w:tc>
          <w:tcPr>
            <w:tcW w:w="2268" w:type="dxa"/>
          </w:tcPr>
          <w:p w14:paraId="43C3BEB2" w14:textId="77777777" w:rsidR="00AA0F3B" w:rsidRPr="00B0618E" w:rsidRDefault="00131036" w:rsidP="00890954">
            <w:pPr>
              <w:pStyle w:val="Body"/>
              <w:rPr>
                <w:i/>
              </w:rPr>
            </w:pPr>
            <w:r w:rsidRPr="00B0618E">
              <w:rPr>
                <w:i/>
              </w:rPr>
              <w:t>S</w:t>
            </w:r>
            <w:r w:rsidR="00890954" w:rsidRPr="00B0618E">
              <w:rPr>
                <w:i/>
                <w:vertAlign w:val="subscript"/>
              </w:rPr>
              <w:t>S</w:t>
            </w:r>
          </w:p>
        </w:tc>
        <w:tc>
          <w:tcPr>
            <w:tcW w:w="6946" w:type="dxa"/>
          </w:tcPr>
          <w:p w14:paraId="47779AD0" w14:textId="77777777" w:rsidR="00AA0F3B" w:rsidRPr="00B0618E" w:rsidRDefault="0027274A" w:rsidP="00131036">
            <w:pPr>
              <w:pStyle w:val="Body"/>
            </w:pPr>
            <w:r w:rsidRPr="00B0618E">
              <w:t>S</w:t>
            </w:r>
            <w:r w:rsidR="00131036" w:rsidRPr="00B0618E">
              <w:t>pecific storage</w:t>
            </w:r>
            <w:r w:rsidR="00AA0F3B" w:rsidRPr="00B0618E">
              <w:t xml:space="preserve"> [m</w:t>
            </w:r>
            <w:r w:rsidR="00131036" w:rsidRPr="00B0618E">
              <w:rPr>
                <w:vertAlign w:val="superscript"/>
              </w:rPr>
              <w:t>-1</w:t>
            </w:r>
            <w:r w:rsidR="00AA0F3B" w:rsidRPr="00B0618E">
              <w:t>]</w:t>
            </w:r>
          </w:p>
        </w:tc>
      </w:tr>
      <w:tr w:rsidR="0027274A" w:rsidRPr="00B0618E" w14:paraId="6D169A7D" w14:textId="77777777" w:rsidTr="00E046D7">
        <w:tc>
          <w:tcPr>
            <w:tcW w:w="2268" w:type="dxa"/>
          </w:tcPr>
          <w:p w14:paraId="55351C46" w14:textId="77777777" w:rsidR="0027274A" w:rsidRPr="00B0618E" w:rsidRDefault="0027274A" w:rsidP="00890954">
            <w:pPr>
              <w:pStyle w:val="Body"/>
              <w:rPr>
                <w:i/>
              </w:rPr>
            </w:pPr>
            <w:r w:rsidRPr="00B0618E">
              <w:rPr>
                <w:i/>
              </w:rPr>
              <w:t>S</w:t>
            </w:r>
            <w:r w:rsidR="00890954" w:rsidRPr="00B0618E">
              <w:rPr>
                <w:i/>
                <w:vertAlign w:val="subscript"/>
              </w:rPr>
              <w:t>Y</w:t>
            </w:r>
          </w:p>
        </w:tc>
        <w:tc>
          <w:tcPr>
            <w:tcW w:w="6946" w:type="dxa"/>
          </w:tcPr>
          <w:p w14:paraId="718A98D8" w14:textId="77777777" w:rsidR="0027274A" w:rsidRPr="00B0618E" w:rsidRDefault="0027274A" w:rsidP="00131036">
            <w:pPr>
              <w:pStyle w:val="Body"/>
            </w:pPr>
            <w:r w:rsidRPr="00B0618E">
              <w:t>Specific yield [dimensionless]</w:t>
            </w:r>
          </w:p>
        </w:tc>
      </w:tr>
      <w:tr w:rsidR="00131036" w:rsidRPr="00B0618E" w14:paraId="61DC3AF3" w14:textId="77777777" w:rsidTr="00E046D7">
        <w:tc>
          <w:tcPr>
            <w:tcW w:w="2268" w:type="dxa"/>
          </w:tcPr>
          <w:p w14:paraId="1731AFB7" w14:textId="77777777" w:rsidR="00131036" w:rsidRPr="00B0618E" w:rsidRDefault="00131036" w:rsidP="00131036">
            <w:pPr>
              <w:pStyle w:val="Body"/>
              <w:rPr>
                <w:i/>
              </w:rPr>
            </w:pPr>
            <w:r w:rsidRPr="00B0618E">
              <w:rPr>
                <w:i/>
              </w:rPr>
              <w:t>S</w:t>
            </w:r>
            <w:r w:rsidRPr="00B0618E">
              <w:rPr>
                <w:vertAlign w:val="subscript"/>
              </w:rPr>
              <w:t>1</w:t>
            </w:r>
          </w:p>
        </w:tc>
        <w:tc>
          <w:tcPr>
            <w:tcW w:w="6946" w:type="dxa"/>
          </w:tcPr>
          <w:p w14:paraId="682EAE29" w14:textId="77777777" w:rsidR="00131036" w:rsidRPr="00B0618E" w:rsidRDefault="00131036" w:rsidP="00131036">
            <w:pPr>
              <w:pStyle w:val="Body"/>
            </w:pPr>
            <w:r w:rsidRPr="00B0618E">
              <w:t>First order Sobol’ global sensitivity metric</w:t>
            </w:r>
          </w:p>
        </w:tc>
      </w:tr>
      <w:tr w:rsidR="00131036" w:rsidRPr="00B0618E" w14:paraId="215F241B" w14:textId="77777777" w:rsidTr="00E046D7">
        <w:tc>
          <w:tcPr>
            <w:tcW w:w="2268" w:type="dxa"/>
          </w:tcPr>
          <w:p w14:paraId="58CE773C" w14:textId="77777777" w:rsidR="00131036" w:rsidRPr="00B0618E" w:rsidRDefault="0027274A" w:rsidP="00131036">
            <w:pPr>
              <w:pStyle w:val="Body"/>
              <w:rPr>
                <w:i/>
              </w:rPr>
            </w:pPr>
            <w:r w:rsidRPr="00B0618E">
              <w:rPr>
                <w:i/>
              </w:rPr>
              <w:t>z</w:t>
            </w:r>
          </w:p>
        </w:tc>
        <w:tc>
          <w:tcPr>
            <w:tcW w:w="6946" w:type="dxa"/>
          </w:tcPr>
          <w:p w14:paraId="03C1156A" w14:textId="77777777" w:rsidR="00131036" w:rsidRPr="00B0618E" w:rsidRDefault="0027274A" w:rsidP="00131036">
            <w:pPr>
              <w:pStyle w:val="Body"/>
            </w:pPr>
            <w:r w:rsidRPr="00B0618E">
              <w:t>S</w:t>
            </w:r>
            <w:r w:rsidR="00131036" w:rsidRPr="00B0618E">
              <w:t>ample depth [m]</w:t>
            </w:r>
          </w:p>
        </w:tc>
      </w:tr>
    </w:tbl>
    <w:p w14:paraId="59F8D3CF" w14:textId="77777777" w:rsidR="00AA0F3B" w:rsidRPr="00B0618E" w:rsidRDefault="00AA0F3B" w:rsidP="00AA0F3B">
      <w:pPr>
        <w:pStyle w:val="BodyText"/>
      </w:pPr>
    </w:p>
    <w:p w14:paraId="39E28849" w14:textId="77777777" w:rsidR="00AA0F3B" w:rsidRPr="00B0618E" w:rsidRDefault="00AA0F3B" w:rsidP="00AA0F3B">
      <w:pPr>
        <w:rPr>
          <w:rFonts w:eastAsia="Times New Roman"/>
        </w:rPr>
      </w:pPr>
    </w:p>
    <w:p w14:paraId="42933B6D" w14:textId="77777777" w:rsidR="00AA0F3B" w:rsidRPr="00B0618E" w:rsidRDefault="00AA0F3B" w:rsidP="00AA0F3B">
      <w:pPr>
        <w:spacing w:after="0"/>
        <w:rPr>
          <w:rFonts w:eastAsiaTheme="majorEastAsia" w:cstheme="majorBidi"/>
          <w:b/>
          <w:color w:val="00A9CE" w:themeColor="accent1"/>
          <w:sz w:val="44"/>
          <w:szCs w:val="28"/>
          <w:lang w:val="en-GB" w:eastAsia="ja-JP"/>
        </w:rPr>
      </w:pPr>
    </w:p>
    <w:p w14:paraId="255B9572" w14:textId="77777777" w:rsidR="00AA0F3B" w:rsidRPr="00B0618E" w:rsidRDefault="00AA0F3B">
      <w:pPr>
        <w:spacing w:after="0"/>
        <w:rPr>
          <w:rFonts w:eastAsiaTheme="majorEastAsia" w:cstheme="majorBidi"/>
          <w:b/>
          <w:bCs/>
          <w:color w:val="00313C" w:themeColor="accent2"/>
          <w:sz w:val="44"/>
          <w:szCs w:val="28"/>
        </w:rPr>
      </w:pPr>
      <w:r w:rsidRPr="00B0618E">
        <w:br w:type="page"/>
      </w:r>
    </w:p>
    <w:p w14:paraId="45810FE1" w14:textId="77777777" w:rsidR="00A943B2" w:rsidRPr="00B0618E" w:rsidRDefault="00A943B2" w:rsidP="00D1044D">
      <w:pPr>
        <w:pStyle w:val="Heading1notnumbered"/>
      </w:pPr>
      <w:bookmarkStart w:id="8" w:name="_Toc483127556"/>
      <w:r w:rsidRPr="00B0618E">
        <w:t>Acknowledgments</w:t>
      </w:r>
      <w:bookmarkEnd w:id="1"/>
      <w:bookmarkEnd w:id="8"/>
    </w:p>
    <w:p w14:paraId="034AFFF0" w14:textId="762C5B39" w:rsidR="00165854" w:rsidRDefault="00165854" w:rsidP="00165854">
      <w:pPr>
        <w:pStyle w:val="BodyText"/>
      </w:pPr>
      <w:r w:rsidRPr="00B0618E">
        <w:t>The authors would like to acknowledge the Commonwealth Department of the Environment</w:t>
      </w:r>
      <w:r w:rsidR="007E0DDC">
        <w:t xml:space="preserve"> and Energy</w:t>
      </w:r>
      <w:r w:rsidRPr="00B0618E">
        <w:t xml:space="preserve"> for funding the project “Research to improve treatment of faults and aquitards in Australian regional groundwater models to improve assessment of impacts of CSG extraction”. </w:t>
      </w:r>
    </w:p>
    <w:p w14:paraId="717671C6" w14:textId="4AE6CC0E" w:rsidR="00235E03" w:rsidRPr="00235E03" w:rsidRDefault="00235E03" w:rsidP="00235E03">
      <w:pPr>
        <w:pStyle w:val="BodyText"/>
      </w:pPr>
      <w:r w:rsidRPr="00235E03">
        <w:t>The report was subject to internal peer review processes during its</w:t>
      </w:r>
      <w:r>
        <w:t xml:space="preserve"> </w:t>
      </w:r>
      <w:r w:rsidRPr="00235E03">
        <w:t xml:space="preserve">development and benefitted from reviews undertaken by </w:t>
      </w:r>
      <w:r w:rsidR="00601E6B">
        <w:t>Dr. Elmar Plischke (</w:t>
      </w:r>
      <w:r w:rsidR="004C64BF" w:rsidRPr="004C64BF">
        <w:t>Technische Universität</w:t>
      </w:r>
      <w:r w:rsidR="004C64BF">
        <w:t xml:space="preserve"> </w:t>
      </w:r>
      <w:r w:rsidR="004C64BF" w:rsidRPr="004C64BF">
        <w:t>Clausthal, Germany</w:t>
      </w:r>
      <w:r w:rsidR="00601E6B">
        <w:t xml:space="preserve">), </w:t>
      </w:r>
      <w:r w:rsidRPr="00235E03">
        <w:t xml:space="preserve">Dr. </w:t>
      </w:r>
      <w:r>
        <w:t>Sreekanth Janardhanan</w:t>
      </w:r>
      <w:r w:rsidRPr="00235E03">
        <w:t xml:space="preserve"> (CSIRO </w:t>
      </w:r>
      <w:r>
        <w:t>Land and Water</w:t>
      </w:r>
      <w:r w:rsidRPr="00235E03">
        <w:t xml:space="preserve">), Dr. </w:t>
      </w:r>
      <w:r w:rsidR="00C87DCF">
        <w:t>Juan Castilla</w:t>
      </w:r>
      <w:r w:rsidR="00246995">
        <w:t>-</w:t>
      </w:r>
      <w:r w:rsidR="00C87DCF">
        <w:t>Rho</w:t>
      </w:r>
      <w:r w:rsidRPr="00235E03">
        <w:t xml:space="preserve"> (CSIRO Land</w:t>
      </w:r>
      <w:r>
        <w:t xml:space="preserve"> </w:t>
      </w:r>
      <w:r w:rsidRPr="00235E03">
        <w:t xml:space="preserve">and Water), </w:t>
      </w:r>
      <w:r>
        <w:t>Prof.</w:t>
      </w:r>
      <w:r w:rsidRPr="00235E03">
        <w:t xml:space="preserve"> Jim Underschultz (University of Queensland)</w:t>
      </w:r>
      <w:r w:rsidR="00E52BC2">
        <w:t>,</w:t>
      </w:r>
      <w:r w:rsidRPr="00235E03">
        <w:t xml:space="preserve"> </w:t>
      </w:r>
      <w:r w:rsidRPr="00601E6B">
        <w:t>Prof. Craig Simmons (Flinders University of South Australia),</w:t>
      </w:r>
      <w:r>
        <w:t xml:space="preserve"> and Dr. Rod Dann (Department of the Environment and Energy)</w:t>
      </w:r>
      <w:r w:rsidRPr="00235E03">
        <w:t xml:space="preserve">. </w:t>
      </w:r>
    </w:p>
    <w:p w14:paraId="6F493B74" w14:textId="77777777" w:rsidR="00A943B2" w:rsidRPr="00B0618E" w:rsidRDefault="00A943B2" w:rsidP="00D1044D">
      <w:pPr>
        <w:pStyle w:val="Heading1notnumbered"/>
      </w:pPr>
      <w:bookmarkStart w:id="9" w:name="_Toc315694430"/>
      <w:bookmarkStart w:id="10" w:name="_Toc483127557"/>
      <w:r w:rsidRPr="00B0618E">
        <w:t>Executive summary</w:t>
      </w:r>
      <w:bookmarkEnd w:id="9"/>
      <w:bookmarkEnd w:id="10"/>
    </w:p>
    <w:p w14:paraId="18A6D624" w14:textId="77777777" w:rsidR="001E4A92" w:rsidRPr="00B0618E" w:rsidRDefault="00165854" w:rsidP="00165854">
      <w:pPr>
        <w:pStyle w:val="BodyText"/>
      </w:pPr>
      <w:r w:rsidRPr="00B0618E">
        <w:t xml:space="preserve">The project “Research to improve treatment of faults and aquitards in Australian regional groundwater models to improve assessment of impacts of coal seam gas (CSG) extraction” focuses on method development to underpin the risk assessments associated with deep groundwater extraction and depressurisation from energy resource development.  The project aims to develop methodologies and techniques that will improve the predictive capability of regional groundwater models used in this context, specifically with respect to the representation of faults and aquitards.  The project has three components: 1) an examination of aquitards, 2) an examination of faults, and 3) an examination of the upscaling of aquitard and fault properties such that they can be adequately represented in regional groundwater flow models. </w:t>
      </w:r>
    </w:p>
    <w:p w14:paraId="086DE9AB" w14:textId="33A622F6" w:rsidR="00957023" w:rsidRDefault="0031060B">
      <w:pPr>
        <w:pStyle w:val="BodyText"/>
      </w:pPr>
      <w:r w:rsidRPr="00B0618E">
        <w:t xml:space="preserve">The present report addresses </w:t>
      </w:r>
      <w:r w:rsidR="00957023">
        <w:t xml:space="preserve">certain aspects of </w:t>
      </w:r>
      <w:r w:rsidR="0027274A" w:rsidRPr="00B0618E">
        <w:t>components</w:t>
      </w:r>
      <w:r w:rsidRPr="00B0618E">
        <w:t xml:space="preserve"> 1 and 3</w:t>
      </w:r>
      <w:r w:rsidR="004F4446">
        <w:t xml:space="preserve">, </w:t>
      </w:r>
      <w:r w:rsidR="004F4446">
        <w:rPr>
          <w:color w:val="auto"/>
        </w:rPr>
        <w:t>that is, to improve understanding of the vertical hydraulic conductivity of aquitards by better conceptualisation, parameterisation and representation of aquitards in regional groundwater models.  Specifically this involves</w:t>
      </w:r>
      <w:r w:rsidRPr="00B0618E">
        <w:t xml:space="preserve"> the inclusion of upscaled aquitard </w:t>
      </w:r>
      <w:r w:rsidR="00E61B23" w:rsidRPr="00B0618E">
        <w:t xml:space="preserve">hydrogeologic </w:t>
      </w:r>
      <w:r w:rsidRPr="00B0618E">
        <w:t>parameter values in a numerical model</w:t>
      </w:r>
      <w:r w:rsidR="00811BFB">
        <w:t xml:space="preserve"> </w:t>
      </w:r>
      <w:r w:rsidR="00811BFB" w:rsidRPr="00811BFB">
        <w:t xml:space="preserve">of </w:t>
      </w:r>
      <w:r w:rsidR="002D3BA4" w:rsidRPr="00B0618E">
        <w:t xml:space="preserve">groundwater flow </w:t>
      </w:r>
      <w:r w:rsidR="002D3BA4">
        <w:t xml:space="preserve">in </w:t>
      </w:r>
      <w:r w:rsidR="00811BFB" w:rsidRPr="00811BFB">
        <w:t xml:space="preserve">the Gunnedah </w:t>
      </w:r>
      <w:r w:rsidR="00957023">
        <w:t xml:space="preserve">basin </w:t>
      </w:r>
      <w:r w:rsidR="002D3BA4">
        <w:t xml:space="preserve">and </w:t>
      </w:r>
      <w:r w:rsidR="00957023">
        <w:t xml:space="preserve">overlying parts of the </w:t>
      </w:r>
      <w:r w:rsidR="002D3BA4">
        <w:t>Surat b</w:t>
      </w:r>
      <w:r w:rsidR="00811BFB" w:rsidRPr="00811BFB">
        <w:t xml:space="preserve">asin in </w:t>
      </w:r>
      <w:r w:rsidR="002D3BA4">
        <w:t xml:space="preserve">the New England region of </w:t>
      </w:r>
      <w:r w:rsidR="00811BFB" w:rsidRPr="00811BFB">
        <w:t>N</w:t>
      </w:r>
      <w:r w:rsidR="0014588D">
        <w:t xml:space="preserve">ew </w:t>
      </w:r>
      <w:r w:rsidR="00811BFB" w:rsidRPr="00811BFB">
        <w:t>S</w:t>
      </w:r>
      <w:r w:rsidR="0014588D">
        <w:t xml:space="preserve">outh </w:t>
      </w:r>
      <w:r w:rsidR="00811BFB" w:rsidRPr="00811BFB">
        <w:t>W</w:t>
      </w:r>
      <w:r w:rsidR="0014588D">
        <w:t>ales,</w:t>
      </w:r>
      <w:r w:rsidR="00811BFB" w:rsidRPr="00811BFB">
        <w:t xml:space="preserve"> Australia</w:t>
      </w:r>
      <w:r w:rsidRPr="00B0618E">
        <w:t xml:space="preserve">. </w:t>
      </w:r>
      <w:r w:rsidR="00E61B23" w:rsidRPr="00B0618E">
        <w:t xml:space="preserve">The model considers </w:t>
      </w:r>
      <w:r w:rsidR="00811BFB">
        <w:t>the most up-to-date hydrogeological conceptualisation of the</w:t>
      </w:r>
      <w:r w:rsidR="00957023">
        <w:t xml:space="preserve"> </w:t>
      </w:r>
      <w:r w:rsidR="002D3BA4">
        <w:t>s</w:t>
      </w:r>
      <w:r w:rsidR="00957023">
        <w:t>tudy area</w:t>
      </w:r>
      <w:r w:rsidR="002D3BA4">
        <w:t>,</w:t>
      </w:r>
      <w:r w:rsidR="00811BFB">
        <w:t xml:space="preserve"> including</w:t>
      </w:r>
      <w:r w:rsidR="00E61B23" w:rsidRPr="00B0618E">
        <w:t xml:space="preserve"> </w:t>
      </w:r>
      <w:r w:rsidR="00284EBC">
        <w:t xml:space="preserve">the Jurassic to Late Permian </w:t>
      </w:r>
      <w:r w:rsidR="00E61B23" w:rsidRPr="00B0618E">
        <w:t>upper aquitard sequence (</w:t>
      </w:r>
      <w:r w:rsidR="00811BFB" w:rsidRPr="00B0618E">
        <w:t>comprising</w:t>
      </w:r>
      <w:r w:rsidR="00E61B23" w:rsidRPr="00B0618E">
        <w:t xml:space="preserve"> amongst others the Purlawaugh </w:t>
      </w:r>
      <w:r w:rsidR="00E02C99">
        <w:t xml:space="preserve">and Napperby </w:t>
      </w:r>
      <w:r w:rsidR="003D0C0D">
        <w:t>f</w:t>
      </w:r>
      <w:r w:rsidR="00E61B23" w:rsidRPr="00B0618E">
        <w:t>ormation</w:t>
      </w:r>
      <w:r w:rsidR="00E02C99">
        <w:t>s</w:t>
      </w:r>
      <w:r w:rsidR="00E61B23" w:rsidRPr="00B0618E">
        <w:t xml:space="preserve">) and </w:t>
      </w:r>
      <w:r w:rsidR="00284EBC">
        <w:t>the</w:t>
      </w:r>
      <w:r w:rsidR="00E61B23" w:rsidRPr="00B0618E">
        <w:t xml:space="preserve"> lower </w:t>
      </w:r>
      <w:r w:rsidR="00284EBC">
        <w:t xml:space="preserve">Mid to Late Permian </w:t>
      </w:r>
      <w:r w:rsidR="00E61B23" w:rsidRPr="00B0618E">
        <w:t>aquitard sequence (with the Porcupine Formation at its base</w:t>
      </w:r>
      <w:r w:rsidR="00E02C99">
        <w:t xml:space="preserve"> overlain by the Watermark Formation</w:t>
      </w:r>
      <w:r w:rsidR="00E61B23" w:rsidRPr="00B0618E">
        <w:t xml:space="preserve">). </w:t>
      </w:r>
      <w:r w:rsidR="00811BFB">
        <w:t xml:space="preserve">Each of these aquitards isolates </w:t>
      </w:r>
      <w:r w:rsidR="00294F99">
        <w:t>a coal seam gas target formation from overlying water bearing formations</w:t>
      </w:r>
      <w:r w:rsidR="009E15F0">
        <w:t>: the Maules Creek coal layers are isolated by the lower aquitard</w:t>
      </w:r>
      <w:r w:rsidR="002D3BA4">
        <w:t xml:space="preserve"> </w:t>
      </w:r>
      <w:r w:rsidR="009E15F0">
        <w:t>s</w:t>
      </w:r>
      <w:r w:rsidR="002D3BA4">
        <w:t>equence</w:t>
      </w:r>
      <w:r w:rsidR="009E15F0">
        <w:t xml:space="preserve"> while isolation of the shallower Hoskissons </w:t>
      </w:r>
      <w:r w:rsidR="00DD37ED">
        <w:t xml:space="preserve">Coal </w:t>
      </w:r>
      <w:r w:rsidR="009E15F0">
        <w:t>layers is provided by the upper aquitard</w:t>
      </w:r>
      <w:r w:rsidR="002D3BA4">
        <w:t xml:space="preserve"> </w:t>
      </w:r>
      <w:r w:rsidR="009E15F0">
        <w:t>s</w:t>
      </w:r>
      <w:r w:rsidR="002D3BA4">
        <w:t>equence</w:t>
      </w:r>
      <w:r w:rsidR="00294F99">
        <w:t xml:space="preserve">. </w:t>
      </w:r>
      <w:r w:rsidR="00DD37ED">
        <w:t>The key overlying water</w:t>
      </w:r>
      <w:r w:rsidR="002D3BA4">
        <w:t>-</w:t>
      </w:r>
      <w:r w:rsidR="00DD37ED">
        <w:t xml:space="preserve">bearing formations are the Pilliga Sandstone confined aquifer and the Namoi Alluvium unconfined aquifer. </w:t>
      </w:r>
    </w:p>
    <w:p w14:paraId="33281BB2" w14:textId="72DEB6FC" w:rsidR="00C86BFA" w:rsidRDefault="00EE1F19">
      <w:pPr>
        <w:pStyle w:val="BodyText"/>
      </w:pPr>
      <w:r>
        <w:t xml:space="preserve">Although there are a number of geological and parameter uncertainties early in the resource development cycle that could significantly affect the impact of CSG development on adjacent aquifers separated by aquitards, this project chose to only examine a particular subset of these. Choosing to accept a single geological static model realization and the available petrophysical logs and core data from an existing number of well penetrations, this project examined how three different upscaling and parameterization approaches would affect four different groundwater impact predictions.  With the available budget and time resources, the project could only examine a limited number of approaches and the results should be considered an example of how parameterisation uncertainty is propagated in predictive outcome uncertainty. </w:t>
      </w:r>
      <w:r w:rsidR="00C86BFA">
        <w:t>The magnitude</w:t>
      </w:r>
      <w:r w:rsidR="0031060B" w:rsidRPr="00B0618E">
        <w:t xml:space="preserve"> and associated uncertaint</w:t>
      </w:r>
      <w:r w:rsidR="00042BB8" w:rsidRPr="00B0618E">
        <w:t>i</w:t>
      </w:r>
      <w:r w:rsidR="0031060B" w:rsidRPr="00B0618E">
        <w:t xml:space="preserve">es of four key predictions generated by the model </w:t>
      </w:r>
      <w:r w:rsidR="001E4A92" w:rsidRPr="00B0618E">
        <w:t xml:space="preserve">(i.e., groundwater impact metrics) </w:t>
      </w:r>
      <w:r w:rsidR="002D3BA4">
        <w:t>were</w:t>
      </w:r>
      <w:r w:rsidR="0031060B" w:rsidRPr="00B0618E">
        <w:t xml:space="preserve"> assessed </w:t>
      </w:r>
      <w:r w:rsidR="002D3BA4">
        <w:t>using</w:t>
      </w:r>
      <w:r w:rsidR="001E4A92" w:rsidRPr="00B0618E">
        <w:t xml:space="preserve"> three </w:t>
      </w:r>
      <w:r w:rsidR="002D3BA4">
        <w:t>parameterisation approaches</w:t>
      </w:r>
      <w:r w:rsidR="001E4A92" w:rsidRPr="00B0618E">
        <w:t xml:space="preserve"> that </w:t>
      </w:r>
      <w:r w:rsidR="002D3BA4">
        <w:t>were</w:t>
      </w:r>
      <w:r w:rsidR="001E4A92" w:rsidRPr="00B0618E">
        <w:t xml:space="preserve"> applied </w:t>
      </w:r>
      <w:r w:rsidR="002D3BA4">
        <w:t>sequentially</w:t>
      </w:r>
      <w:r w:rsidR="001E4A92" w:rsidRPr="00B0618E">
        <w:t xml:space="preserve"> to the same groundwater </w:t>
      </w:r>
      <w:r w:rsidR="00C86BFA">
        <w:t xml:space="preserve">flow </w:t>
      </w:r>
      <w:r w:rsidR="001E4A92" w:rsidRPr="00B0618E">
        <w:t xml:space="preserve">model. </w:t>
      </w:r>
      <w:r w:rsidR="00DD37ED">
        <w:t>Specifically, the four predictions of interest were</w:t>
      </w:r>
      <w:r w:rsidR="00DD37ED" w:rsidRPr="00B0618E">
        <w:t>:</w:t>
      </w:r>
      <w:r w:rsidR="00DD37ED">
        <w:t xml:space="preserve"> t</w:t>
      </w:r>
      <w:r w:rsidR="00DD37ED" w:rsidRPr="00B0618E">
        <w:t>he magnitude</w:t>
      </w:r>
      <w:r w:rsidR="00DD37ED">
        <w:t>, timing and spatial extent</w:t>
      </w:r>
      <w:r w:rsidR="00DD37ED" w:rsidRPr="00B0618E">
        <w:t xml:space="preserve"> of maximum drawdown in the Pilliga Sandstone aquifer</w:t>
      </w:r>
      <w:r w:rsidR="00DD37ED">
        <w:t xml:space="preserve"> and the </w:t>
      </w:r>
      <w:r w:rsidR="00DD37ED" w:rsidRPr="00B0618E">
        <w:t>maximum vertical flux across the base o</w:t>
      </w:r>
      <w:r w:rsidR="00DD37ED">
        <w:t>f the same aquifer.</w:t>
      </w:r>
    </w:p>
    <w:p w14:paraId="3A743B6B" w14:textId="62A6565A" w:rsidR="00C86BFA" w:rsidRDefault="001E4A92" w:rsidP="00165854">
      <w:pPr>
        <w:pStyle w:val="BodyText"/>
      </w:pPr>
      <w:r w:rsidRPr="00B0618E">
        <w:t xml:space="preserve">The first </w:t>
      </w:r>
      <w:r w:rsidR="002D3BA4">
        <w:t>parameterisation approach</w:t>
      </w:r>
      <w:r w:rsidRPr="00B0618E">
        <w:t xml:space="preserve"> </w:t>
      </w:r>
      <w:r w:rsidR="001012D7" w:rsidRPr="00B0618E">
        <w:t xml:space="preserve">used existing model parameters </w:t>
      </w:r>
      <w:r w:rsidR="00C86BFA">
        <w:t>values (</w:t>
      </w:r>
      <w:r w:rsidR="002D3BA4">
        <w:t>i.e., horizontal and vertical hydraulic conductivity [</w:t>
      </w:r>
      <w:r w:rsidR="00C86BFA" w:rsidRPr="00B0618E">
        <w:rPr>
          <w:i/>
        </w:rPr>
        <w:t>K</w:t>
      </w:r>
      <w:r w:rsidR="00C86BFA" w:rsidRPr="00C86BFA">
        <w:rPr>
          <w:vertAlign w:val="subscript"/>
        </w:rPr>
        <w:t>H</w:t>
      </w:r>
      <w:r w:rsidR="00C86BFA" w:rsidRPr="00C86BFA">
        <w:t>,</w:t>
      </w:r>
      <w:r w:rsidR="00C86BFA">
        <w:rPr>
          <w:i/>
        </w:rPr>
        <w:t xml:space="preserve"> </w:t>
      </w:r>
      <w:r w:rsidR="00C86BFA" w:rsidRPr="00B0618E">
        <w:rPr>
          <w:i/>
        </w:rPr>
        <w:t>K</w:t>
      </w:r>
      <w:r w:rsidR="00C86BFA" w:rsidRPr="00C86BFA">
        <w:rPr>
          <w:vertAlign w:val="subscript"/>
        </w:rPr>
        <w:t>V</w:t>
      </w:r>
      <w:r w:rsidR="002D3BA4" w:rsidRPr="00677E30">
        <w:t>]</w:t>
      </w:r>
      <w:r w:rsidR="002D3BA4">
        <w:rPr>
          <w:i/>
        </w:rPr>
        <w:t xml:space="preserve"> </w:t>
      </w:r>
      <w:r w:rsidR="002D3BA4" w:rsidRPr="00677E30">
        <w:t>and specific storage coefficient [</w:t>
      </w:r>
      <w:r w:rsidR="00C86BFA" w:rsidRPr="00C86BFA">
        <w:rPr>
          <w:i/>
        </w:rPr>
        <w:t>S</w:t>
      </w:r>
      <w:r w:rsidR="00C86BFA" w:rsidRPr="00C86BFA">
        <w:rPr>
          <w:vertAlign w:val="subscript"/>
        </w:rPr>
        <w:t>S</w:t>
      </w:r>
      <w:r w:rsidR="002D3BA4">
        <w:t>])</w:t>
      </w:r>
      <w:r w:rsidR="00C86BFA">
        <w:t xml:space="preserve"> </w:t>
      </w:r>
      <w:r w:rsidR="001012D7" w:rsidRPr="00B0618E">
        <w:rPr>
          <w:color w:val="auto"/>
        </w:rPr>
        <w:t>derived from prior modelling studies</w:t>
      </w:r>
      <w:r w:rsidR="0028568D" w:rsidRPr="00B0618E">
        <w:rPr>
          <w:color w:val="auto"/>
        </w:rPr>
        <w:t xml:space="preserve">, with spatially </w:t>
      </w:r>
      <w:r w:rsidR="0014588D">
        <w:rPr>
          <w:color w:val="auto"/>
        </w:rPr>
        <w:t>homogeneous</w:t>
      </w:r>
      <w:r w:rsidR="0014588D" w:rsidRPr="00B0618E">
        <w:rPr>
          <w:color w:val="auto"/>
        </w:rPr>
        <w:t xml:space="preserve"> </w:t>
      </w:r>
      <w:r w:rsidR="0028568D" w:rsidRPr="00B0618E">
        <w:rPr>
          <w:color w:val="auto"/>
        </w:rPr>
        <w:t>parameter values for every model layer</w:t>
      </w:r>
      <w:r w:rsidR="001012D7" w:rsidRPr="00B0618E">
        <w:rPr>
          <w:color w:val="auto"/>
        </w:rPr>
        <w:t xml:space="preserve">. In the second </w:t>
      </w:r>
      <w:r w:rsidR="002D3BA4">
        <w:rPr>
          <w:color w:val="auto"/>
        </w:rPr>
        <w:t>approach</w:t>
      </w:r>
      <w:r w:rsidR="001012D7" w:rsidRPr="00B0618E">
        <w:rPr>
          <w:color w:val="auto"/>
        </w:rPr>
        <w:t xml:space="preserve"> </w:t>
      </w:r>
      <w:r w:rsidR="001012D7" w:rsidRPr="00B0618E">
        <w:t xml:space="preserve">vertical hydraulic conductivity data </w:t>
      </w:r>
      <w:r w:rsidR="00C86BFA">
        <w:t xml:space="preserve">for the two aquitard sequences </w:t>
      </w:r>
      <w:r w:rsidR="001012D7" w:rsidRPr="00B0618E">
        <w:rPr>
          <w:color w:val="auto"/>
        </w:rPr>
        <w:t xml:space="preserve">were </w:t>
      </w:r>
      <w:r w:rsidR="00480CEB" w:rsidRPr="00B0618E">
        <w:t xml:space="preserve">generated by combining </w:t>
      </w:r>
      <w:r w:rsidR="0031060B" w:rsidRPr="00B0618E">
        <w:t>core</w:t>
      </w:r>
      <w:r w:rsidR="002D3BA4">
        <w:t>-</w:t>
      </w:r>
      <w:r w:rsidR="0031060B" w:rsidRPr="00B0618E">
        <w:t xml:space="preserve">scale </w:t>
      </w:r>
      <w:r w:rsidR="00480CEB" w:rsidRPr="00B0618E">
        <w:rPr>
          <w:i/>
        </w:rPr>
        <w:t>K</w:t>
      </w:r>
      <w:r w:rsidR="00890954" w:rsidRPr="00B0618E">
        <w:rPr>
          <w:i/>
          <w:vertAlign w:val="subscript"/>
        </w:rPr>
        <w:t>V</w:t>
      </w:r>
      <w:r w:rsidR="00480CEB" w:rsidRPr="00B0618E">
        <w:t xml:space="preserve"> values with wireline log data</w:t>
      </w:r>
      <w:r w:rsidR="00C86BFA">
        <w:t>. T</w:t>
      </w:r>
      <w:r w:rsidR="001012D7" w:rsidRPr="00B0618E">
        <w:t xml:space="preserve">hose </w:t>
      </w:r>
      <w:r w:rsidR="001012D7" w:rsidRPr="00B0618E">
        <w:rPr>
          <w:i/>
        </w:rPr>
        <w:t>K</w:t>
      </w:r>
      <w:r w:rsidR="001012D7" w:rsidRPr="00B0618E">
        <w:rPr>
          <w:i/>
          <w:vertAlign w:val="subscript"/>
        </w:rPr>
        <w:t>V</w:t>
      </w:r>
      <w:r w:rsidR="001012D7" w:rsidRPr="00B0618E">
        <w:t xml:space="preserve"> values</w:t>
      </w:r>
      <w:r w:rsidR="0031060B" w:rsidRPr="00B0618E">
        <w:t xml:space="preserve"> were subsequently </w:t>
      </w:r>
      <w:r w:rsidR="00E61B23" w:rsidRPr="00B0618E">
        <w:t xml:space="preserve">upscaled to the regional scale </w:t>
      </w:r>
      <w:r w:rsidR="0031060B" w:rsidRPr="00B0618E">
        <w:t xml:space="preserve">commensurate with </w:t>
      </w:r>
      <w:r w:rsidR="0027274A" w:rsidRPr="00B0618E">
        <w:t>the cellular grid</w:t>
      </w:r>
      <w:r w:rsidR="0031060B" w:rsidRPr="00B0618E">
        <w:t xml:space="preserve"> </w:t>
      </w:r>
      <w:r w:rsidR="00C86BFA">
        <w:t xml:space="preserve">size </w:t>
      </w:r>
      <w:r w:rsidR="0031060B" w:rsidRPr="00B0618E">
        <w:t xml:space="preserve">of the model </w:t>
      </w:r>
      <w:r w:rsidR="0031060B" w:rsidRPr="00B0618E">
        <w:rPr>
          <w:color w:val="auto"/>
        </w:rPr>
        <w:t xml:space="preserve">using analytical and numerical </w:t>
      </w:r>
      <w:r w:rsidR="00C86BFA">
        <w:rPr>
          <w:color w:val="auto"/>
        </w:rPr>
        <w:t xml:space="preserve">upscaling </w:t>
      </w:r>
      <w:r w:rsidR="0031060B" w:rsidRPr="00B0618E">
        <w:rPr>
          <w:color w:val="auto"/>
        </w:rPr>
        <w:t>methods</w:t>
      </w:r>
      <w:r w:rsidR="00C86BFA">
        <w:rPr>
          <w:color w:val="auto"/>
        </w:rPr>
        <w:t xml:space="preserve">, and </w:t>
      </w:r>
      <w:r w:rsidR="00C86BFA" w:rsidRPr="00B0618E">
        <w:t xml:space="preserve">incorporated </w:t>
      </w:r>
      <w:r w:rsidR="00C86BFA">
        <w:t>in the flow model</w:t>
      </w:r>
      <w:r w:rsidR="0031060B" w:rsidRPr="00B0618E">
        <w:rPr>
          <w:color w:val="auto"/>
        </w:rPr>
        <w:t xml:space="preserve">. </w:t>
      </w:r>
      <w:r w:rsidR="0028568D" w:rsidRPr="00B0618E">
        <w:rPr>
          <w:color w:val="auto"/>
        </w:rPr>
        <w:t xml:space="preserve">Every hydrostratigraphic unit was assigned a spatially </w:t>
      </w:r>
      <w:r w:rsidR="0014588D">
        <w:rPr>
          <w:color w:val="auto"/>
        </w:rPr>
        <w:t xml:space="preserve">homogeneous </w:t>
      </w:r>
      <w:r w:rsidR="0028568D" w:rsidRPr="00B0618E">
        <w:rPr>
          <w:color w:val="auto"/>
        </w:rPr>
        <w:t xml:space="preserve">average </w:t>
      </w:r>
      <w:r w:rsidR="0028568D" w:rsidRPr="00B0618E">
        <w:rPr>
          <w:i/>
        </w:rPr>
        <w:t>K</w:t>
      </w:r>
      <w:r w:rsidR="0028568D" w:rsidRPr="00B0618E">
        <w:rPr>
          <w:i/>
          <w:vertAlign w:val="subscript"/>
        </w:rPr>
        <w:t>V</w:t>
      </w:r>
      <w:r w:rsidR="0028568D" w:rsidRPr="00B0618E">
        <w:t xml:space="preserve"> value. </w:t>
      </w:r>
      <w:r w:rsidR="001012D7" w:rsidRPr="00B0618E">
        <w:rPr>
          <w:color w:val="auto"/>
        </w:rPr>
        <w:t xml:space="preserve">The third </w:t>
      </w:r>
      <w:r w:rsidR="002D3BA4">
        <w:rPr>
          <w:color w:val="auto"/>
        </w:rPr>
        <w:t>parameterisation approach</w:t>
      </w:r>
      <w:r w:rsidR="001012D7" w:rsidRPr="00B0618E">
        <w:rPr>
          <w:color w:val="auto"/>
        </w:rPr>
        <w:t xml:space="preserve"> </w:t>
      </w:r>
      <w:r w:rsidR="002D3BA4">
        <w:rPr>
          <w:color w:val="auto"/>
        </w:rPr>
        <w:t>featured</w:t>
      </w:r>
      <w:r w:rsidR="001012D7" w:rsidRPr="00B0618E">
        <w:rPr>
          <w:color w:val="auto"/>
        </w:rPr>
        <w:t xml:space="preserve"> an </w:t>
      </w:r>
      <w:r w:rsidR="00D430B1">
        <w:t>alternative, more detailed</w:t>
      </w:r>
      <w:r w:rsidR="00D430B1" w:rsidRPr="00B0618E">
        <w:t xml:space="preserve"> </w:t>
      </w:r>
      <w:r w:rsidR="001012D7" w:rsidRPr="00B0618E">
        <w:t xml:space="preserve">conceptual model of the aquitards’ hydraulic conductivity whereby </w:t>
      </w:r>
      <w:r w:rsidR="001012D7" w:rsidRPr="00B0618E">
        <w:rPr>
          <w:i/>
        </w:rPr>
        <w:t>K</w:t>
      </w:r>
      <w:r w:rsidR="001012D7" w:rsidRPr="00B0618E">
        <w:rPr>
          <w:vertAlign w:val="subscript"/>
        </w:rPr>
        <w:t>V</w:t>
      </w:r>
      <w:r w:rsidR="001012D7" w:rsidRPr="00B0618E">
        <w:t xml:space="preserve"> values were spatially distributed according to an observed spatial </w:t>
      </w:r>
      <w:r w:rsidR="0028568D" w:rsidRPr="00B0618E">
        <w:t xml:space="preserve">correlation </w:t>
      </w:r>
      <w:r w:rsidR="00C86BFA">
        <w:t xml:space="preserve">model </w:t>
      </w:r>
      <w:r w:rsidR="00E61B23" w:rsidRPr="00B0618E">
        <w:t>derived from</w:t>
      </w:r>
      <w:r w:rsidR="0028568D" w:rsidRPr="00B0618E">
        <w:t xml:space="preserve"> </w:t>
      </w:r>
      <w:r w:rsidR="00CD4231">
        <w:t xml:space="preserve">data generated </w:t>
      </w:r>
      <w:r w:rsidR="0028568D" w:rsidRPr="00B0618E">
        <w:t xml:space="preserve">using the second </w:t>
      </w:r>
      <w:r w:rsidR="002D3BA4">
        <w:t>approach</w:t>
      </w:r>
      <w:r w:rsidR="001012D7" w:rsidRPr="00B0618E">
        <w:t xml:space="preserve">. </w:t>
      </w:r>
      <w:r w:rsidR="003372A2" w:rsidRPr="00B0618E">
        <w:t>This</w:t>
      </w:r>
      <w:r w:rsidR="001012D7" w:rsidRPr="00B0618E">
        <w:t xml:space="preserve"> approach generated heterogeneous </w:t>
      </w:r>
      <w:r w:rsidR="001012D7" w:rsidRPr="00B0618E">
        <w:rPr>
          <w:i/>
        </w:rPr>
        <w:t>K</w:t>
      </w:r>
      <w:r w:rsidR="003372A2" w:rsidRPr="00B0618E">
        <w:rPr>
          <w:vertAlign w:val="subscript"/>
        </w:rPr>
        <w:t>V</w:t>
      </w:r>
      <w:r w:rsidR="001012D7" w:rsidRPr="00B0618E">
        <w:t xml:space="preserve"> domains, </w:t>
      </w:r>
      <w:r w:rsidR="00A6761D" w:rsidRPr="00B0618E">
        <w:t>while</w:t>
      </w:r>
      <w:r w:rsidR="001012D7" w:rsidRPr="00B0618E">
        <w:t xml:space="preserve"> honour</w:t>
      </w:r>
      <w:r w:rsidR="00A6761D" w:rsidRPr="00B0618E">
        <w:t>ing</w:t>
      </w:r>
      <w:r w:rsidR="001012D7" w:rsidRPr="00B0618E">
        <w:t xml:space="preserve"> the data at all the observation wells where upscaled </w:t>
      </w:r>
      <w:r w:rsidR="001012D7" w:rsidRPr="00B0618E">
        <w:rPr>
          <w:i/>
        </w:rPr>
        <w:t>K</w:t>
      </w:r>
      <w:r w:rsidR="00A6761D" w:rsidRPr="00B0618E">
        <w:rPr>
          <w:vertAlign w:val="subscript"/>
        </w:rPr>
        <w:t>V</w:t>
      </w:r>
      <w:r w:rsidR="001012D7" w:rsidRPr="00B0618E">
        <w:t xml:space="preserve"> values had been determined</w:t>
      </w:r>
      <w:r w:rsidR="00A6761D" w:rsidRPr="00B0618E">
        <w:t>.</w:t>
      </w:r>
      <w:r w:rsidR="00C86BFA">
        <w:t xml:space="preserve"> The u</w:t>
      </w:r>
      <w:r w:rsidR="0031060B" w:rsidRPr="00B0618E">
        <w:rPr>
          <w:color w:val="auto"/>
        </w:rPr>
        <w:t xml:space="preserve">pscaled aquitard </w:t>
      </w:r>
      <w:r w:rsidR="00890954" w:rsidRPr="00B0618E">
        <w:rPr>
          <w:i/>
        </w:rPr>
        <w:t>K</w:t>
      </w:r>
      <w:r w:rsidR="00890954" w:rsidRPr="00B0618E">
        <w:rPr>
          <w:i/>
          <w:vertAlign w:val="subscript"/>
        </w:rPr>
        <w:t>V</w:t>
      </w:r>
      <w:r w:rsidR="0027274A" w:rsidRPr="00B0618E">
        <w:rPr>
          <w:color w:val="auto"/>
        </w:rPr>
        <w:t xml:space="preserve"> values</w:t>
      </w:r>
      <w:r w:rsidR="0031060B" w:rsidRPr="00B0618E">
        <w:rPr>
          <w:color w:val="auto"/>
        </w:rPr>
        <w:t xml:space="preserve"> </w:t>
      </w:r>
      <w:r w:rsidR="00E61B23" w:rsidRPr="00B0618E">
        <w:rPr>
          <w:color w:val="auto"/>
        </w:rPr>
        <w:t xml:space="preserve">were </w:t>
      </w:r>
      <w:r w:rsidR="0031060B" w:rsidRPr="00B0618E">
        <w:rPr>
          <w:color w:val="auto"/>
        </w:rPr>
        <w:t xml:space="preserve">used to update </w:t>
      </w:r>
      <w:r w:rsidR="001012D7" w:rsidRPr="00B0618E">
        <w:rPr>
          <w:color w:val="auto"/>
        </w:rPr>
        <w:t xml:space="preserve">the </w:t>
      </w:r>
      <w:r w:rsidR="0031060B" w:rsidRPr="00B0618E">
        <w:rPr>
          <w:color w:val="auto"/>
        </w:rPr>
        <w:t>prior parameter distributions</w:t>
      </w:r>
      <w:r w:rsidR="0094269B" w:rsidRPr="00B0618E">
        <w:rPr>
          <w:color w:val="auto"/>
        </w:rPr>
        <w:t xml:space="preserve"> </w:t>
      </w:r>
      <w:r w:rsidR="003D0C0D">
        <w:rPr>
          <w:color w:val="auto"/>
        </w:rPr>
        <w:t>used in the first parameterisation approach</w:t>
      </w:r>
      <w:r w:rsidR="0031060B" w:rsidRPr="00B0618E">
        <w:t xml:space="preserve"> </w:t>
      </w:r>
      <w:r w:rsidR="00C86BFA">
        <w:t>to generate</w:t>
      </w:r>
      <w:r w:rsidR="00E61B23" w:rsidRPr="00B0618E">
        <w:t xml:space="preserve"> </w:t>
      </w:r>
      <w:r w:rsidR="0031060B" w:rsidRPr="00B0618E">
        <w:t>update</w:t>
      </w:r>
      <w:r w:rsidR="003C63BE" w:rsidRPr="00B0618E">
        <w:t>d</w:t>
      </w:r>
      <w:r w:rsidR="0031060B" w:rsidRPr="00B0618E">
        <w:t xml:space="preserve"> </w:t>
      </w:r>
      <w:r w:rsidR="00A6761D" w:rsidRPr="00B0618E">
        <w:t xml:space="preserve">model </w:t>
      </w:r>
      <w:r w:rsidR="0031060B" w:rsidRPr="00B0618E">
        <w:t>prediction (posterior) distributions</w:t>
      </w:r>
      <w:r w:rsidR="0094269B" w:rsidRPr="00B0618E">
        <w:t xml:space="preserve"> </w:t>
      </w:r>
      <w:r w:rsidR="00C86BFA">
        <w:t xml:space="preserve">using </w:t>
      </w:r>
      <w:r w:rsidR="00C86BFA" w:rsidRPr="00B0618E">
        <w:rPr>
          <w:color w:val="auto"/>
        </w:rPr>
        <w:t xml:space="preserve">either </w:t>
      </w:r>
      <w:r w:rsidR="0014588D">
        <w:rPr>
          <w:color w:val="auto"/>
        </w:rPr>
        <w:t>homogeneous or</w:t>
      </w:r>
      <w:r w:rsidR="00C86BFA" w:rsidRPr="00B0618E">
        <w:rPr>
          <w:color w:val="auto"/>
        </w:rPr>
        <w:t xml:space="preserve"> heterogeneous</w:t>
      </w:r>
      <w:r w:rsidR="00C86BFA">
        <w:rPr>
          <w:color w:val="auto"/>
        </w:rPr>
        <w:t xml:space="preserve"> </w:t>
      </w:r>
      <w:r w:rsidR="00C86BFA" w:rsidRPr="00B0618E">
        <w:rPr>
          <w:i/>
        </w:rPr>
        <w:t>K</w:t>
      </w:r>
      <w:r w:rsidR="00C86BFA" w:rsidRPr="00B0618E">
        <w:rPr>
          <w:i/>
          <w:vertAlign w:val="subscript"/>
        </w:rPr>
        <w:t>V</w:t>
      </w:r>
      <w:r w:rsidR="00C86BFA" w:rsidRPr="00B0618E">
        <w:rPr>
          <w:color w:val="auto"/>
        </w:rPr>
        <w:t xml:space="preserve"> values</w:t>
      </w:r>
      <w:r w:rsidR="0031060B" w:rsidRPr="00B0618E">
        <w:t xml:space="preserve">. </w:t>
      </w:r>
    </w:p>
    <w:p w14:paraId="3534AB11" w14:textId="7CDFBAF0" w:rsidR="00156E23" w:rsidRPr="00B0618E" w:rsidRDefault="00623A5E" w:rsidP="00165854">
      <w:pPr>
        <w:pStyle w:val="BodyText"/>
      </w:pPr>
      <w:r>
        <w:t>G</w:t>
      </w:r>
      <w:r w:rsidR="00042BB8" w:rsidRPr="00B0618E">
        <w:t xml:space="preserve">lobal sensitivity </w:t>
      </w:r>
      <w:r w:rsidR="003C63BE" w:rsidRPr="00B0618E">
        <w:t xml:space="preserve">methods </w:t>
      </w:r>
      <w:r w:rsidR="00042BB8" w:rsidRPr="00B0618E">
        <w:t xml:space="preserve">based on Monte Carlo sampling </w:t>
      </w:r>
      <w:r w:rsidR="00C86BFA">
        <w:t xml:space="preserve">were adopted to </w:t>
      </w:r>
      <w:r w:rsidR="00E61B23" w:rsidRPr="00B0618E">
        <w:t>generate</w:t>
      </w:r>
      <w:r w:rsidR="00D430B1">
        <w:t xml:space="preserve"> and evaluate</w:t>
      </w:r>
      <w:r w:rsidR="00E61B23" w:rsidRPr="00B0618E">
        <w:t xml:space="preserve"> 300 parameter sets </w:t>
      </w:r>
      <w:r w:rsidR="0094269B" w:rsidRPr="00B0618E">
        <w:t>(on</w:t>
      </w:r>
      <w:r w:rsidR="006C1779">
        <w:t>c</w:t>
      </w:r>
      <w:r w:rsidR="0094269B" w:rsidRPr="00B0618E">
        <w:t>e for the first and on</w:t>
      </w:r>
      <w:r w:rsidR="006C1779">
        <w:t>c</w:t>
      </w:r>
      <w:r w:rsidR="0094269B" w:rsidRPr="00B0618E">
        <w:t xml:space="preserve">e for the second </w:t>
      </w:r>
      <w:r w:rsidR="006C1779">
        <w:t>parameterisation approach</w:t>
      </w:r>
      <w:r w:rsidR="0094269B" w:rsidRPr="00B0618E">
        <w:t>)</w:t>
      </w:r>
      <w:r w:rsidR="00D430B1">
        <w:t>.</w:t>
      </w:r>
      <w:r w:rsidR="0094269B" w:rsidRPr="00B0618E">
        <w:t xml:space="preserve"> </w:t>
      </w:r>
      <w:r w:rsidR="00D430B1">
        <w:t>The resulting set</w:t>
      </w:r>
      <w:r w:rsidR="003D0C0D">
        <w:t>s</w:t>
      </w:r>
      <w:r w:rsidR="00D430B1">
        <w:t xml:space="preserve"> of </w:t>
      </w:r>
      <w:r w:rsidR="00E61B23" w:rsidRPr="00B0618E">
        <w:t xml:space="preserve">300 model </w:t>
      </w:r>
      <w:r w:rsidR="00D430B1">
        <w:t xml:space="preserve">predictions </w:t>
      </w:r>
      <w:r w:rsidR="006C1779">
        <w:t>were used</w:t>
      </w:r>
      <w:r w:rsidR="00D430B1" w:rsidRPr="00B0618E">
        <w:t xml:space="preserve"> </w:t>
      </w:r>
      <w:r w:rsidR="003C63BE" w:rsidRPr="00B0618E">
        <w:t xml:space="preserve">to identify </w:t>
      </w:r>
      <w:r w:rsidR="00C86BFA">
        <w:t>those hydrogeological</w:t>
      </w:r>
      <w:r w:rsidR="00C86BFA" w:rsidRPr="00B0618E">
        <w:t xml:space="preserve"> p</w:t>
      </w:r>
      <w:r w:rsidR="006C1779">
        <w:t>arameters</w:t>
      </w:r>
      <w:r w:rsidR="00C86BFA" w:rsidRPr="00B0618E">
        <w:t xml:space="preserve"> </w:t>
      </w:r>
      <w:r w:rsidR="00C86BFA">
        <w:t xml:space="preserve">to which </w:t>
      </w:r>
      <w:r w:rsidR="00042BB8" w:rsidRPr="00B0618E">
        <w:t xml:space="preserve">the four </w:t>
      </w:r>
      <w:r w:rsidR="00E61B23" w:rsidRPr="00B0618E">
        <w:t>groundwater impact metrics</w:t>
      </w:r>
      <w:r w:rsidR="003C63BE" w:rsidRPr="00B0618E">
        <w:t xml:space="preserve"> </w:t>
      </w:r>
      <w:r w:rsidR="00C86BFA">
        <w:t>were most</w:t>
      </w:r>
      <w:r w:rsidR="00C86BFA" w:rsidRPr="00B0618E">
        <w:t xml:space="preserve"> sensitiv</w:t>
      </w:r>
      <w:r w:rsidR="008E5FF9">
        <w:t>e</w:t>
      </w:r>
      <w:r w:rsidR="00C86BFA">
        <w:t xml:space="preserve"> and</w:t>
      </w:r>
      <w:r w:rsidR="003C63BE" w:rsidRPr="00B0618E">
        <w:t xml:space="preserve"> to quantify the uncertainty of predictions</w:t>
      </w:r>
      <w:r w:rsidR="00D430B1">
        <w:t xml:space="preserve"> that arises from parameter uncertainty</w:t>
      </w:r>
      <w:r w:rsidR="003C63BE" w:rsidRPr="00B0618E">
        <w:t xml:space="preserve">. </w:t>
      </w:r>
      <w:r w:rsidR="00D17021" w:rsidRPr="00B0618E">
        <w:t xml:space="preserve">Parameter sensitivity rankings were based on the Delta Moment-Independent Measure and the first order Sobol’ metric. </w:t>
      </w:r>
      <w:r w:rsidR="003C63BE" w:rsidRPr="00B0618E">
        <w:t xml:space="preserve">Prediction uncertainties were quantified prior to and following the inclusion </w:t>
      </w:r>
      <w:r w:rsidR="00A6761D" w:rsidRPr="00B0618E">
        <w:t xml:space="preserve">of </w:t>
      </w:r>
      <w:r w:rsidR="003C63BE" w:rsidRPr="00B0618E">
        <w:t>updat</w:t>
      </w:r>
      <w:r w:rsidR="00BC2211">
        <w:t>ed</w:t>
      </w:r>
      <w:r w:rsidR="003C63BE" w:rsidRPr="00B0618E">
        <w:t xml:space="preserve"> aquitard </w:t>
      </w:r>
      <w:r w:rsidR="00890954" w:rsidRPr="00B0618E">
        <w:rPr>
          <w:i/>
        </w:rPr>
        <w:t>K</w:t>
      </w:r>
      <w:r w:rsidR="00890954" w:rsidRPr="00B0618E">
        <w:rPr>
          <w:i/>
          <w:vertAlign w:val="subscript"/>
        </w:rPr>
        <w:t>V</w:t>
      </w:r>
      <w:r w:rsidR="00A6761D" w:rsidRPr="00B0618E">
        <w:t xml:space="preserve"> data</w:t>
      </w:r>
      <w:r w:rsidR="003C63BE" w:rsidRPr="00B0618E">
        <w:t xml:space="preserve">. </w:t>
      </w:r>
      <w:r w:rsidR="00D87E66" w:rsidRPr="00B0618E">
        <w:t>This allowed testing of the impact of improved aquitard characterisation on predicti</w:t>
      </w:r>
      <w:r w:rsidR="0094269B" w:rsidRPr="00B0618E">
        <w:t>on</w:t>
      </w:r>
      <w:r w:rsidR="00D87E66" w:rsidRPr="00B0618E">
        <w:t xml:space="preserve"> uncertainty. </w:t>
      </w:r>
      <w:r w:rsidR="00CD4231">
        <w:t>T</w:t>
      </w:r>
      <w:r w:rsidR="00CD4231" w:rsidRPr="00CD4231">
        <w:t xml:space="preserve">he stochastic approach adhered to in this project </w:t>
      </w:r>
      <w:r w:rsidR="00CD4231">
        <w:t xml:space="preserve">to quantify prediction uncertainty </w:t>
      </w:r>
      <w:r w:rsidR="00CD4231" w:rsidRPr="00CD4231">
        <w:t xml:space="preserve">is consistent with the Bayesian paradigm, in which prior beliefs </w:t>
      </w:r>
      <w:r w:rsidR="003D0C0D">
        <w:t xml:space="preserve">(i.e., </w:t>
      </w:r>
      <w:r w:rsidR="00CD4231" w:rsidRPr="00CD4231">
        <w:t>estimates of parameters and conceptualisation</w:t>
      </w:r>
      <w:r w:rsidR="003D0C0D">
        <w:t>)</w:t>
      </w:r>
      <w:r w:rsidR="00CD4231" w:rsidRPr="00CD4231">
        <w:t xml:space="preserve"> are iteratively updated when new data and information becomes available</w:t>
      </w:r>
      <w:r w:rsidR="00CD4231">
        <w:t>.</w:t>
      </w:r>
    </w:p>
    <w:p w14:paraId="677AC3DB" w14:textId="5A399959" w:rsidR="00D87E66" w:rsidRPr="00B0618E" w:rsidRDefault="00D87E66" w:rsidP="00165854">
      <w:pPr>
        <w:pStyle w:val="BodyText"/>
      </w:pPr>
      <w:r w:rsidRPr="00B0618E">
        <w:t xml:space="preserve">Results from </w:t>
      </w:r>
      <w:r w:rsidR="008E5FF9">
        <w:t xml:space="preserve">both </w:t>
      </w:r>
      <w:r w:rsidRPr="00B0618E">
        <w:t>sensitivity analys</w:t>
      </w:r>
      <w:r w:rsidR="008E5FF9">
        <w:t>e</w:t>
      </w:r>
      <w:r w:rsidRPr="00B0618E">
        <w:t xml:space="preserve">s are summarised for each of the four </w:t>
      </w:r>
      <w:r w:rsidR="00156E23" w:rsidRPr="00B0618E">
        <w:t>groundwater impact metrics</w:t>
      </w:r>
      <w:r w:rsidRPr="00B0618E">
        <w:t xml:space="preserve"> as follows</w:t>
      </w:r>
      <w:r w:rsidR="00E43E98" w:rsidRPr="00B0618E">
        <w:t xml:space="preserve"> (based on </w:t>
      </w:r>
      <w:r w:rsidR="008E5FF9">
        <w:t xml:space="preserve">sets of </w:t>
      </w:r>
      <w:r w:rsidR="00E43E98" w:rsidRPr="00B0618E">
        <w:t xml:space="preserve">300 model runs </w:t>
      </w:r>
      <w:r w:rsidR="008E5FF9">
        <w:t>for each parameterisation approach</w:t>
      </w:r>
      <w:r w:rsidR="00E43E98" w:rsidRPr="00B0618E">
        <w:t>)</w:t>
      </w:r>
      <w:r w:rsidRPr="00B0618E">
        <w:t>:</w:t>
      </w:r>
    </w:p>
    <w:p w14:paraId="6BB89CEB" w14:textId="6EBCDBA6" w:rsidR="00D87E66" w:rsidRPr="00B0618E" w:rsidRDefault="00E327AF" w:rsidP="00F47AA9">
      <w:pPr>
        <w:pStyle w:val="BodyText"/>
        <w:numPr>
          <w:ilvl w:val="0"/>
          <w:numId w:val="19"/>
        </w:numPr>
      </w:pPr>
      <w:r w:rsidRPr="003D0C0D">
        <w:rPr>
          <w:b/>
        </w:rPr>
        <w:t>The</w:t>
      </w:r>
      <w:r w:rsidR="00D87E66" w:rsidRPr="003D0C0D">
        <w:rPr>
          <w:b/>
        </w:rPr>
        <w:t xml:space="preserve"> magnitude of maximum drawdown</w:t>
      </w:r>
      <w:r w:rsidRPr="00B0618E">
        <w:t xml:space="preserve"> </w:t>
      </w:r>
      <w:r w:rsidR="00D17021" w:rsidRPr="00B0618E">
        <w:t xml:space="preserve">in the Pilliga Sandstone aquifer </w:t>
      </w:r>
      <w:r w:rsidRPr="00B0618E">
        <w:t xml:space="preserve">was found to be most sensitive to the horizontal </w:t>
      </w:r>
      <w:r w:rsidR="00B23F0F" w:rsidRPr="00B0618E">
        <w:t>hydraulic conductivity (</w:t>
      </w:r>
      <w:r w:rsidRPr="00B0618E">
        <w:rPr>
          <w:i/>
        </w:rPr>
        <w:t>K</w:t>
      </w:r>
      <w:r w:rsidR="00B23F0F" w:rsidRPr="00B0618E">
        <w:rPr>
          <w:i/>
          <w:vertAlign w:val="subscript"/>
        </w:rPr>
        <w:t>H</w:t>
      </w:r>
      <w:r w:rsidR="00B23F0F" w:rsidRPr="00B0618E">
        <w:t xml:space="preserve">) </w:t>
      </w:r>
      <w:r w:rsidRPr="00B0618E">
        <w:t xml:space="preserve">of the </w:t>
      </w:r>
      <w:r w:rsidRPr="00B0618E">
        <w:rPr>
          <w:color w:val="auto"/>
        </w:rPr>
        <w:t>Namoi Alluvium aquifer</w:t>
      </w:r>
      <w:r w:rsidR="00D17021" w:rsidRPr="00B0618E">
        <w:rPr>
          <w:color w:val="auto"/>
        </w:rPr>
        <w:t xml:space="preserve"> </w:t>
      </w:r>
      <w:r w:rsidR="00156E23" w:rsidRPr="00B0618E">
        <w:rPr>
          <w:color w:val="auto"/>
        </w:rPr>
        <w:t xml:space="preserve">(both </w:t>
      </w:r>
      <w:r w:rsidR="008E5FF9">
        <w:rPr>
          <w:color w:val="auto"/>
        </w:rPr>
        <w:t>parameterisation approaches</w:t>
      </w:r>
      <w:r w:rsidR="00156E23" w:rsidRPr="00B0618E">
        <w:rPr>
          <w:color w:val="auto"/>
        </w:rPr>
        <w:t>)</w:t>
      </w:r>
      <w:r w:rsidR="00D17021" w:rsidRPr="00B0618E">
        <w:rPr>
          <w:color w:val="auto"/>
        </w:rPr>
        <w:t>;</w:t>
      </w:r>
    </w:p>
    <w:p w14:paraId="2468E6F2" w14:textId="6A9F3207" w:rsidR="00D87E66" w:rsidRPr="00B0618E" w:rsidRDefault="006536B1" w:rsidP="00F47AA9">
      <w:pPr>
        <w:pStyle w:val="BodyText"/>
        <w:numPr>
          <w:ilvl w:val="0"/>
          <w:numId w:val="19"/>
        </w:numPr>
      </w:pPr>
      <w:r w:rsidRPr="003D0C0D">
        <w:rPr>
          <w:b/>
        </w:rPr>
        <w:t>T</w:t>
      </w:r>
      <w:r w:rsidR="008E5FF9" w:rsidRPr="003D0C0D">
        <w:rPr>
          <w:b/>
        </w:rPr>
        <w:t>he t</w:t>
      </w:r>
      <w:r w:rsidRPr="003D0C0D">
        <w:rPr>
          <w:b/>
        </w:rPr>
        <w:t>iming of maximum drawdown</w:t>
      </w:r>
      <w:r w:rsidRPr="00B0618E">
        <w:t xml:space="preserve"> </w:t>
      </w:r>
      <w:r w:rsidR="00156E23" w:rsidRPr="00B0618E">
        <w:t xml:space="preserve">using the first </w:t>
      </w:r>
      <w:r w:rsidR="008E5FF9">
        <w:t>parameterisation</w:t>
      </w:r>
      <w:r w:rsidR="00156E23" w:rsidRPr="00B0618E">
        <w:t xml:space="preserve"> </w:t>
      </w:r>
      <w:r w:rsidRPr="00B0618E">
        <w:t xml:space="preserve">was found to be </w:t>
      </w:r>
      <w:r w:rsidR="00B47DED">
        <w:t>in</w:t>
      </w:r>
      <w:r w:rsidRPr="00B0618E">
        <w:t xml:space="preserve">sensitive to </w:t>
      </w:r>
      <w:r w:rsidR="00B47DED">
        <w:t>a</w:t>
      </w:r>
      <w:r w:rsidR="004C4379">
        <w:t>ll</w:t>
      </w:r>
      <w:r w:rsidR="00B47DED">
        <w:t xml:space="preserve"> parameter</w:t>
      </w:r>
      <w:r w:rsidR="004C4379">
        <w:t>s</w:t>
      </w:r>
      <w:r w:rsidR="00156E23" w:rsidRPr="00B0618E">
        <w:t xml:space="preserve">. For the second </w:t>
      </w:r>
      <w:r w:rsidR="008E5FF9">
        <w:t>parameterisation</w:t>
      </w:r>
      <w:r w:rsidR="00156E23" w:rsidRPr="00B0618E">
        <w:t xml:space="preserve">, </w:t>
      </w:r>
      <w:r w:rsidR="008E5FF9">
        <w:t xml:space="preserve">the </w:t>
      </w:r>
      <w:r w:rsidR="00156E23" w:rsidRPr="00B0618E">
        <w:t xml:space="preserve">timing of maximum drawdown was found to be most sensitive to </w:t>
      </w:r>
      <w:r w:rsidR="00156E23" w:rsidRPr="00B0618E">
        <w:rPr>
          <w:i/>
          <w:color w:val="auto"/>
        </w:rPr>
        <w:t>K</w:t>
      </w:r>
      <w:r w:rsidR="00156E23" w:rsidRPr="00B0618E">
        <w:rPr>
          <w:color w:val="auto"/>
          <w:vertAlign w:val="subscript"/>
        </w:rPr>
        <w:t>V</w:t>
      </w:r>
      <w:r w:rsidR="00156E23" w:rsidRPr="00B0618E">
        <w:t xml:space="preserve"> of the upper aquitard sequence and</w:t>
      </w:r>
      <w:r w:rsidR="008E5FF9">
        <w:t xml:space="preserve"> to the</w:t>
      </w:r>
      <w:r w:rsidR="00156E23" w:rsidRPr="00B0618E">
        <w:t xml:space="preserve"> </w:t>
      </w:r>
      <w:r w:rsidR="00156E23" w:rsidRPr="00B0618E">
        <w:rPr>
          <w:i/>
        </w:rPr>
        <w:t>K</w:t>
      </w:r>
      <w:r w:rsidR="00156E23" w:rsidRPr="00B0618E">
        <w:rPr>
          <w:i/>
          <w:vertAlign w:val="subscript"/>
        </w:rPr>
        <w:t>H</w:t>
      </w:r>
      <w:r w:rsidR="00156E23" w:rsidRPr="00B0618E">
        <w:t xml:space="preserve"> of the Namoi Alluvium</w:t>
      </w:r>
      <w:r w:rsidRPr="00B0618E">
        <w:t>;</w:t>
      </w:r>
    </w:p>
    <w:p w14:paraId="6770AA41" w14:textId="784F3219" w:rsidR="00D87E66" w:rsidRPr="00B0618E" w:rsidRDefault="006536B1" w:rsidP="00F47AA9">
      <w:pPr>
        <w:pStyle w:val="BodyText"/>
        <w:numPr>
          <w:ilvl w:val="0"/>
          <w:numId w:val="19"/>
        </w:numPr>
      </w:pPr>
      <w:r w:rsidRPr="003D0C0D">
        <w:rPr>
          <w:b/>
        </w:rPr>
        <w:t xml:space="preserve">The </w:t>
      </w:r>
      <w:r w:rsidR="00D87E66" w:rsidRPr="003D0C0D">
        <w:rPr>
          <w:b/>
        </w:rPr>
        <w:t>spatial extent of drawdown propagation</w:t>
      </w:r>
      <w:r w:rsidRPr="00B0618E">
        <w:t xml:space="preserve"> was found to be most sensitive to </w:t>
      </w:r>
      <w:r w:rsidR="00117477" w:rsidRPr="00B0618E">
        <w:rPr>
          <w:i/>
        </w:rPr>
        <w:t>K</w:t>
      </w:r>
      <w:r w:rsidR="00117477" w:rsidRPr="00B0618E">
        <w:rPr>
          <w:i/>
          <w:vertAlign w:val="subscript"/>
        </w:rPr>
        <w:t>H</w:t>
      </w:r>
      <w:r w:rsidR="00117477" w:rsidRPr="00B0618E">
        <w:t xml:space="preserve"> </w:t>
      </w:r>
      <w:r w:rsidRPr="00B0618E">
        <w:t xml:space="preserve">of the </w:t>
      </w:r>
      <w:r w:rsidRPr="00B0618E">
        <w:rPr>
          <w:color w:val="auto"/>
        </w:rPr>
        <w:t>Namoi Alluvium aquifer</w:t>
      </w:r>
      <w:r w:rsidR="00156E23" w:rsidRPr="00B0618E">
        <w:rPr>
          <w:color w:val="auto"/>
        </w:rPr>
        <w:t xml:space="preserve"> (both </w:t>
      </w:r>
      <w:r w:rsidR="008E5FF9">
        <w:rPr>
          <w:color w:val="auto"/>
        </w:rPr>
        <w:t>parameterisations</w:t>
      </w:r>
      <w:r w:rsidR="00156E23" w:rsidRPr="00B0618E">
        <w:rPr>
          <w:color w:val="auto"/>
        </w:rPr>
        <w:t>)</w:t>
      </w:r>
      <w:r w:rsidRPr="00B0618E">
        <w:rPr>
          <w:color w:val="auto"/>
        </w:rPr>
        <w:t>;</w:t>
      </w:r>
    </w:p>
    <w:p w14:paraId="68405F5F" w14:textId="25E4E69F" w:rsidR="00D87E66" w:rsidRPr="00B0618E" w:rsidRDefault="006536B1" w:rsidP="00F47AA9">
      <w:pPr>
        <w:pStyle w:val="BodyText"/>
        <w:numPr>
          <w:ilvl w:val="0"/>
          <w:numId w:val="19"/>
        </w:numPr>
      </w:pPr>
      <w:r w:rsidRPr="003D0C0D">
        <w:rPr>
          <w:b/>
        </w:rPr>
        <w:t>The</w:t>
      </w:r>
      <w:r w:rsidR="00D87E66" w:rsidRPr="003D0C0D">
        <w:rPr>
          <w:b/>
        </w:rPr>
        <w:t xml:space="preserve"> maximum vertical flux</w:t>
      </w:r>
      <w:r w:rsidRPr="003D0C0D">
        <w:rPr>
          <w:b/>
        </w:rPr>
        <w:t xml:space="preserve"> </w:t>
      </w:r>
      <w:r w:rsidR="00B23F0F" w:rsidRPr="003D0C0D">
        <w:rPr>
          <w:b/>
        </w:rPr>
        <w:t>across the base of the Pilliga Sandstone aquifer</w:t>
      </w:r>
      <w:r w:rsidR="00B23F0F" w:rsidRPr="00B0618E">
        <w:t xml:space="preserve"> </w:t>
      </w:r>
      <w:r w:rsidR="00156E23" w:rsidRPr="00B0618E">
        <w:t xml:space="preserve">using the first </w:t>
      </w:r>
      <w:r w:rsidR="008E5FF9">
        <w:t>parameterisation approach</w:t>
      </w:r>
      <w:r w:rsidR="00156E23" w:rsidRPr="00B0618E">
        <w:t xml:space="preserve"> </w:t>
      </w:r>
      <w:r w:rsidRPr="00B0618E">
        <w:t xml:space="preserve">was found to be most sensitive to </w:t>
      </w:r>
      <w:r w:rsidRPr="00B0618E">
        <w:rPr>
          <w:i/>
        </w:rPr>
        <w:t>K</w:t>
      </w:r>
      <w:r w:rsidR="00117477" w:rsidRPr="00B0618E">
        <w:rPr>
          <w:i/>
          <w:vertAlign w:val="subscript"/>
        </w:rPr>
        <w:t>V</w:t>
      </w:r>
      <w:r w:rsidRPr="00B0618E">
        <w:t xml:space="preserve"> of the upper aquitard sequence</w:t>
      </w:r>
      <w:r w:rsidR="00B23F0F" w:rsidRPr="00B0618E">
        <w:t>.</w:t>
      </w:r>
      <w:r w:rsidR="00156E23" w:rsidRPr="00B0618E">
        <w:t xml:space="preserve"> This was also foun</w:t>
      </w:r>
      <w:r w:rsidR="004C4379">
        <w:t xml:space="preserve">d true for the second </w:t>
      </w:r>
      <w:r w:rsidR="008E5FF9">
        <w:t>approach</w:t>
      </w:r>
      <w:r w:rsidR="00156E23" w:rsidRPr="00B0618E">
        <w:rPr>
          <w:color w:val="auto"/>
        </w:rPr>
        <w:t>.</w:t>
      </w:r>
    </w:p>
    <w:p w14:paraId="155D717E" w14:textId="0AF367BD" w:rsidR="008E5FF9" w:rsidRDefault="00782C21" w:rsidP="006E2379">
      <w:pPr>
        <w:pStyle w:val="BodyText"/>
        <w:rPr>
          <w:lang w:eastAsia="en-US"/>
        </w:rPr>
      </w:pPr>
      <w:r>
        <w:rPr>
          <w:color w:val="auto"/>
        </w:rPr>
        <w:t>T</w:t>
      </w:r>
      <w:r w:rsidR="003004B5">
        <w:rPr>
          <w:color w:val="auto"/>
        </w:rPr>
        <w:t>wo</w:t>
      </w:r>
      <w:r>
        <w:rPr>
          <w:color w:val="auto"/>
        </w:rPr>
        <w:t xml:space="preserve"> of the four impact metrics were </w:t>
      </w:r>
      <w:r w:rsidR="008E5FF9">
        <w:rPr>
          <w:color w:val="auto"/>
        </w:rPr>
        <w:t>found</w:t>
      </w:r>
      <w:r w:rsidR="00CC191A">
        <w:rPr>
          <w:color w:val="auto"/>
        </w:rPr>
        <w:t xml:space="preserve"> to be sensitive to t</w:t>
      </w:r>
      <w:r>
        <w:rPr>
          <w:color w:val="auto"/>
        </w:rPr>
        <w:t xml:space="preserve">he </w:t>
      </w:r>
      <w:r w:rsidRPr="00B0618E">
        <w:rPr>
          <w:i/>
        </w:rPr>
        <w:t>K</w:t>
      </w:r>
      <w:r w:rsidRPr="00B0618E">
        <w:rPr>
          <w:i/>
          <w:vertAlign w:val="subscript"/>
        </w:rPr>
        <w:t>V</w:t>
      </w:r>
      <w:r>
        <w:rPr>
          <w:color w:val="auto"/>
        </w:rPr>
        <w:t xml:space="preserve"> of the upper aquitard</w:t>
      </w:r>
      <w:r w:rsidR="003D0C0D">
        <w:rPr>
          <w:color w:val="auto"/>
        </w:rPr>
        <w:t xml:space="preserve"> sequence</w:t>
      </w:r>
      <w:r w:rsidR="00CC191A">
        <w:rPr>
          <w:color w:val="auto"/>
        </w:rPr>
        <w:t>; this is one of the two aquitard sequences that was</w:t>
      </w:r>
      <w:r>
        <w:rPr>
          <w:color w:val="auto"/>
        </w:rPr>
        <w:t xml:space="preserve"> </w:t>
      </w:r>
      <w:r w:rsidR="00CC191A">
        <w:rPr>
          <w:color w:val="auto"/>
        </w:rPr>
        <w:t>part of the site characterisation.</w:t>
      </w:r>
      <w:r>
        <w:rPr>
          <w:color w:val="auto"/>
        </w:rPr>
        <w:t xml:space="preserve"> </w:t>
      </w:r>
      <w:r w:rsidR="00143878">
        <w:rPr>
          <w:color w:val="auto"/>
        </w:rPr>
        <w:t>On the basis o</w:t>
      </w:r>
      <w:r w:rsidR="002A6F89">
        <w:rPr>
          <w:color w:val="auto"/>
        </w:rPr>
        <w:t>f</w:t>
      </w:r>
      <w:r w:rsidR="00143878">
        <w:rPr>
          <w:color w:val="auto"/>
        </w:rPr>
        <w:t xml:space="preserve"> t</w:t>
      </w:r>
      <w:r w:rsidR="00F80225" w:rsidRPr="00B0618E">
        <w:rPr>
          <w:color w:val="auto"/>
        </w:rPr>
        <w:t xml:space="preserve">he </w:t>
      </w:r>
      <w:r w:rsidR="00BC2211">
        <w:rPr>
          <w:color w:val="auto"/>
        </w:rPr>
        <w:t xml:space="preserve">subsequent </w:t>
      </w:r>
      <w:r w:rsidR="008E5FF9">
        <w:rPr>
          <w:color w:val="auto"/>
        </w:rPr>
        <w:t xml:space="preserve">prediction </w:t>
      </w:r>
      <w:r w:rsidR="00F80225" w:rsidRPr="00B0618E">
        <w:rPr>
          <w:color w:val="auto"/>
        </w:rPr>
        <w:t>uncertainty analysis</w:t>
      </w:r>
      <w:r w:rsidR="008E5FF9">
        <w:rPr>
          <w:color w:val="auto"/>
        </w:rPr>
        <w:t>,</w:t>
      </w:r>
      <w:r w:rsidR="00F80225" w:rsidRPr="00B0618E">
        <w:rPr>
          <w:color w:val="auto"/>
        </w:rPr>
        <w:t xml:space="preserve"> the uncertainty about the four </w:t>
      </w:r>
      <w:r w:rsidR="00A50E96" w:rsidRPr="00B0618E">
        <w:rPr>
          <w:color w:val="auto"/>
        </w:rPr>
        <w:t>groundwater impact metrics</w:t>
      </w:r>
      <w:r w:rsidR="00F80225" w:rsidRPr="00B0618E">
        <w:rPr>
          <w:color w:val="auto"/>
        </w:rPr>
        <w:t xml:space="preserve"> </w:t>
      </w:r>
      <w:r w:rsidR="00143878">
        <w:rPr>
          <w:color w:val="auto"/>
        </w:rPr>
        <w:t xml:space="preserve">was quantified </w:t>
      </w:r>
      <w:r w:rsidR="00F80225" w:rsidRPr="00B0618E">
        <w:rPr>
          <w:color w:val="auto"/>
        </w:rPr>
        <w:t xml:space="preserve">in terms of </w:t>
      </w:r>
      <w:r w:rsidR="0094269B" w:rsidRPr="00B0618E">
        <w:rPr>
          <w:color w:val="auto"/>
        </w:rPr>
        <w:t>cumulative distribution</w:t>
      </w:r>
      <w:r w:rsidR="00F80225" w:rsidRPr="00B0618E">
        <w:rPr>
          <w:color w:val="auto"/>
        </w:rPr>
        <w:t xml:space="preserve"> functions and </w:t>
      </w:r>
      <w:r w:rsidR="00A50E96" w:rsidRPr="00B0618E">
        <w:rPr>
          <w:color w:val="auto"/>
        </w:rPr>
        <w:t>their</w:t>
      </w:r>
      <w:r w:rsidR="00F80225" w:rsidRPr="00B0618E">
        <w:rPr>
          <w:color w:val="auto"/>
        </w:rPr>
        <w:t xml:space="preserve"> statistical attributes (</w:t>
      </w:r>
      <w:r w:rsidR="00A50E96" w:rsidRPr="00B0618E">
        <w:rPr>
          <w:color w:val="auto"/>
        </w:rPr>
        <w:t>i.e.</w:t>
      </w:r>
      <w:r w:rsidR="00F80225" w:rsidRPr="00B0618E">
        <w:rPr>
          <w:color w:val="auto"/>
        </w:rPr>
        <w:t xml:space="preserve"> percentiles). </w:t>
      </w:r>
      <w:r w:rsidR="00B14678" w:rsidRPr="00B0618E">
        <w:rPr>
          <w:lang w:eastAsia="en-US"/>
        </w:rPr>
        <w:t>For both aquitard sequences, the revised prior distributions of</w:t>
      </w:r>
      <w:r w:rsidR="00EC0DE7" w:rsidRPr="00B0618E">
        <w:rPr>
          <w:lang w:eastAsia="en-US"/>
        </w:rPr>
        <w:t xml:space="preserve"> upscaled</w:t>
      </w:r>
      <w:r w:rsidR="00B14678" w:rsidRPr="00B0618E">
        <w:rPr>
          <w:lang w:eastAsia="en-US"/>
        </w:rPr>
        <w:t xml:space="preserve"> </w:t>
      </w:r>
      <w:r w:rsidR="00B14678" w:rsidRPr="00B0618E">
        <w:rPr>
          <w:i/>
          <w:lang w:eastAsia="en-US"/>
        </w:rPr>
        <w:t>K</w:t>
      </w:r>
      <w:r w:rsidR="00B14678" w:rsidRPr="00B0618E">
        <w:rPr>
          <w:i/>
          <w:vertAlign w:val="subscript"/>
          <w:lang w:eastAsia="en-US"/>
        </w:rPr>
        <w:t>V</w:t>
      </w:r>
      <w:r w:rsidR="00B14678" w:rsidRPr="00B0618E">
        <w:rPr>
          <w:lang w:eastAsia="en-US"/>
        </w:rPr>
        <w:t xml:space="preserve"> </w:t>
      </w:r>
      <w:r w:rsidR="008B4BF7">
        <w:rPr>
          <w:lang w:eastAsia="en-US"/>
        </w:rPr>
        <w:t>were</w:t>
      </w:r>
      <w:r w:rsidR="008B4BF7" w:rsidRPr="00B0618E">
        <w:rPr>
          <w:lang w:eastAsia="en-US"/>
        </w:rPr>
        <w:t xml:space="preserve"> </w:t>
      </w:r>
      <w:r w:rsidR="00143878">
        <w:rPr>
          <w:lang w:eastAsia="en-US"/>
        </w:rPr>
        <w:t xml:space="preserve">found to be </w:t>
      </w:r>
      <w:r w:rsidR="00B14678" w:rsidRPr="00B0618E">
        <w:rPr>
          <w:lang w:eastAsia="en-US"/>
        </w:rPr>
        <w:t xml:space="preserve">two orders of magnitude larger </w:t>
      </w:r>
      <w:r w:rsidR="00E02C99">
        <w:rPr>
          <w:lang w:eastAsia="en-US"/>
        </w:rPr>
        <w:t>(i.e.</w:t>
      </w:r>
      <w:r w:rsidR="003D0C0D">
        <w:rPr>
          <w:lang w:eastAsia="en-US"/>
        </w:rPr>
        <w:t>,</w:t>
      </w:r>
      <w:r w:rsidR="00E02C99">
        <w:rPr>
          <w:lang w:eastAsia="en-US"/>
        </w:rPr>
        <w:t xml:space="preserve"> from log</w:t>
      </w:r>
      <w:r w:rsidR="00E02C99" w:rsidRPr="00E02C99">
        <w:rPr>
          <w:vertAlign w:val="subscript"/>
          <w:lang w:eastAsia="en-US"/>
        </w:rPr>
        <w:t>10</w:t>
      </w:r>
      <w:r w:rsidR="00E02C99">
        <w:rPr>
          <w:lang w:eastAsia="en-US"/>
        </w:rPr>
        <w:t xml:space="preserve"> </w:t>
      </w:r>
      <w:r w:rsidR="00E02C99" w:rsidRPr="00E02C99">
        <w:rPr>
          <w:i/>
          <w:lang w:eastAsia="en-US"/>
        </w:rPr>
        <w:t>K</w:t>
      </w:r>
      <w:r w:rsidR="00E02C99" w:rsidRPr="00E02C99">
        <w:rPr>
          <w:vertAlign w:val="subscript"/>
          <w:lang w:eastAsia="en-US"/>
        </w:rPr>
        <w:t>V</w:t>
      </w:r>
      <w:r w:rsidR="00E02C99">
        <w:rPr>
          <w:lang w:eastAsia="en-US"/>
        </w:rPr>
        <w:t xml:space="preserve"> -</w:t>
      </w:r>
      <w:r w:rsidR="00994828">
        <w:rPr>
          <w:lang w:eastAsia="en-US"/>
        </w:rPr>
        <w:t>6.</w:t>
      </w:r>
      <w:r w:rsidR="00E02C99">
        <w:rPr>
          <w:lang w:eastAsia="en-US"/>
        </w:rPr>
        <w:t>7 to -3</w:t>
      </w:r>
      <w:r w:rsidR="00994828">
        <w:rPr>
          <w:lang w:eastAsia="en-US"/>
        </w:rPr>
        <w:t xml:space="preserve">.2 </w:t>
      </w:r>
      <w:r w:rsidR="008E5FF9">
        <w:rPr>
          <w:lang w:eastAsia="en-US"/>
        </w:rPr>
        <w:t xml:space="preserve">m/d </w:t>
      </w:r>
      <w:r w:rsidR="00994828">
        <w:rPr>
          <w:lang w:eastAsia="en-US"/>
        </w:rPr>
        <w:t>for the upper aquitard sequence and from log</w:t>
      </w:r>
      <w:r w:rsidR="00994828" w:rsidRPr="00E02C99">
        <w:rPr>
          <w:vertAlign w:val="subscript"/>
          <w:lang w:eastAsia="en-US"/>
        </w:rPr>
        <w:t>10</w:t>
      </w:r>
      <w:r w:rsidR="00994828">
        <w:rPr>
          <w:lang w:eastAsia="en-US"/>
        </w:rPr>
        <w:t xml:space="preserve"> </w:t>
      </w:r>
      <w:r w:rsidR="00994828" w:rsidRPr="00E02C99">
        <w:rPr>
          <w:i/>
          <w:lang w:eastAsia="en-US"/>
        </w:rPr>
        <w:t>K</w:t>
      </w:r>
      <w:r w:rsidR="00994828" w:rsidRPr="00E02C99">
        <w:rPr>
          <w:vertAlign w:val="subscript"/>
          <w:lang w:eastAsia="en-US"/>
        </w:rPr>
        <w:t>V</w:t>
      </w:r>
      <w:r w:rsidR="00994828">
        <w:rPr>
          <w:lang w:eastAsia="en-US"/>
        </w:rPr>
        <w:t xml:space="preserve"> -7.5 to -3.1 </w:t>
      </w:r>
      <w:r w:rsidR="008E5FF9">
        <w:rPr>
          <w:lang w:eastAsia="en-US"/>
        </w:rPr>
        <w:t xml:space="preserve">m/d </w:t>
      </w:r>
      <w:r w:rsidR="00994828">
        <w:rPr>
          <w:lang w:eastAsia="en-US"/>
        </w:rPr>
        <w:t>for the lower aquitard sequence</w:t>
      </w:r>
      <w:r w:rsidR="00E02C99">
        <w:rPr>
          <w:lang w:eastAsia="en-US"/>
        </w:rPr>
        <w:t xml:space="preserve">) </w:t>
      </w:r>
      <w:r w:rsidR="00B14678" w:rsidRPr="00B0618E">
        <w:rPr>
          <w:lang w:eastAsia="en-US"/>
        </w:rPr>
        <w:t xml:space="preserve">than the </w:t>
      </w:r>
      <w:r w:rsidR="00DE225B">
        <w:rPr>
          <w:lang w:eastAsia="en-US"/>
        </w:rPr>
        <w:t xml:space="preserve">expert </w:t>
      </w:r>
      <w:r w:rsidR="008B4BF7">
        <w:rPr>
          <w:lang w:eastAsia="en-US"/>
        </w:rPr>
        <w:t>opinion</w:t>
      </w:r>
      <w:r w:rsidR="00DE225B">
        <w:rPr>
          <w:lang w:eastAsia="en-US"/>
        </w:rPr>
        <w:t xml:space="preserve">-based </w:t>
      </w:r>
      <w:r w:rsidR="00B14678" w:rsidRPr="00B0618E">
        <w:rPr>
          <w:lang w:eastAsia="en-US"/>
        </w:rPr>
        <w:t xml:space="preserve">distributions assumed for the </w:t>
      </w:r>
      <w:r w:rsidR="00143878" w:rsidRPr="00B0618E">
        <w:rPr>
          <w:lang w:eastAsia="en-US"/>
        </w:rPr>
        <w:t>sensitivity analys</w:t>
      </w:r>
      <w:r w:rsidR="00143878">
        <w:rPr>
          <w:lang w:eastAsia="en-US"/>
        </w:rPr>
        <w:t>is</w:t>
      </w:r>
      <w:r w:rsidR="00143878" w:rsidRPr="00B0618E">
        <w:rPr>
          <w:lang w:eastAsia="en-US"/>
        </w:rPr>
        <w:t xml:space="preserve"> </w:t>
      </w:r>
      <w:r w:rsidR="00143878">
        <w:rPr>
          <w:lang w:eastAsia="en-US"/>
        </w:rPr>
        <w:t xml:space="preserve">with the </w:t>
      </w:r>
      <w:r w:rsidR="00B14678" w:rsidRPr="00B0618E">
        <w:rPr>
          <w:lang w:eastAsia="en-US"/>
        </w:rPr>
        <w:t>initial</w:t>
      </w:r>
      <w:r w:rsidR="00143878">
        <w:rPr>
          <w:lang w:eastAsia="en-US"/>
        </w:rPr>
        <w:t xml:space="preserve"> parameter distributions</w:t>
      </w:r>
      <w:r w:rsidR="00E02C99">
        <w:rPr>
          <w:lang w:eastAsia="en-US"/>
        </w:rPr>
        <w:t xml:space="preserve"> (i.e.</w:t>
      </w:r>
      <w:r w:rsidR="003D0C0D">
        <w:rPr>
          <w:lang w:eastAsia="en-US"/>
        </w:rPr>
        <w:t>,</w:t>
      </w:r>
      <w:r w:rsidR="00E02C99">
        <w:rPr>
          <w:lang w:eastAsia="en-US"/>
        </w:rPr>
        <w:t xml:space="preserve"> from log</w:t>
      </w:r>
      <w:r w:rsidR="00E02C99" w:rsidRPr="00E02C99">
        <w:rPr>
          <w:vertAlign w:val="subscript"/>
          <w:lang w:eastAsia="en-US"/>
        </w:rPr>
        <w:t>10</w:t>
      </w:r>
      <w:r w:rsidR="00E02C99">
        <w:rPr>
          <w:lang w:eastAsia="en-US"/>
        </w:rPr>
        <w:t xml:space="preserve"> </w:t>
      </w:r>
      <w:r w:rsidR="00E02C99" w:rsidRPr="00E02C99">
        <w:rPr>
          <w:i/>
          <w:lang w:eastAsia="en-US"/>
        </w:rPr>
        <w:t>K</w:t>
      </w:r>
      <w:r w:rsidR="00E02C99" w:rsidRPr="00E02C99">
        <w:rPr>
          <w:vertAlign w:val="subscript"/>
          <w:lang w:eastAsia="en-US"/>
        </w:rPr>
        <w:t>V</w:t>
      </w:r>
      <w:r w:rsidR="00E02C99">
        <w:rPr>
          <w:lang w:eastAsia="en-US"/>
        </w:rPr>
        <w:t xml:space="preserve"> -6</w:t>
      </w:r>
      <w:r w:rsidR="008E5FF9">
        <w:rPr>
          <w:lang w:eastAsia="en-US"/>
        </w:rPr>
        <w:t>.0</w:t>
      </w:r>
      <w:r w:rsidR="00E02C99">
        <w:rPr>
          <w:lang w:eastAsia="en-US"/>
        </w:rPr>
        <w:t xml:space="preserve"> to -4</w:t>
      </w:r>
      <w:r w:rsidR="008E5FF9">
        <w:rPr>
          <w:lang w:eastAsia="en-US"/>
        </w:rPr>
        <w:t>.0 m/d</w:t>
      </w:r>
      <w:r w:rsidR="00994828">
        <w:rPr>
          <w:lang w:eastAsia="en-US"/>
        </w:rPr>
        <w:t xml:space="preserve"> for both aquitard sequences</w:t>
      </w:r>
      <w:r w:rsidR="00E02C99">
        <w:rPr>
          <w:lang w:eastAsia="en-US"/>
        </w:rPr>
        <w:t>)</w:t>
      </w:r>
      <w:r w:rsidR="00B14678" w:rsidRPr="00B0618E">
        <w:rPr>
          <w:lang w:eastAsia="en-US"/>
        </w:rPr>
        <w:t>.</w:t>
      </w:r>
      <w:r w:rsidR="00994828">
        <w:rPr>
          <w:lang w:eastAsia="en-US"/>
        </w:rPr>
        <w:t xml:space="preserve"> </w:t>
      </w:r>
    </w:p>
    <w:p w14:paraId="74FD788C" w14:textId="1D3DCCC8" w:rsidR="00F80225" w:rsidRDefault="0094269B" w:rsidP="006E2379">
      <w:pPr>
        <w:pStyle w:val="BodyText"/>
      </w:pPr>
      <w:r w:rsidRPr="00B0618E">
        <w:rPr>
          <w:lang w:eastAsia="en-US"/>
        </w:rPr>
        <w:t>Furthermore,</w:t>
      </w:r>
      <w:r w:rsidR="00B14678" w:rsidRPr="00B0618E">
        <w:rPr>
          <w:lang w:eastAsia="en-US"/>
        </w:rPr>
        <w:t xml:space="preserve"> </w:t>
      </w:r>
      <w:r w:rsidR="008E5FF9">
        <w:rPr>
          <w:lang w:eastAsia="en-US"/>
        </w:rPr>
        <w:t>in the first (</w:t>
      </w:r>
      <w:r w:rsidR="00143878">
        <w:rPr>
          <w:lang w:eastAsia="en-US"/>
        </w:rPr>
        <w:t>initial</w:t>
      </w:r>
      <w:r w:rsidR="008E5FF9">
        <w:rPr>
          <w:lang w:eastAsia="en-US"/>
        </w:rPr>
        <w:t>)</w:t>
      </w:r>
      <w:r w:rsidR="00143878">
        <w:rPr>
          <w:lang w:eastAsia="en-US"/>
        </w:rPr>
        <w:t xml:space="preserve"> parameter</w:t>
      </w:r>
      <w:r w:rsidR="008E5FF9">
        <w:rPr>
          <w:lang w:eastAsia="en-US"/>
        </w:rPr>
        <w:t>isation approach</w:t>
      </w:r>
      <w:r w:rsidR="00143878">
        <w:rPr>
          <w:lang w:eastAsia="en-US"/>
        </w:rPr>
        <w:t xml:space="preserve"> </w:t>
      </w:r>
      <w:r w:rsidR="008E5FF9">
        <w:rPr>
          <w:lang w:eastAsia="en-US"/>
        </w:rPr>
        <w:t xml:space="preserve">the parameters </w:t>
      </w:r>
      <w:r w:rsidR="00143878">
        <w:rPr>
          <w:lang w:eastAsia="en-US"/>
        </w:rPr>
        <w:t>were</w:t>
      </w:r>
      <w:r w:rsidR="00B14678" w:rsidRPr="00B0618E">
        <w:rPr>
          <w:lang w:eastAsia="en-US"/>
        </w:rPr>
        <w:t xml:space="preserve"> </w:t>
      </w:r>
      <w:r w:rsidR="00E02C99">
        <w:rPr>
          <w:lang w:eastAsia="en-US"/>
        </w:rPr>
        <w:t xml:space="preserve">described </w:t>
      </w:r>
      <w:r w:rsidR="008E5FF9">
        <w:rPr>
          <w:lang w:eastAsia="en-US"/>
        </w:rPr>
        <w:t>using</w:t>
      </w:r>
      <w:r w:rsidR="00E02C99">
        <w:rPr>
          <w:lang w:eastAsia="en-US"/>
        </w:rPr>
        <w:t xml:space="preserve"> </w:t>
      </w:r>
      <w:r w:rsidR="00156E23" w:rsidRPr="00B0618E">
        <w:rPr>
          <w:lang w:eastAsia="en-US"/>
        </w:rPr>
        <w:t>log-</w:t>
      </w:r>
      <w:r w:rsidR="00B14678" w:rsidRPr="00B0618E">
        <w:rPr>
          <w:lang w:eastAsia="en-US"/>
        </w:rPr>
        <w:t>uniform prior distribution</w:t>
      </w:r>
      <w:r w:rsidR="008E5FF9">
        <w:rPr>
          <w:lang w:eastAsia="en-US"/>
        </w:rPr>
        <w:t>s</w:t>
      </w:r>
      <w:r w:rsidR="00BC2211">
        <w:rPr>
          <w:lang w:eastAsia="en-US"/>
        </w:rPr>
        <w:t xml:space="preserve"> due to </w:t>
      </w:r>
      <w:r w:rsidR="003D0C0D">
        <w:rPr>
          <w:lang w:eastAsia="en-US"/>
        </w:rPr>
        <w:t xml:space="preserve">a paucity </w:t>
      </w:r>
      <w:r w:rsidR="00BC2211">
        <w:rPr>
          <w:lang w:eastAsia="en-US"/>
        </w:rPr>
        <w:t>of data</w:t>
      </w:r>
      <w:r w:rsidR="008E5FF9">
        <w:rPr>
          <w:lang w:eastAsia="en-US"/>
        </w:rPr>
        <w:t>. Conversely</w:t>
      </w:r>
      <w:r w:rsidR="00E02C99">
        <w:rPr>
          <w:lang w:eastAsia="en-US"/>
        </w:rPr>
        <w:t>,</w:t>
      </w:r>
      <w:r w:rsidR="00B14678" w:rsidRPr="00B0618E">
        <w:rPr>
          <w:lang w:eastAsia="en-US"/>
        </w:rPr>
        <w:t xml:space="preserve"> </w:t>
      </w:r>
      <w:r w:rsidR="008E5FF9">
        <w:rPr>
          <w:lang w:eastAsia="en-US"/>
        </w:rPr>
        <w:t xml:space="preserve">in </w:t>
      </w:r>
      <w:r w:rsidR="00E02C99">
        <w:rPr>
          <w:lang w:eastAsia="en-US"/>
        </w:rPr>
        <w:t xml:space="preserve">the </w:t>
      </w:r>
      <w:r w:rsidR="008E5FF9">
        <w:rPr>
          <w:lang w:eastAsia="en-US"/>
        </w:rPr>
        <w:t>second (</w:t>
      </w:r>
      <w:r w:rsidR="00E02C99">
        <w:rPr>
          <w:lang w:eastAsia="en-US"/>
        </w:rPr>
        <w:t>revised</w:t>
      </w:r>
      <w:r w:rsidR="008E5FF9">
        <w:rPr>
          <w:lang w:eastAsia="en-US"/>
        </w:rPr>
        <w:t>)</w:t>
      </w:r>
      <w:r w:rsidR="00E02C99">
        <w:rPr>
          <w:lang w:eastAsia="en-US"/>
        </w:rPr>
        <w:t xml:space="preserve"> </w:t>
      </w:r>
      <w:r w:rsidR="008E5FF9">
        <w:rPr>
          <w:lang w:eastAsia="en-US"/>
        </w:rPr>
        <w:t xml:space="preserve">parameterisation approach, parameters were characterised using unimodal </w:t>
      </w:r>
      <w:r w:rsidR="00156E23" w:rsidRPr="00B0618E">
        <w:rPr>
          <w:lang w:eastAsia="en-US"/>
        </w:rPr>
        <w:t>log-</w:t>
      </w:r>
      <w:r w:rsidR="00B14678" w:rsidRPr="00B0618E">
        <w:rPr>
          <w:lang w:eastAsia="en-US"/>
        </w:rPr>
        <w:t>triangular distribution</w:t>
      </w:r>
      <w:r w:rsidR="008E5FF9">
        <w:rPr>
          <w:lang w:eastAsia="en-US"/>
        </w:rPr>
        <w:t>s</w:t>
      </w:r>
      <w:r w:rsidR="00B14678" w:rsidRPr="00B0618E">
        <w:rPr>
          <w:lang w:eastAsia="en-US"/>
        </w:rPr>
        <w:t>.</w:t>
      </w:r>
      <w:r w:rsidR="00F80225" w:rsidRPr="00B0618E">
        <w:t xml:space="preserve"> </w:t>
      </w:r>
      <w:r w:rsidR="008E5FF9">
        <w:t>This represented a change from “uninformative” prior distributions, in which all values with a specified range were considered equally likely, to prior distributions in which a particular value (e.g., mode) was considered most likely.</w:t>
      </w:r>
    </w:p>
    <w:p w14:paraId="10080414" w14:textId="25AFC95F" w:rsidR="00AD0F1C" w:rsidRDefault="00AD0F1C" w:rsidP="006E2379">
      <w:pPr>
        <w:pStyle w:val="BodyText"/>
      </w:pPr>
      <w:r>
        <w:t xml:space="preserve">Redefining the </w:t>
      </w:r>
      <w:r w:rsidR="008B4BF7">
        <w:t xml:space="preserve">first </w:t>
      </w:r>
      <w:r>
        <w:t>parameter distribution was</w:t>
      </w:r>
      <w:r w:rsidRPr="00B0618E">
        <w:t xml:space="preserve"> based on a combination of field and lab-based data</w:t>
      </w:r>
      <w:r w:rsidR="003D0C0D">
        <w:t>.</w:t>
      </w:r>
      <w:r w:rsidRPr="00B0618E">
        <w:t xml:space="preserve"> </w:t>
      </w:r>
      <w:r w:rsidR="003D0C0D" w:rsidRPr="003D0C0D">
        <w:t xml:space="preserve">The spatial density of data was relatively higher in the area anticipated to feature greatest impact upon the four specified groundwater impact metrics. </w:t>
      </w:r>
      <w:r w:rsidR="00D430B1">
        <w:t>T</w:t>
      </w:r>
      <w:r w:rsidRPr="00B0618E">
        <w:t xml:space="preserve">he </w:t>
      </w:r>
      <w:r w:rsidR="00D53731">
        <w:t xml:space="preserve">aquitard </w:t>
      </w:r>
      <w:r w:rsidRPr="00B0618E">
        <w:t xml:space="preserve">characterisation </w:t>
      </w:r>
      <w:r w:rsidR="00D53731">
        <w:t xml:space="preserve">presented here </w:t>
      </w:r>
      <w:r w:rsidR="00D430B1">
        <w:t>highlighted that initial prior estimate</w:t>
      </w:r>
      <w:r w:rsidR="00D53731">
        <w:t>s</w:t>
      </w:r>
      <w:r w:rsidR="00D430B1">
        <w:t xml:space="preserve"> of </w:t>
      </w:r>
      <w:r w:rsidR="00D430B1" w:rsidRPr="00B0618E">
        <w:rPr>
          <w:i/>
        </w:rPr>
        <w:t>K</w:t>
      </w:r>
      <w:r w:rsidR="00D430B1" w:rsidRPr="00B0618E">
        <w:rPr>
          <w:vertAlign w:val="subscript"/>
        </w:rPr>
        <w:t>V</w:t>
      </w:r>
      <w:r w:rsidR="00D430B1" w:rsidRPr="00B0618E">
        <w:t xml:space="preserve"> </w:t>
      </w:r>
      <w:r w:rsidR="00D430B1">
        <w:t>parameter range</w:t>
      </w:r>
      <w:r w:rsidR="00D53731">
        <w:t>s</w:t>
      </w:r>
      <w:r w:rsidR="00D430B1">
        <w:t xml:space="preserve">, </w:t>
      </w:r>
      <w:r w:rsidR="00D53731">
        <w:t xml:space="preserve">as </w:t>
      </w:r>
      <w:r w:rsidR="00D430B1">
        <w:t xml:space="preserve">based on expert opinion and international literature, </w:t>
      </w:r>
      <w:r w:rsidR="00D53731">
        <w:t>may often be</w:t>
      </w:r>
      <w:r w:rsidR="00D430B1">
        <w:t xml:space="preserve"> too narrow</w:t>
      </w:r>
      <w:r w:rsidR="00D53731">
        <w:t xml:space="preserve"> (i.e., too small)</w:t>
      </w:r>
      <w:r w:rsidR="00D430B1">
        <w:t xml:space="preserve">. </w:t>
      </w:r>
      <w:r w:rsidRPr="00B0618E">
        <w:t xml:space="preserve"> </w:t>
      </w:r>
      <w:r w:rsidR="008A6F9D">
        <w:t>This underscore</w:t>
      </w:r>
      <w:r w:rsidR="00D53731">
        <w:t>d</w:t>
      </w:r>
      <w:r w:rsidR="008A6F9D">
        <w:t xml:space="preserve"> the need</w:t>
      </w:r>
      <w:r w:rsidR="00D53731">
        <w:t>, more broadly,</w:t>
      </w:r>
      <w:r w:rsidR="008A6F9D">
        <w:t xml:space="preserve"> to improve </w:t>
      </w:r>
      <w:r w:rsidR="00D53731">
        <w:t>the</w:t>
      </w:r>
      <w:r w:rsidR="008A6F9D">
        <w:t xml:space="preserve"> characterisation of hydrogeologic parameters</w:t>
      </w:r>
      <w:r w:rsidRPr="00B0618E">
        <w:t xml:space="preserve"> </w:t>
      </w:r>
      <w:r w:rsidR="00D53731">
        <w:t xml:space="preserve">in order </w:t>
      </w:r>
      <w:r w:rsidR="008A6F9D">
        <w:t>to reduce predictive uncertainty to level</w:t>
      </w:r>
      <w:r w:rsidR="00D53731">
        <w:t>s</w:t>
      </w:r>
      <w:r w:rsidR="008A6F9D">
        <w:t xml:space="preserve"> that both the modelling community and </w:t>
      </w:r>
      <w:r w:rsidR="003D0C0D">
        <w:t xml:space="preserve">water resource </w:t>
      </w:r>
      <w:r w:rsidR="008A6F9D">
        <w:t>regulators are comfortable with.</w:t>
      </w:r>
      <w:r w:rsidR="00667ADA">
        <w:t xml:space="preserve"> Building r</w:t>
      </w:r>
      <w:r w:rsidR="00D53731">
        <w:t>obust</w:t>
      </w:r>
      <w:r w:rsidR="00667ADA">
        <w:t xml:space="preserve"> groundwater models is an iterative process </w:t>
      </w:r>
      <w:r w:rsidR="00D53731">
        <w:t>in which</w:t>
      </w:r>
      <w:r w:rsidR="00667ADA">
        <w:t xml:space="preserve"> uncertainties </w:t>
      </w:r>
      <w:r w:rsidR="00D53731">
        <w:t xml:space="preserve">associated with </w:t>
      </w:r>
      <w:r w:rsidR="00667ADA">
        <w:t xml:space="preserve">parameters and model </w:t>
      </w:r>
      <w:r w:rsidR="00D53731">
        <w:t>structure</w:t>
      </w:r>
      <w:r w:rsidR="00667ADA">
        <w:t xml:space="preserve"> </w:t>
      </w:r>
      <w:r w:rsidR="00D53731">
        <w:t>can be</w:t>
      </w:r>
      <w:r w:rsidR="00667ADA">
        <w:t xml:space="preserve"> </w:t>
      </w:r>
      <w:r w:rsidR="00D53731">
        <w:t xml:space="preserve">identified and quantified through sensitivity and uncertainty analyses, and </w:t>
      </w:r>
      <w:r w:rsidR="00667ADA">
        <w:t xml:space="preserve">reduced progressively through data collection. </w:t>
      </w:r>
    </w:p>
    <w:p w14:paraId="5C4A6644" w14:textId="0851EDFB" w:rsidR="00EC0DE7" w:rsidRPr="00B0618E" w:rsidRDefault="00D430B1" w:rsidP="006E2379">
      <w:pPr>
        <w:pStyle w:val="BodyText"/>
        <w:rPr>
          <w:color w:val="auto"/>
        </w:rPr>
      </w:pPr>
      <w:r>
        <w:rPr>
          <w:color w:val="auto"/>
        </w:rPr>
        <w:t>Despite the wider range</w:t>
      </w:r>
      <w:r w:rsidR="00310F32">
        <w:rPr>
          <w:color w:val="auto"/>
        </w:rPr>
        <w:t>s</w:t>
      </w:r>
      <w:r>
        <w:rPr>
          <w:color w:val="auto"/>
        </w:rPr>
        <w:t xml:space="preserve"> of</w:t>
      </w:r>
      <w:r w:rsidR="00310F32">
        <w:rPr>
          <w:color w:val="auto"/>
        </w:rPr>
        <w:t xml:space="preserve"> aquitard</w:t>
      </w:r>
      <w:r>
        <w:rPr>
          <w:color w:val="auto"/>
        </w:rPr>
        <w:t xml:space="preserve"> </w:t>
      </w:r>
      <w:r w:rsidRPr="00B0618E">
        <w:rPr>
          <w:i/>
        </w:rPr>
        <w:t>K</w:t>
      </w:r>
      <w:r w:rsidRPr="00B0618E">
        <w:rPr>
          <w:vertAlign w:val="subscript"/>
        </w:rPr>
        <w:t>V</w:t>
      </w:r>
      <w:r w:rsidR="00EE65E8">
        <w:rPr>
          <w:color w:val="auto"/>
        </w:rPr>
        <w:t xml:space="preserve"> </w:t>
      </w:r>
      <w:r w:rsidR="00310F32">
        <w:rPr>
          <w:color w:val="auto"/>
        </w:rPr>
        <w:t xml:space="preserve">values used </w:t>
      </w:r>
      <w:r w:rsidR="00EE65E8">
        <w:rPr>
          <w:color w:val="auto"/>
        </w:rPr>
        <w:t xml:space="preserve">in the second </w:t>
      </w:r>
      <w:r w:rsidR="00310F32">
        <w:rPr>
          <w:color w:val="auto"/>
        </w:rPr>
        <w:t>parameterisation approach,</w:t>
      </w:r>
      <w:r w:rsidR="00EE65E8">
        <w:rPr>
          <w:color w:val="auto"/>
        </w:rPr>
        <w:t xml:space="preserve"> c</w:t>
      </w:r>
      <w:r w:rsidR="00A50E96" w:rsidRPr="00B0618E">
        <w:rPr>
          <w:color w:val="auto"/>
        </w:rPr>
        <w:t>omparison</w:t>
      </w:r>
      <w:r w:rsidR="00310F32">
        <w:rPr>
          <w:color w:val="auto"/>
        </w:rPr>
        <w:t xml:space="preserve">s between prediction </w:t>
      </w:r>
      <w:r w:rsidR="00A50E96" w:rsidRPr="00B0618E">
        <w:rPr>
          <w:color w:val="auto"/>
        </w:rPr>
        <w:t>u</w:t>
      </w:r>
      <w:r w:rsidR="00FF7BA7" w:rsidRPr="00B0618E">
        <w:rPr>
          <w:color w:val="auto"/>
        </w:rPr>
        <w:t>ncertainty analys</w:t>
      </w:r>
      <w:r w:rsidR="0070653A" w:rsidRPr="00B0618E">
        <w:rPr>
          <w:color w:val="auto"/>
        </w:rPr>
        <w:t>e</w:t>
      </w:r>
      <w:r w:rsidR="00FF7BA7" w:rsidRPr="00B0618E">
        <w:rPr>
          <w:color w:val="auto"/>
        </w:rPr>
        <w:t xml:space="preserve">s based on the </w:t>
      </w:r>
      <w:r w:rsidR="00A50E96" w:rsidRPr="00B0618E">
        <w:rPr>
          <w:color w:val="auto"/>
        </w:rPr>
        <w:t xml:space="preserve">first </w:t>
      </w:r>
      <w:r w:rsidR="00310F32">
        <w:rPr>
          <w:color w:val="auto"/>
        </w:rPr>
        <w:t xml:space="preserve">(initial) </w:t>
      </w:r>
      <w:r w:rsidR="00A50E96" w:rsidRPr="00B0618E">
        <w:rPr>
          <w:color w:val="auto"/>
        </w:rPr>
        <w:t xml:space="preserve">data set and </w:t>
      </w:r>
      <w:r w:rsidR="00310F32">
        <w:rPr>
          <w:color w:val="auto"/>
        </w:rPr>
        <w:t>second (revised)</w:t>
      </w:r>
      <w:r w:rsidR="00FF7BA7" w:rsidRPr="00B0618E">
        <w:rPr>
          <w:color w:val="auto"/>
        </w:rPr>
        <w:t xml:space="preserve"> parameter</w:t>
      </w:r>
      <w:r w:rsidR="0026726A">
        <w:rPr>
          <w:color w:val="auto"/>
        </w:rPr>
        <w:t>isations</w:t>
      </w:r>
      <w:r w:rsidR="002A6F89">
        <w:rPr>
          <w:color w:val="auto"/>
        </w:rPr>
        <w:t xml:space="preserve"> revealed that the groundwater impact metrics </w:t>
      </w:r>
      <w:r w:rsidR="0026726A">
        <w:rPr>
          <w:color w:val="auto"/>
        </w:rPr>
        <w:t>assessed</w:t>
      </w:r>
      <w:r w:rsidR="002A6F89">
        <w:rPr>
          <w:color w:val="auto"/>
        </w:rPr>
        <w:t xml:space="preserve"> here were only minimally affected by improving the characterisation of </w:t>
      </w:r>
      <w:r w:rsidR="00BC2211">
        <w:rPr>
          <w:color w:val="auto"/>
        </w:rPr>
        <w:t xml:space="preserve">aquitard </w:t>
      </w:r>
      <w:r w:rsidR="0026726A">
        <w:rPr>
          <w:color w:val="auto"/>
        </w:rPr>
        <w:t xml:space="preserve">vertical </w:t>
      </w:r>
      <w:r w:rsidR="002A6F89">
        <w:rPr>
          <w:color w:val="auto"/>
        </w:rPr>
        <w:t>hydraulic conductivity.</w:t>
      </w:r>
      <w:r w:rsidR="00A50E96" w:rsidRPr="00B0618E">
        <w:rPr>
          <w:color w:val="auto"/>
        </w:rPr>
        <w:t xml:space="preserve"> </w:t>
      </w:r>
      <w:r w:rsidR="002A6F89">
        <w:rPr>
          <w:color w:val="auto"/>
        </w:rPr>
        <w:t xml:space="preserve">Specifically, the analysis </w:t>
      </w:r>
      <w:r w:rsidR="00FF7BA7" w:rsidRPr="00B0618E">
        <w:rPr>
          <w:color w:val="auto"/>
        </w:rPr>
        <w:t>yielded the following results</w:t>
      </w:r>
      <w:r w:rsidR="002368B4" w:rsidRPr="00B0618E">
        <w:rPr>
          <w:color w:val="auto"/>
        </w:rPr>
        <w:t>, based on 300 realisations</w:t>
      </w:r>
      <w:r w:rsidR="0070653A" w:rsidRPr="00B0618E">
        <w:rPr>
          <w:color w:val="auto"/>
        </w:rPr>
        <w:t xml:space="preserve"> </w:t>
      </w:r>
      <w:r w:rsidR="0026726A">
        <w:rPr>
          <w:color w:val="auto"/>
        </w:rPr>
        <w:t xml:space="preserve">per analysis </w:t>
      </w:r>
      <w:r w:rsidR="0070653A" w:rsidRPr="00B0618E">
        <w:rPr>
          <w:color w:val="auto"/>
        </w:rPr>
        <w:t xml:space="preserve">(values are given for </w:t>
      </w:r>
      <w:r w:rsidR="0026726A">
        <w:rPr>
          <w:color w:val="auto"/>
        </w:rPr>
        <w:t xml:space="preserve">the </w:t>
      </w:r>
      <w:r w:rsidR="0070653A" w:rsidRPr="00B0618E">
        <w:rPr>
          <w:color w:val="auto"/>
        </w:rPr>
        <w:t>initial parameter</w:t>
      </w:r>
      <w:r w:rsidR="0026726A">
        <w:rPr>
          <w:color w:val="auto"/>
        </w:rPr>
        <w:t>isation</w:t>
      </w:r>
      <w:r w:rsidR="0070653A" w:rsidRPr="00B0618E">
        <w:rPr>
          <w:color w:val="auto"/>
        </w:rPr>
        <w:t xml:space="preserve"> first, then for </w:t>
      </w:r>
      <w:r w:rsidR="0026726A">
        <w:rPr>
          <w:color w:val="auto"/>
        </w:rPr>
        <w:t xml:space="preserve">the revised </w:t>
      </w:r>
      <w:r w:rsidR="0070653A" w:rsidRPr="00B0618E">
        <w:rPr>
          <w:color w:val="auto"/>
        </w:rPr>
        <w:t>parameter</w:t>
      </w:r>
      <w:r w:rsidR="0026726A">
        <w:rPr>
          <w:color w:val="auto"/>
        </w:rPr>
        <w:t>i</w:t>
      </w:r>
      <w:r w:rsidR="0070653A" w:rsidRPr="00B0618E">
        <w:rPr>
          <w:color w:val="auto"/>
        </w:rPr>
        <w:t>s</w:t>
      </w:r>
      <w:r w:rsidR="0026726A">
        <w:rPr>
          <w:color w:val="auto"/>
        </w:rPr>
        <w:t>ation</w:t>
      </w:r>
      <w:r w:rsidR="0070653A" w:rsidRPr="00B0618E">
        <w:rPr>
          <w:color w:val="auto"/>
        </w:rPr>
        <w:t>)</w:t>
      </w:r>
      <w:r w:rsidR="00FF7BA7" w:rsidRPr="00B0618E">
        <w:rPr>
          <w:color w:val="auto"/>
        </w:rPr>
        <w:t xml:space="preserve">: </w:t>
      </w:r>
    </w:p>
    <w:p w14:paraId="2D423817" w14:textId="7B66D11B" w:rsidR="00FF7BA7" w:rsidRPr="00B0618E" w:rsidRDefault="00FF7BA7" w:rsidP="00F47AA9">
      <w:pPr>
        <w:pStyle w:val="BodyText"/>
        <w:numPr>
          <w:ilvl w:val="0"/>
          <w:numId w:val="20"/>
        </w:numPr>
        <w:rPr>
          <w:color w:val="auto"/>
        </w:rPr>
      </w:pPr>
      <w:r w:rsidRPr="00FB2181">
        <w:rPr>
          <w:b/>
          <w:color w:val="auto"/>
        </w:rPr>
        <w:t>Magnitude of maximum drawdown</w:t>
      </w:r>
      <w:r w:rsidRPr="00B0618E">
        <w:rPr>
          <w:color w:val="auto"/>
        </w:rPr>
        <w:t>:</w:t>
      </w:r>
      <w:r w:rsidR="002368B4" w:rsidRPr="00B0618E">
        <w:rPr>
          <w:color w:val="auto"/>
        </w:rPr>
        <w:t xml:space="preserve"> the median value increased from 0.8 </w:t>
      </w:r>
      <w:r w:rsidR="00BC3F4B">
        <w:rPr>
          <w:color w:val="auto"/>
        </w:rPr>
        <w:t xml:space="preserve">m </w:t>
      </w:r>
      <w:r w:rsidR="0070653A" w:rsidRPr="00B0618E">
        <w:rPr>
          <w:color w:val="auto"/>
        </w:rPr>
        <w:t>t</w:t>
      </w:r>
      <w:r w:rsidR="002368B4" w:rsidRPr="00B0618E">
        <w:rPr>
          <w:color w:val="auto"/>
        </w:rPr>
        <w:t>o 1.2 m</w:t>
      </w:r>
      <w:r w:rsidR="003B3314" w:rsidRPr="00B0618E">
        <w:rPr>
          <w:color w:val="auto"/>
        </w:rPr>
        <w:t>, the 95</w:t>
      </w:r>
      <w:r w:rsidR="003B3314" w:rsidRPr="00B0618E">
        <w:rPr>
          <w:color w:val="auto"/>
          <w:vertAlign w:val="superscript"/>
        </w:rPr>
        <w:t>th</w:t>
      </w:r>
      <w:r w:rsidR="003B3314" w:rsidRPr="00B0618E">
        <w:rPr>
          <w:color w:val="auto"/>
        </w:rPr>
        <w:t xml:space="preserve"> percentile increased from 7.2 </w:t>
      </w:r>
      <w:r w:rsidR="00BC3F4B">
        <w:rPr>
          <w:color w:val="auto"/>
        </w:rPr>
        <w:t xml:space="preserve">m </w:t>
      </w:r>
      <w:r w:rsidR="003B3314" w:rsidRPr="00B0618E">
        <w:rPr>
          <w:color w:val="auto"/>
        </w:rPr>
        <w:t>to 7.9 m</w:t>
      </w:r>
      <w:r w:rsidR="00A50E96" w:rsidRPr="00B0618E">
        <w:rPr>
          <w:color w:val="auto"/>
        </w:rPr>
        <w:t>;</w:t>
      </w:r>
    </w:p>
    <w:p w14:paraId="606E87B8" w14:textId="63CCF5CF" w:rsidR="00FF7BA7" w:rsidRPr="00B0618E" w:rsidRDefault="00FF7BA7" w:rsidP="00F47AA9">
      <w:pPr>
        <w:pStyle w:val="BodyText"/>
        <w:numPr>
          <w:ilvl w:val="0"/>
          <w:numId w:val="20"/>
        </w:numPr>
        <w:rPr>
          <w:color w:val="auto"/>
        </w:rPr>
      </w:pPr>
      <w:r w:rsidRPr="00FB2181">
        <w:rPr>
          <w:b/>
          <w:color w:val="auto"/>
        </w:rPr>
        <w:t>Timing of maximum drawdown</w:t>
      </w:r>
      <w:r w:rsidRPr="00B0618E">
        <w:rPr>
          <w:color w:val="auto"/>
        </w:rPr>
        <w:t>:</w:t>
      </w:r>
      <w:r w:rsidR="00C74EA3" w:rsidRPr="00B0618E">
        <w:rPr>
          <w:color w:val="auto"/>
        </w:rPr>
        <w:t xml:space="preserve"> </w:t>
      </w:r>
      <w:r w:rsidR="008B4BF7">
        <w:rPr>
          <w:color w:val="auto"/>
        </w:rPr>
        <w:t xml:space="preserve">the </w:t>
      </w:r>
      <w:r w:rsidR="00C74EA3" w:rsidRPr="00B0618E">
        <w:rPr>
          <w:color w:val="auto"/>
        </w:rPr>
        <w:t xml:space="preserve">median value increased from 154 </w:t>
      </w:r>
      <w:r w:rsidR="00BC3F4B">
        <w:rPr>
          <w:color w:val="auto"/>
        </w:rPr>
        <w:t xml:space="preserve">years </w:t>
      </w:r>
      <w:r w:rsidR="00C74EA3" w:rsidRPr="00B0618E">
        <w:rPr>
          <w:color w:val="auto"/>
        </w:rPr>
        <w:t>to 155 year</w:t>
      </w:r>
      <w:r w:rsidR="00BC3F4B">
        <w:rPr>
          <w:color w:val="auto"/>
        </w:rPr>
        <w:t>s</w:t>
      </w:r>
      <w:r w:rsidR="003B3314" w:rsidRPr="00B0618E">
        <w:rPr>
          <w:color w:val="auto"/>
        </w:rPr>
        <w:t xml:space="preserve">, while </w:t>
      </w:r>
      <w:r w:rsidR="00BC3F4B">
        <w:rPr>
          <w:color w:val="auto"/>
        </w:rPr>
        <w:t xml:space="preserve">the </w:t>
      </w:r>
      <w:r w:rsidR="003B3314" w:rsidRPr="00B0618E">
        <w:rPr>
          <w:color w:val="auto"/>
        </w:rPr>
        <w:t>95</w:t>
      </w:r>
      <w:r w:rsidR="003B3314" w:rsidRPr="00B0618E">
        <w:rPr>
          <w:color w:val="auto"/>
          <w:vertAlign w:val="superscript"/>
        </w:rPr>
        <w:t>th</w:t>
      </w:r>
      <w:r w:rsidR="003B3314" w:rsidRPr="00B0618E">
        <w:rPr>
          <w:color w:val="auto"/>
        </w:rPr>
        <w:t xml:space="preserve"> percentiles were identical</w:t>
      </w:r>
      <w:r w:rsidR="00BC3F4B">
        <w:rPr>
          <w:color w:val="auto"/>
        </w:rPr>
        <w:t xml:space="preserve"> (i.e., </w:t>
      </w:r>
      <w:r w:rsidR="003D0C0D">
        <w:rPr>
          <w:color w:val="auto"/>
        </w:rPr>
        <w:t xml:space="preserve">both </w:t>
      </w:r>
      <w:r w:rsidR="00BC3F4B">
        <w:rPr>
          <w:color w:val="auto"/>
        </w:rPr>
        <w:t>160 years)</w:t>
      </w:r>
      <w:r w:rsidR="0070653A" w:rsidRPr="00B0618E">
        <w:rPr>
          <w:color w:val="auto"/>
        </w:rPr>
        <w:t>;</w:t>
      </w:r>
    </w:p>
    <w:p w14:paraId="0B5994FC" w14:textId="4D96132D" w:rsidR="00FF7BA7" w:rsidRPr="00B0618E" w:rsidRDefault="00FF7BA7" w:rsidP="00F47AA9">
      <w:pPr>
        <w:pStyle w:val="BodyText"/>
        <w:numPr>
          <w:ilvl w:val="0"/>
          <w:numId w:val="20"/>
        </w:numPr>
        <w:rPr>
          <w:color w:val="auto"/>
        </w:rPr>
      </w:pPr>
      <w:r w:rsidRPr="00FB2181">
        <w:rPr>
          <w:b/>
          <w:color w:val="auto"/>
        </w:rPr>
        <w:t>Spatial extent of drawdown propagation</w:t>
      </w:r>
      <w:r w:rsidRPr="00B0618E">
        <w:rPr>
          <w:color w:val="auto"/>
        </w:rPr>
        <w:t>:</w:t>
      </w:r>
      <w:r w:rsidR="00C74EA3" w:rsidRPr="00B0618E">
        <w:rPr>
          <w:color w:val="auto"/>
        </w:rPr>
        <w:t xml:space="preserve"> </w:t>
      </w:r>
      <w:r w:rsidR="003B3314" w:rsidRPr="00B0618E">
        <w:rPr>
          <w:color w:val="auto"/>
        </w:rPr>
        <w:t xml:space="preserve">the median value remained unchanged at zero </w:t>
      </w:r>
      <w:r w:rsidR="008B4BF7">
        <w:rPr>
          <w:color w:val="auto"/>
        </w:rPr>
        <w:t xml:space="preserve">model </w:t>
      </w:r>
      <w:r w:rsidR="003B3314" w:rsidRPr="00B0618E">
        <w:rPr>
          <w:color w:val="auto"/>
        </w:rPr>
        <w:t>cells, and the 95</w:t>
      </w:r>
      <w:r w:rsidR="003B3314" w:rsidRPr="00B0618E">
        <w:rPr>
          <w:color w:val="auto"/>
          <w:vertAlign w:val="superscript"/>
        </w:rPr>
        <w:t>th</w:t>
      </w:r>
      <w:r w:rsidR="003B3314" w:rsidRPr="00B0618E">
        <w:rPr>
          <w:color w:val="auto"/>
        </w:rPr>
        <w:t xml:space="preserve"> percentile increased from 4 490 </w:t>
      </w:r>
      <w:r w:rsidR="00BC3F4B">
        <w:rPr>
          <w:color w:val="auto"/>
        </w:rPr>
        <w:t xml:space="preserve">cells </w:t>
      </w:r>
      <w:r w:rsidR="003B3314" w:rsidRPr="00B0618E">
        <w:rPr>
          <w:color w:val="auto"/>
        </w:rPr>
        <w:t>to 5 350 cells.</w:t>
      </w:r>
    </w:p>
    <w:p w14:paraId="06B533AF" w14:textId="116A7E37" w:rsidR="00FF7BA7" w:rsidRPr="00B0618E" w:rsidRDefault="00FF7BA7" w:rsidP="00F47AA9">
      <w:pPr>
        <w:pStyle w:val="BodyText"/>
        <w:numPr>
          <w:ilvl w:val="0"/>
          <w:numId w:val="20"/>
        </w:numPr>
        <w:rPr>
          <w:color w:val="auto"/>
        </w:rPr>
      </w:pPr>
      <w:r w:rsidRPr="00FB2181">
        <w:rPr>
          <w:b/>
          <w:color w:val="auto"/>
        </w:rPr>
        <w:t>Maximum vertical flux</w:t>
      </w:r>
      <w:r w:rsidRPr="00B0618E">
        <w:rPr>
          <w:color w:val="auto"/>
        </w:rPr>
        <w:t>:</w:t>
      </w:r>
      <w:r w:rsidR="00C74EA3" w:rsidRPr="00B0618E">
        <w:rPr>
          <w:color w:val="auto"/>
        </w:rPr>
        <w:t xml:space="preserve"> </w:t>
      </w:r>
      <w:r w:rsidR="008B4BF7">
        <w:rPr>
          <w:color w:val="auto"/>
        </w:rPr>
        <w:t xml:space="preserve">the </w:t>
      </w:r>
      <w:r w:rsidR="00C74EA3" w:rsidRPr="00B0618E">
        <w:rPr>
          <w:color w:val="auto"/>
        </w:rPr>
        <w:t xml:space="preserve">median value decreased from 737 </w:t>
      </w:r>
      <w:r w:rsidR="00BC3F4B" w:rsidRPr="00B0618E">
        <w:rPr>
          <w:color w:val="auto"/>
        </w:rPr>
        <w:t>m</w:t>
      </w:r>
      <w:r w:rsidR="00BC3F4B" w:rsidRPr="00B0618E">
        <w:rPr>
          <w:color w:val="auto"/>
          <w:vertAlign w:val="superscript"/>
        </w:rPr>
        <w:t>3</w:t>
      </w:r>
      <w:r w:rsidR="00BC3F4B" w:rsidRPr="00B0618E">
        <w:rPr>
          <w:color w:val="auto"/>
        </w:rPr>
        <w:t xml:space="preserve">/d </w:t>
      </w:r>
      <w:r w:rsidR="00C74EA3" w:rsidRPr="00B0618E">
        <w:rPr>
          <w:color w:val="auto"/>
        </w:rPr>
        <w:t>to 636 m</w:t>
      </w:r>
      <w:r w:rsidR="00C74EA3" w:rsidRPr="00B0618E">
        <w:rPr>
          <w:color w:val="auto"/>
          <w:vertAlign w:val="superscript"/>
        </w:rPr>
        <w:t>3</w:t>
      </w:r>
      <w:r w:rsidR="00C74EA3" w:rsidRPr="00B0618E">
        <w:rPr>
          <w:color w:val="auto"/>
        </w:rPr>
        <w:t>/d</w:t>
      </w:r>
      <w:r w:rsidR="003B3314" w:rsidRPr="00B0618E">
        <w:rPr>
          <w:color w:val="auto"/>
        </w:rPr>
        <w:t>, and the 95</w:t>
      </w:r>
      <w:r w:rsidR="003B3314" w:rsidRPr="00B0618E">
        <w:rPr>
          <w:color w:val="auto"/>
          <w:vertAlign w:val="superscript"/>
        </w:rPr>
        <w:t>th</w:t>
      </w:r>
      <w:r w:rsidR="003B3314" w:rsidRPr="00B0618E">
        <w:rPr>
          <w:color w:val="auto"/>
        </w:rPr>
        <w:t xml:space="preserve"> percentile decreased from 1 310 </w:t>
      </w:r>
      <w:r w:rsidR="00BC3F4B" w:rsidRPr="00B0618E">
        <w:rPr>
          <w:color w:val="auto"/>
        </w:rPr>
        <w:t>m</w:t>
      </w:r>
      <w:r w:rsidR="00BC3F4B" w:rsidRPr="00B0618E">
        <w:rPr>
          <w:color w:val="auto"/>
          <w:vertAlign w:val="superscript"/>
        </w:rPr>
        <w:t>3</w:t>
      </w:r>
      <w:r w:rsidR="00BC3F4B" w:rsidRPr="00B0618E">
        <w:rPr>
          <w:color w:val="auto"/>
        </w:rPr>
        <w:t xml:space="preserve">/d </w:t>
      </w:r>
      <w:r w:rsidR="003B3314" w:rsidRPr="00B0618E">
        <w:rPr>
          <w:color w:val="auto"/>
        </w:rPr>
        <w:t>to 1 260 m</w:t>
      </w:r>
      <w:r w:rsidR="003B3314" w:rsidRPr="00B0618E">
        <w:rPr>
          <w:color w:val="auto"/>
          <w:vertAlign w:val="superscript"/>
        </w:rPr>
        <w:t>3</w:t>
      </w:r>
      <w:r w:rsidR="003B3314" w:rsidRPr="00B0618E">
        <w:rPr>
          <w:color w:val="auto"/>
        </w:rPr>
        <w:t>/d</w:t>
      </w:r>
      <w:r w:rsidR="00C74EA3" w:rsidRPr="00B0618E">
        <w:rPr>
          <w:color w:val="auto"/>
        </w:rPr>
        <w:t>.</w:t>
      </w:r>
    </w:p>
    <w:p w14:paraId="47BCA560" w14:textId="35B90D75" w:rsidR="00736CE1" w:rsidRPr="00B0618E" w:rsidRDefault="002A6F89" w:rsidP="00165854">
      <w:pPr>
        <w:pStyle w:val="BodyText"/>
      </w:pPr>
      <w:r>
        <w:t xml:space="preserve">As demonstrated </w:t>
      </w:r>
      <w:r w:rsidR="00BC3F4B">
        <w:t>in the report</w:t>
      </w:r>
      <w:r>
        <w:t>, the impact of improving the hydraulic conductivity characterisation on the groundwater impact metrics w</w:t>
      </w:r>
      <w:r w:rsidR="00BC3F4B">
        <w:t>as</w:t>
      </w:r>
      <w:r>
        <w:t xml:space="preserve"> most </w:t>
      </w:r>
      <w:r w:rsidR="00BC3F4B">
        <w:t>evident</w:t>
      </w:r>
      <w:r>
        <w:t xml:space="preserve"> when the </w:t>
      </w:r>
      <w:r w:rsidR="00BC3F4B">
        <w:t xml:space="preserve">conceptualisation of the </w:t>
      </w:r>
      <w:r>
        <w:t xml:space="preserve">groundwater model </w:t>
      </w:r>
      <w:r w:rsidR="00BC3F4B">
        <w:t>was</w:t>
      </w:r>
      <w:r>
        <w:t xml:space="preserve"> updated such that the information contained within the updated data set </w:t>
      </w:r>
      <w:r w:rsidR="00BC3F4B">
        <w:t>was</w:t>
      </w:r>
      <w:r>
        <w:t xml:space="preserve"> maximally exploited. This require</w:t>
      </w:r>
      <w:r w:rsidR="00BC3F4B">
        <w:t>d</w:t>
      </w:r>
      <w:r>
        <w:t xml:space="preserve"> honouring the spatial structure captured by the </w:t>
      </w:r>
      <w:r w:rsidRPr="00E02C99">
        <w:rPr>
          <w:i/>
          <w:lang w:eastAsia="en-US"/>
        </w:rPr>
        <w:t>K</w:t>
      </w:r>
      <w:r w:rsidRPr="00E02C99">
        <w:rPr>
          <w:vertAlign w:val="subscript"/>
          <w:lang w:eastAsia="en-US"/>
        </w:rPr>
        <w:t>V</w:t>
      </w:r>
      <w:r>
        <w:t xml:space="preserve"> data </w:t>
      </w:r>
      <w:r w:rsidR="002E5921">
        <w:t xml:space="preserve">by first describing mathematically the spatial heterogeneity in </w:t>
      </w:r>
      <w:r w:rsidR="002E5921" w:rsidRPr="00E02C99">
        <w:rPr>
          <w:i/>
          <w:lang w:eastAsia="en-US"/>
        </w:rPr>
        <w:t>K</w:t>
      </w:r>
      <w:r w:rsidR="002E5921" w:rsidRPr="00E02C99">
        <w:rPr>
          <w:vertAlign w:val="subscript"/>
          <w:lang w:eastAsia="en-US"/>
        </w:rPr>
        <w:t>V</w:t>
      </w:r>
      <w:r w:rsidR="002E5921" w:rsidRPr="002E5921">
        <w:rPr>
          <w:lang w:eastAsia="en-US"/>
        </w:rPr>
        <w:t xml:space="preserve">, </w:t>
      </w:r>
      <w:r w:rsidR="008B4BF7" w:rsidRPr="00B0618E">
        <w:t>according to an observed spatial correlation structure</w:t>
      </w:r>
      <w:r w:rsidR="008B4BF7">
        <w:t xml:space="preserve"> (or semi-variogram). This was then </w:t>
      </w:r>
      <w:r w:rsidR="002E5921" w:rsidRPr="002E5921">
        <w:rPr>
          <w:lang w:eastAsia="en-US"/>
        </w:rPr>
        <w:t xml:space="preserve">followed by the generation of </w:t>
      </w:r>
      <w:r w:rsidR="002E5921">
        <w:rPr>
          <w:lang w:eastAsia="en-US"/>
        </w:rPr>
        <w:t xml:space="preserve">multiple equally probable </w:t>
      </w:r>
      <w:r w:rsidR="002E5921" w:rsidRPr="002E5921">
        <w:rPr>
          <w:lang w:eastAsia="en-US"/>
        </w:rPr>
        <w:t>heterogen</w:t>
      </w:r>
      <w:r w:rsidR="002E5921">
        <w:rPr>
          <w:lang w:eastAsia="en-US"/>
        </w:rPr>
        <w:t>e</w:t>
      </w:r>
      <w:r w:rsidR="002E5921" w:rsidRPr="002E5921">
        <w:rPr>
          <w:lang w:eastAsia="en-US"/>
        </w:rPr>
        <w:t>ous</w:t>
      </w:r>
      <w:r w:rsidR="002E5921">
        <w:rPr>
          <w:vertAlign w:val="subscript"/>
          <w:lang w:eastAsia="en-US"/>
        </w:rPr>
        <w:t xml:space="preserve"> </w:t>
      </w:r>
      <w:r w:rsidR="002E5921" w:rsidRPr="00E02C99">
        <w:rPr>
          <w:i/>
          <w:lang w:eastAsia="en-US"/>
        </w:rPr>
        <w:t>K</w:t>
      </w:r>
      <w:r w:rsidR="002E5921" w:rsidRPr="00E02C99">
        <w:rPr>
          <w:vertAlign w:val="subscript"/>
          <w:lang w:eastAsia="en-US"/>
        </w:rPr>
        <w:t>V</w:t>
      </w:r>
      <w:r w:rsidR="002E5921">
        <w:rPr>
          <w:vertAlign w:val="subscript"/>
          <w:lang w:eastAsia="en-US"/>
        </w:rPr>
        <w:t xml:space="preserve"> </w:t>
      </w:r>
      <w:r w:rsidR="002E5921" w:rsidRPr="002E5921">
        <w:rPr>
          <w:lang w:eastAsia="en-US"/>
        </w:rPr>
        <w:t>parameter fields</w:t>
      </w:r>
      <w:r w:rsidR="002E5921">
        <w:rPr>
          <w:vertAlign w:val="subscript"/>
          <w:lang w:eastAsia="en-US"/>
        </w:rPr>
        <w:t xml:space="preserve"> </w:t>
      </w:r>
      <w:r w:rsidR="002E5921">
        <w:t>for groundwater modelling</w:t>
      </w:r>
      <w:r w:rsidR="008B4BF7">
        <w:t>, thereby</w:t>
      </w:r>
      <w:r w:rsidR="004902AC" w:rsidRPr="00B0618E">
        <w:t xml:space="preserve"> honour</w:t>
      </w:r>
      <w:r w:rsidR="008B4BF7">
        <w:t>ing</w:t>
      </w:r>
      <w:r w:rsidR="004902AC" w:rsidRPr="00B0618E">
        <w:t xml:space="preserve"> the data at all the observation wells where upscaled </w:t>
      </w:r>
      <w:r w:rsidR="0022432C" w:rsidRPr="00B0618E">
        <w:rPr>
          <w:i/>
        </w:rPr>
        <w:t>K</w:t>
      </w:r>
      <w:r w:rsidR="0022432C" w:rsidRPr="00B0618E">
        <w:rPr>
          <w:vertAlign w:val="subscript"/>
        </w:rPr>
        <w:t>V</w:t>
      </w:r>
      <w:r w:rsidR="004902AC" w:rsidRPr="00B0618E">
        <w:t xml:space="preserve"> values had been determined. In doing so, the </w:t>
      </w:r>
      <w:r w:rsidR="0022432C" w:rsidRPr="00B0618E">
        <w:rPr>
          <w:i/>
        </w:rPr>
        <w:t>K</w:t>
      </w:r>
      <w:r w:rsidR="0022432C" w:rsidRPr="00B0618E">
        <w:rPr>
          <w:vertAlign w:val="subscript"/>
        </w:rPr>
        <w:t>V</w:t>
      </w:r>
      <w:r w:rsidR="004902AC" w:rsidRPr="00B0618E">
        <w:t xml:space="preserve"> domains </w:t>
      </w:r>
      <w:r w:rsidR="00BC3F4B">
        <w:t>were</w:t>
      </w:r>
      <w:r w:rsidR="004902AC" w:rsidRPr="00B0618E">
        <w:t xml:space="preserve"> constrained or conditioned by observations at multiple cells</w:t>
      </w:r>
      <w:r w:rsidR="0035194E" w:rsidRPr="00B0618E">
        <w:t xml:space="preserve"> and </w:t>
      </w:r>
      <w:r w:rsidR="00BC3F4B">
        <w:t>were considered to be</w:t>
      </w:r>
      <w:r w:rsidR="0035194E" w:rsidRPr="00B0618E">
        <w:t xml:space="preserve"> </w:t>
      </w:r>
      <w:r w:rsidR="0094269B" w:rsidRPr="00B0618E">
        <w:t xml:space="preserve">a </w:t>
      </w:r>
      <w:r w:rsidR="00A773D4">
        <w:t xml:space="preserve">more </w:t>
      </w:r>
      <w:r w:rsidR="0094269B" w:rsidRPr="00B0618E">
        <w:t>realistic</w:t>
      </w:r>
      <w:r w:rsidR="0035194E" w:rsidRPr="00B0618E">
        <w:t xml:space="preserve"> representation of spatial heterogeneity. </w:t>
      </w:r>
    </w:p>
    <w:p w14:paraId="45B3B029" w14:textId="097DAF41" w:rsidR="00BA191D" w:rsidRPr="00B0618E" w:rsidRDefault="0022432C" w:rsidP="00165854">
      <w:pPr>
        <w:pStyle w:val="BodyText"/>
      </w:pPr>
      <w:r w:rsidRPr="00B0618E">
        <w:rPr>
          <w:rFonts w:cs="Arial"/>
        </w:rPr>
        <w:t xml:space="preserve">Based on this third </w:t>
      </w:r>
      <w:r w:rsidR="00BC3F4B">
        <w:rPr>
          <w:rFonts w:cs="Arial"/>
        </w:rPr>
        <w:t>parameterisation approach</w:t>
      </w:r>
      <w:r w:rsidRPr="00B0618E">
        <w:rPr>
          <w:rFonts w:cs="Arial"/>
        </w:rPr>
        <w:t>, a final</w:t>
      </w:r>
      <w:r w:rsidR="00736CE1" w:rsidRPr="00B0618E">
        <w:rPr>
          <w:rFonts w:cs="Arial"/>
        </w:rPr>
        <w:t xml:space="preserve"> uncertainty analysis w</w:t>
      </w:r>
      <w:r w:rsidRPr="00B0618E">
        <w:rPr>
          <w:rFonts w:cs="Arial"/>
        </w:rPr>
        <w:t xml:space="preserve">as undertaken to </w:t>
      </w:r>
      <w:r w:rsidR="00BC3F4B">
        <w:rPr>
          <w:rFonts w:cs="Arial"/>
        </w:rPr>
        <w:t>identify</w:t>
      </w:r>
      <w:r w:rsidR="00736CE1" w:rsidRPr="00B0618E">
        <w:rPr>
          <w:rFonts w:cs="Arial"/>
        </w:rPr>
        <w:t xml:space="preserve"> the extent to which </w:t>
      </w:r>
      <w:r w:rsidR="00BC3F4B">
        <w:rPr>
          <w:rFonts w:cs="Arial"/>
        </w:rPr>
        <w:t>an</w:t>
      </w:r>
      <w:r w:rsidR="00736CE1" w:rsidRPr="00B0618E">
        <w:rPr>
          <w:rFonts w:cs="Arial"/>
        </w:rPr>
        <w:t xml:space="preserve"> updated </w:t>
      </w:r>
      <w:r w:rsidR="00C7442D">
        <w:rPr>
          <w:rFonts w:cs="Arial"/>
        </w:rPr>
        <w:t xml:space="preserve">model </w:t>
      </w:r>
      <w:r w:rsidR="00736CE1" w:rsidRPr="00B0618E">
        <w:rPr>
          <w:rFonts w:cs="Arial"/>
        </w:rPr>
        <w:t>parameterisation c</w:t>
      </w:r>
      <w:r w:rsidR="00BC3F4B">
        <w:rPr>
          <w:rFonts w:cs="Arial"/>
        </w:rPr>
        <w:t>ould</w:t>
      </w:r>
      <w:r w:rsidR="00736CE1" w:rsidRPr="00B0618E">
        <w:rPr>
          <w:rFonts w:cs="Arial"/>
        </w:rPr>
        <w:t xml:space="preserve"> constrain </w:t>
      </w:r>
      <w:r w:rsidR="00284EBC">
        <w:rPr>
          <w:rFonts w:cs="Arial"/>
        </w:rPr>
        <w:t xml:space="preserve">calculated </w:t>
      </w:r>
      <w:r w:rsidR="00736CE1" w:rsidRPr="00B0618E">
        <w:rPr>
          <w:rFonts w:cs="Arial"/>
        </w:rPr>
        <w:t>fluxes through aquitards induced by CSG extraction stresses</w:t>
      </w:r>
      <w:r w:rsidR="00BC3F4B">
        <w:rPr>
          <w:rFonts w:cs="Arial"/>
        </w:rPr>
        <w:t>,</w:t>
      </w:r>
      <w:r w:rsidR="00736CE1" w:rsidRPr="00B0618E">
        <w:rPr>
          <w:rFonts w:cs="Arial"/>
        </w:rPr>
        <w:t xml:space="preserve"> and the extent to which predictive uncertainty of the impacts </w:t>
      </w:r>
      <w:r w:rsidR="00BC3F4B">
        <w:rPr>
          <w:rFonts w:cs="Arial"/>
        </w:rPr>
        <w:t>wa</w:t>
      </w:r>
      <w:r w:rsidR="00736CE1" w:rsidRPr="00B0618E">
        <w:rPr>
          <w:rFonts w:cs="Arial"/>
        </w:rPr>
        <w:t xml:space="preserve">s impacted. </w:t>
      </w:r>
      <w:r w:rsidR="00C7442D">
        <w:rPr>
          <w:rFonts w:cs="Arial"/>
        </w:rPr>
        <w:t xml:space="preserve">For this purpose, a set of 50 </w:t>
      </w:r>
      <w:r w:rsidR="00C7442D" w:rsidRPr="00B0618E">
        <w:t xml:space="preserve">spatially heterogeneous </w:t>
      </w:r>
      <w:r w:rsidR="00C7442D" w:rsidRPr="00B0618E">
        <w:rPr>
          <w:i/>
        </w:rPr>
        <w:t>K</w:t>
      </w:r>
      <w:r w:rsidR="00C7442D" w:rsidRPr="00B0618E">
        <w:rPr>
          <w:vertAlign w:val="subscript"/>
        </w:rPr>
        <w:t>V</w:t>
      </w:r>
      <w:r w:rsidR="00C7442D" w:rsidRPr="00B0618E">
        <w:t xml:space="preserve"> field</w:t>
      </w:r>
      <w:r w:rsidR="00C7442D">
        <w:t xml:space="preserve">s was generated as input to flow modelling. </w:t>
      </w:r>
      <w:r w:rsidR="00544260">
        <w:t>A</w:t>
      </w:r>
      <w:r w:rsidR="00C7442D">
        <w:t xml:space="preserve"> sample </w:t>
      </w:r>
      <w:r w:rsidR="00544260">
        <w:t xml:space="preserve">size </w:t>
      </w:r>
      <w:r w:rsidR="00C7442D">
        <w:t xml:space="preserve">of 50 random fields was shown to be sufficient to </w:t>
      </w:r>
      <w:r w:rsidR="00284EBC">
        <w:t xml:space="preserve">obtain statistically </w:t>
      </w:r>
      <w:r w:rsidR="00C7442D">
        <w:t>robust estimate</w:t>
      </w:r>
      <w:r w:rsidR="00284EBC">
        <w:t>s</w:t>
      </w:r>
      <w:r w:rsidR="00C7442D">
        <w:t xml:space="preserve"> most of the groundwater impact metrics</w:t>
      </w:r>
      <w:r w:rsidR="00EE65E8">
        <w:t>. F</w:t>
      </w:r>
      <w:r w:rsidR="00C7442D">
        <w:t xml:space="preserve">urthermore, </w:t>
      </w:r>
      <w:r w:rsidR="00544260">
        <w:t>the</w:t>
      </w:r>
      <w:r w:rsidR="00C7442D">
        <w:t xml:space="preserve"> spatial dimension </w:t>
      </w:r>
      <w:r w:rsidR="00544260">
        <w:t xml:space="preserve">of the flow domain </w:t>
      </w:r>
      <w:r w:rsidR="00C7442D">
        <w:t xml:space="preserve">was shown to be </w:t>
      </w:r>
      <w:r w:rsidR="00544260">
        <w:t>sufficiently</w:t>
      </w:r>
      <w:r w:rsidR="00C7442D">
        <w:t xml:space="preserve"> large </w:t>
      </w:r>
      <w:r w:rsidR="00544260">
        <w:t xml:space="preserve">in comparison with the correlation scales of the relevant hydrogeological properties of the formations of interest. </w:t>
      </w:r>
      <w:r w:rsidR="005C40C8">
        <w:t xml:space="preserve">The latter is a prerequisite to make meaningful inferences about statistical moments of the distribution of relevant variables. </w:t>
      </w:r>
      <w:r w:rsidR="00177701">
        <w:t>T</w:t>
      </w:r>
      <w:r w:rsidR="00BA191D" w:rsidRPr="00B0618E">
        <w:t>he effect</w:t>
      </w:r>
      <w:r w:rsidR="00177701">
        <w:t>s</w:t>
      </w:r>
      <w:r w:rsidR="00BA191D" w:rsidRPr="00B0618E">
        <w:t xml:space="preserve"> </w:t>
      </w:r>
      <w:r w:rsidR="00177701">
        <w:t xml:space="preserve">of the second (revised) parameterisation </w:t>
      </w:r>
      <w:r w:rsidR="009E538D">
        <w:t xml:space="preserve">using 300 model runs </w:t>
      </w:r>
      <w:r w:rsidR="00177701">
        <w:t xml:space="preserve">on </w:t>
      </w:r>
      <w:r w:rsidR="00BA191D" w:rsidRPr="00B0618E">
        <w:t xml:space="preserve">the four </w:t>
      </w:r>
      <w:r w:rsidR="00046574" w:rsidRPr="00B0618E">
        <w:t xml:space="preserve">groundwater impact </w:t>
      </w:r>
      <w:r w:rsidR="00BA191D" w:rsidRPr="00B0618E">
        <w:t>metrics w</w:t>
      </w:r>
      <w:r w:rsidR="009E538D">
        <w:t>ere</w:t>
      </w:r>
      <w:r w:rsidR="00BA191D" w:rsidRPr="00B0618E">
        <w:t xml:space="preserve"> </w:t>
      </w:r>
      <w:r w:rsidR="00177701">
        <w:t xml:space="preserve">compared with the effects based on the third </w:t>
      </w:r>
      <w:r w:rsidR="009E538D">
        <w:t xml:space="preserve">(heterogeneous) </w:t>
      </w:r>
      <w:r w:rsidR="00177701">
        <w:t xml:space="preserve">parameterisation approach using 50 models runs </w:t>
      </w:r>
      <w:r w:rsidR="009D202A" w:rsidRPr="00B0618E">
        <w:rPr>
          <w:color w:val="auto"/>
        </w:rPr>
        <w:t>(</w:t>
      </w:r>
      <w:r w:rsidR="009E538D">
        <w:rPr>
          <w:color w:val="auto"/>
        </w:rPr>
        <w:t>results for the second approach are given first, followed by results based on the third approach</w:t>
      </w:r>
      <w:r w:rsidR="009D202A" w:rsidRPr="00B0618E">
        <w:rPr>
          <w:color w:val="auto"/>
        </w:rPr>
        <w:t>)</w:t>
      </w:r>
      <w:r w:rsidR="00BA191D" w:rsidRPr="00B0618E">
        <w:t>:</w:t>
      </w:r>
    </w:p>
    <w:p w14:paraId="0107C549" w14:textId="41B7312E" w:rsidR="00BA191D" w:rsidRPr="00B0618E" w:rsidRDefault="00BA191D" w:rsidP="00F47AA9">
      <w:pPr>
        <w:pStyle w:val="BodyText"/>
        <w:numPr>
          <w:ilvl w:val="0"/>
          <w:numId w:val="20"/>
        </w:numPr>
        <w:rPr>
          <w:color w:val="auto"/>
        </w:rPr>
      </w:pPr>
      <w:r w:rsidRPr="008B4BF7">
        <w:rPr>
          <w:b/>
          <w:color w:val="auto"/>
        </w:rPr>
        <w:t>Magnitude of maximum drawdown</w:t>
      </w:r>
      <w:r w:rsidRPr="00B0618E">
        <w:rPr>
          <w:color w:val="auto"/>
        </w:rPr>
        <w:t>: the</w:t>
      </w:r>
      <w:r w:rsidR="009D202A" w:rsidRPr="00B0618E">
        <w:rPr>
          <w:color w:val="auto"/>
        </w:rPr>
        <w:t xml:space="preserve"> median value increased from 1.2 </w:t>
      </w:r>
      <w:r w:rsidR="00621110">
        <w:rPr>
          <w:color w:val="auto"/>
        </w:rPr>
        <w:t xml:space="preserve">m </w:t>
      </w:r>
      <w:r w:rsidR="009D202A" w:rsidRPr="00B0618E">
        <w:rPr>
          <w:color w:val="auto"/>
        </w:rPr>
        <w:t>to 3.4</w:t>
      </w:r>
      <w:r w:rsidRPr="00B0618E">
        <w:rPr>
          <w:color w:val="auto"/>
        </w:rPr>
        <w:t xml:space="preserve"> m</w:t>
      </w:r>
      <w:r w:rsidR="002B49FD" w:rsidRPr="00B0618E">
        <w:rPr>
          <w:color w:val="auto"/>
        </w:rPr>
        <w:t>, while the 95</w:t>
      </w:r>
      <w:r w:rsidR="002B49FD" w:rsidRPr="00B0618E">
        <w:rPr>
          <w:color w:val="auto"/>
          <w:vertAlign w:val="superscript"/>
        </w:rPr>
        <w:t>th</w:t>
      </w:r>
      <w:r w:rsidR="002B49FD" w:rsidRPr="00B0618E">
        <w:rPr>
          <w:color w:val="auto"/>
        </w:rPr>
        <w:t xml:space="preserve"> percentile decreased from 7.9 </w:t>
      </w:r>
      <w:r w:rsidR="00621110">
        <w:rPr>
          <w:color w:val="auto"/>
        </w:rPr>
        <w:t xml:space="preserve">m </w:t>
      </w:r>
      <w:r w:rsidR="002B49FD" w:rsidRPr="00B0618E">
        <w:rPr>
          <w:color w:val="auto"/>
        </w:rPr>
        <w:t>to 6.1 m</w:t>
      </w:r>
      <w:r w:rsidR="00207F43" w:rsidRPr="00B0618E">
        <w:rPr>
          <w:color w:val="auto"/>
        </w:rPr>
        <w:t>;</w:t>
      </w:r>
    </w:p>
    <w:p w14:paraId="222841E3" w14:textId="35D680B9" w:rsidR="00BA191D" w:rsidRPr="00B0618E" w:rsidRDefault="00BA191D" w:rsidP="00F47AA9">
      <w:pPr>
        <w:pStyle w:val="BodyText"/>
        <w:numPr>
          <w:ilvl w:val="0"/>
          <w:numId w:val="20"/>
        </w:numPr>
        <w:rPr>
          <w:color w:val="auto"/>
        </w:rPr>
      </w:pPr>
      <w:r w:rsidRPr="008B4BF7">
        <w:rPr>
          <w:b/>
          <w:color w:val="auto"/>
        </w:rPr>
        <w:t>Timing of m</w:t>
      </w:r>
      <w:r w:rsidR="009D202A" w:rsidRPr="008B4BF7">
        <w:rPr>
          <w:b/>
          <w:color w:val="auto"/>
        </w:rPr>
        <w:t>aximum drawdown</w:t>
      </w:r>
      <w:r w:rsidR="009D202A" w:rsidRPr="00B0618E">
        <w:rPr>
          <w:color w:val="auto"/>
        </w:rPr>
        <w:t xml:space="preserve">: </w:t>
      </w:r>
      <w:r w:rsidR="00621110">
        <w:rPr>
          <w:color w:val="auto"/>
        </w:rPr>
        <w:t xml:space="preserve">the </w:t>
      </w:r>
      <w:r w:rsidR="009D202A" w:rsidRPr="00B0618E">
        <w:rPr>
          <w:color w:val="auto"/>
        </w:rPr>
        <w:t>median value de</w:t>
      </w:r>
      <w:r w:rsidRPr="00B0618E">
        <w:rPr>
          <w:color w:val="auto"/>
        </w:rPr>
        <w:t>creased from 15</w:t>
      </w:r>
      <w:r w:rsidR="009D202A" w:rsidRPr="00B0618E">
        <w:rPr>
          <w:color w:val="auto"/>
        </w:rPr>
        <w:t>5</w:t>
      </w:r>
      <w:r w:rsidRPr="00B0618E">
        <w:rPr>
          <w:color w:val="auto"/>
        </w:rPr>
        <w:t xml:space="preserve"> </w:t>
      </w:r>
      <w:r w:rsidR="00621110">
        <w:rPr>
          <w:color w:val="auto"/>
        </w:rPr>
        <w:t xml:space="preserve">years </w:t>
      </w:r>
      <w:r w:rsidRPr="00B0618E">
        <w:rPr>
          <w:color w:val="auto"/>
        </w:rPr>
        <w:t xml:space="preserve">to </w:t>
      </w:r>
      <w:r w:rsidR="009D202A" w:rsidRPr="00B0618E">
        <w:rPr>
          <w:color w:val="auto"/>
        </w:rPr>
        <w:t>3</w:t>
      </w:r>
      <w:r w:rsidRPr="00B0618E">
        <w:rPr>
          <w:color w:val="auto"/>
        </w:rPr>
        <w:t>5 year</w:t>
      </w:r>
      <w:r w:rsidR="00621110">
        <w:rPr>
          <w:color w:val="auto"/>
        </w:rPr>
        <w:t>s</w:t>
      </w:r>
      <w:r w:rsidR="002B49FD" w:rsidRPr="00B0618E">
        <w:rPr>
          <w:color w:val="auto"/>
        </w:rPr>
        <w:t xml:space="preserve">, and </w:t>
      </w:r>
      <w:r w:rsidR="00621110">
        <w:rPr>
          <w:color w:val="auto"/>
        </w:rPr>
        <w:t xml:space="preserve">the </w:t>
      </w:r>
      <w:r w:rsidR="002B49FD" w:rsidRPr="00B0618E">
        <w:rPr>
          <w:color w:val="auto"/>
        </w:rPr>
        <w:t>95</w:t>
      </w:r>
      <w:r w:rsidR="002B49FD" w:rsidRPr="00B0618E">
        <w:rPr>
          <w:color w:val="auto"/>
          <w:vertAlign w:val="superscript"/>
        </w:rPr>
        <w:t>th</w:t>
      </w:r>
      <w:r w:rsidR="002B49FD" w:rsidRPr="00B0618E">
        <w:rPr>
          <w:color w:val="auto"/>
        </w:rPr>
        <w:t xml:space="preserve"> percentile decreased from 160 </w:t>
      </w:r>
      <w:r w:rsidR="00621110">
        <w:rPr>
          <w:color w:val="auto"/>
        </w:rPr>
        <w:t xml:space="preserve">years </w:t>
      </w:r>
      <w:r w:rsidR="002B49FD" w:rsidRPr="00B0618E">
        <w:rPr>
          <w:color w:val="auto"/>
        </w:rPr>
        <w:t>to 81 y</w:t>
      </w:r>
      <w:r w:rsidR="00621110">
        <w:rPr>
          <w:color w:val="auto"/>
        </w:rPr>
        <w:t>ears</w:t>
      </w:r>
      <w:r w:rsidR="00207F43" w:rsidRPr="00B0618E">
        <w:rPr>
          <w:color w:val="auto"/>
        </w:rPr>
        <w:t>;</w:t>
      </w:r>
    </w:p>
    <w:p w14:paraId="7D745610" w14:textId="57953CA8" w:rsidR="00BA191D" w:rsidRPr="00B0618E" w:rsidRDefault="00BA191D" w:rsidP="00F47AA9">
      <w:pPr>
        <w:pStyle w:val="BodyText"/>
        <w:numPr>
          <w:ilvl w:val="0"/>
          <w:numId w:val="20"/>
        </w:numPr>
        <w:rPr>
          <w:color w:val="auto"/>
        </w:rPr>
      </w:pPr>
      <w:r w:rsidRPr="008B4BF7">
        <w:rPr>
          <w:b/>
          <w:color w:val="auto"/>
        </w:rPr>
        <w:t>Spatial extent of drawdown propagation</w:t>
      </w:r>
      <w:r w:rsidRPr="00B0618E">
        <w:rPr>
          <w:color w:val="auto"/>
        </w:rPr>
        <w:t xml:space="preserve">: </w:t>
      </w:r>
      <w:r w:rsidR="00621110">
        <w:rPr>
          <w:color w:val="auto"/>
        </w:rPr>
        <w:t xml:space="preserve">the </w:t>
      </w:r>
      <w:r w:rsidR="009D202A" w:rsidRPr="00B0618E">
        <w:rPr>
          <w:color w:val="auto"/>
        </w:rPr>
        <w:t xml:space="preserve">median </w:t>
      </w:r>
      <w:r w:rsidR="00621110">
        <w:rPr>
          <w:color w:val="auto"/>
        </w:rPr>
        <w:t xml:space="preserve">value </w:t>
      </w:r>
      <w:r w:rsidR="009D202A" w:rsidRPr="00B0618E">
        <w:rPr>
          <w:color w:val="auto"/>
        </w:rPr>
        <w:t xml:space="preserve">increased from zero </w:t>
      </w:r>
      <w:r w:rsidR="00621110">
        <w:rPr>
          <w:color w:val="auto"/>
        </w:rPr>
        <w:t xml:space="preserve">cells </w:t>
      </w:r>
      <w:r w:rsidR="009D202A" w:rsidRPr="00B0618E">
        <w:rPr>
          <w:color w:val="auto"/>
        </w:rPr>
        <w:t>to 63 cells</w:t>
      </w:r>
      <w:r w:rsidR="002B49FD" w:rsidRPr="00B0618E">
        <w:rPr>
          <w:color w:val="auto"/>
        </w:rPr>
        <w:t xml:space="preserve">, while </w:t>
      </w:r>
      <w:r w:rsidR="00621110">
        <w:rPr>
          <w:color w:val="auto"/>
        </w:rPr>
        <w:t xml:space="preserve">the </w:t>
      </w:r>
      <w:r w:rsidR="002B49FD" w:rsidRPr="00B0618E">
        <w:rPr>
          <w:color w:val="auto"/>
        </w:rPr>
        <w:t>95</w:t>
      </w:r>
      <w:r w:rsidR="002B49FD" w:rsidRPr="00B0618E">
        <w:rPr>
          <w:color w:val="auto"/>
          <w:vertAlign w:val="superscript"/>
        </w:rPr>
        <w:t>th</w:t>
      </w:r>
      <w:r w:rsidR="002B49FD" w:rsidRPr="00B0618E">
        <w:rPr>
          <w:color w:val="auto"/>
        </w:rPr>
        <w:t xml:space="preserve"> percentile decreased from 5 350 </w:t>
      </w:r>
      <w:r w:rsidR="00621110">
        <w:rPr>
          <w:color w:val="auto"/>
        </w:rPr>
        <w:t xml:space="preserve">cells </w:t>
      </w:r>
      <w:r w:rsidR="002B49FD" w:rsidRPr="00B0618E">
        <w:rPr>
          <w:color w:val="auto"/>
        </w:rPr>
        <w:t>to 551 cells</w:t>
      </w:r>
      <w:r w:rsidR="009D202A" w:rsidRPr="00B0618E">
        <w:rPr>
          <w:color w:val="auto"/>
        </w:rPr>
        <w:t>;</w:t>
      </w:r>
    </w:p>
    <w:p w14:paraId="73169CC8" w14:textId="5547FB69" w:rsidR="00BA191D" w:rsidRPr="00B0618E" w:rsidRDefault="00BA191D" w:rsidP="00F47AA9">
      <w:pPr>
        <w:pStyle w:val="BodyText"/>
        <w:numPr>
          <w:ilvl w:val="0"/>
          <w:numId w:val="20"/>
        </w:numPr>
        <w:rPr>
          <w:color w:val="auto"/>
        </w:rPr>
      </w:pPr>
      <w:r w:rsidRPr="008B4BF7">
        <w:rPr>
          <w:b/>
          <w:color w:val="auto"/>
        </w:rPr>
        <w:t>Maximum vertical flux</w:t>
      </w:r>
      <w:r w:rsidRPr="00B0618E">
        <w:rPr>
          <w:color w:val="auto"/>
        </w:rPr>
        <w:t xml:space="preserve">: </w:t>
      </w:r>
      <w:r w:rsidR="00621110">
        <w:rPr>
          <w:color w:val="auto"/>
        </w:rPr>
        <w:t xml:space="preserve">the </w:t>
      </w:r>
      <w:r w:rsidRPr="00B0618E">
        <w:rPr>
          <w:color w:val="auto"/>
        </w:rPr>
        <w:t xml:space="preserve">median value </w:t>
      </w:r>
      <w:r w:rsidR="00932501">
        <w:rPr>
          <w:color w:val="auto"/>
        </w:rPr>
        <w:t>inc</w:t>
      </w:r>
      <w:r w:rsidRPr="00B0618E">
        <w:rPr>
          <w:color w:val="auto"/>
        </w:rPr>
        <w:t>reased from 636</w:t>
      </w:r>
      <w:r w:rsidR="00621110">
        <w:rPr>
          <w:color w:val="auto"/>
        </w:rPr>
        <w:t xml:space="preserve"> </w:t>
      </w:r>
      <w:r w:rsidR="00621110" w:rsidRPr="00B0618E">
        <w:rPr>
          <w:color w:val="auto"/>
        </w:rPr>
        <w:t>m</w:t>
      </w:r>
      <w:r w:rsidR="00621110" w:rsidRPr="00B0618E">
        <w:rPr>
          <w:color w:val="auto"/>
          <w:vertAlign w:val="superscript"/>
        </w:rPr>
        <w:t>3</w:t>
      </w:r>
      <w:r w:rsidR="00621110" w:rsidRPr="00B0618E">
        <w:rPr>
          <w:color w:val="auto"/>
        </w:rPr>
        <w:t>/d</w:t>
      </w:r>
      <w:r w:rsidRPr="00B0618E">
        <w:rPr>
          <w:color w:val="auto"/>
        </w:rPr>
        <w:t xml:space="preserve"> </w:t>
      </w:r>
      <w:r w:rsidR="009D202A" w:rsidRPr="00B0618E">
        <w:rPr>
          <w:color w:val="auto"/>
        </w:rPr>
        <w:t>to 751 m</w:t>
      </w:r>
      <w:r w:rsidR="009D202A" w:rsidRPr="00B0618E">
        <w:rPr>
          <w:color w:val="auto"/>
          <w:vertAlign w:val="superscript"/>
        </w:rPr>
        <w:t>3</w:t>
      </w:r>
      <w:r w:rsidR="009D202A" w:rsidRPr="00B0618E">
        <w:rPr>
          <w:color w:val="auto"/>
        </w:rPr>
        <w:t>/d</w:t>
      </w:r>
      <w:r w:rsidR="002B49FD" w:rsidRPr="00B0618E">
        <w:rPr>
          <w:color w:val="auto"/>
        </w:rPr>
        <w:t xml:space="preserve">, and </w:t>
      </w:r>
      <w:r w:rsidR="00621110">
        <w:rPr>
          <w:color w:val="auto"/>
        </w:rPr>
        <w:t xml:space="preserve">the </w:t>
      </w:r>
      <w:r w:rsidR="002B49FD" w:rsidRPr="00B0618E">
        <w:rPr>
          <w:color w:val="auto"/>
        </w:rPr>
        <w:t>95</w:t>
      </w:r>
      <w:r w:rsidR="002B49FD" w:rsidRPr="00B0618E">
        <w:rPr>
          <w:color w:val="auto"/>
          <w:vertAlign w:val="superscript"/>
        </w:rPr>
        <w:t>th</w:t>
      </w:r>
      <w:r w:rsidR="002B49FD" w:rsidRPr="00B0618E">
        <w:rPr>
          <w:color w:val="auto"/>
        </w:rPr>
        <w:t xml:space="preserve"> percentile decreased from 1 260 </w:t>
      </w:r>
      <w:r w:rsidR="00621110" w:rsidRPr="00B0618E">
        <w:rPr>
          <w:color w:val="auto"/>
        </w:rPr>
        <w:t>m</w:t>
      </w:r>
      <w:r w:rsidR="00621110" w:rsidRPr="00B0618E">
        <w:rPr>
          <w:color w:val="auto"/>
          <w:vertAlign w:val="superscript"/>
        </w:rPr>
        <w:t>3</w:t>
      </w:r>
      <w:r w:rsidR="00621110" w:rsidRPr="00B0618E">
        <w:rPr>
          <w:color w:val="auto"/>
        </w:rPr>
        <w:t xml:space="preserve">/d </w:t>
      </w:r>
      <w:r w:rsidR="002B49FD" w:rsidRPr="00B0618E">
        <w:rPr>
          <w:color w:val="auto"/>
        </w:rPr>
        <w:t>to 1 074 m</w:t>
      </w:r>
      <w:r w:rsidR="002B49FD" w:rsidRPr="00B0618E">
        <w:rPr>
          <w:color w:val="auto"/>
          <w:vertAlign w:val="superscript"/>
        </w:rPr>
        <w:t>3</w:t>
      </w:r>
      <w:r w:rsidR="002B49FD" w:rsidRPr="00B0618E">
        <w:rPr>
          <w:color w:val="auto"/>
        </w:rPr>
        <w:t>/d.</w:t>
      </w:r>
    </w:p>
    <w:p w14:paraId="0519B2C6" w14:textId="0D816471" w:rsidR="00C31761" w:rsidRDefault="002B49FD" w:rsidP="00F866CD">
      <w:pPr>
        <w:pStyle w:val="BodyText"/>
      </w:pPr>
      <w:r w:rsidRPr="00B0618E">
        <w:t xml:space="preserve">These results </w:t>
      </w:r>
      <w:r w:rsidR="003A31E1">
        <w:t>were</w:t>
      </w:r>
      <w:r w:rsidRPr="00B0618E">
        <w:t xml:space="preserve"> </w:t>
      </w:r>
      <w:r w:rsidR="006F337D" w:rsidRPr="00B0618E">
        <w:t xml:space="preserve">significant as they </w:t>
      </w:r>
      <w:r w:rsidR="003A31E1">
        <w:t>demonstrated</w:t>
      </w:r>
      <w:r w:rsidR="006F337D" w:rsidRPr="00B0618E">
        <w:t xml:space="preserve"> two </w:t>
      </w:r>
      <w:r w:rsidR="003A31E1">
        <w:t>key points</w:t>
      </w:r>
      <w:r w:rsidR="006F337D" w:rsidRPr="00B0618E">
        <w:t>: first</w:t>
      </w:r>
      <w:r w:rsidR="005911AC" w:rsidRPr="00B0618E">
        <w:t xml:space="preserve"> of all</w:t>
      </w:r>
      <w:r w:rsidR="006F337D" w:rsidRPr="00B0618E">
        <w:t xml:space="preserve">, median </w:t>
      </w:r>
      <w:r w:rsidR="003A31E1">
        <w:t xml:space="preserve">predictions </w:t>
      </w:r>
      <w:r w:rsidR="001943B1" w:rsidRPr="00B0618E">
        <w:t xml:space="preserve">of the </w:t>
      </w:r>
      <w:r w:rsidR="003A31E1">
        <w:t xml:space="preserve">magnitude and </w:t>
      </w:r>
      <w:r w:rsidR="006F337D" w:rsidRPr="00B0618E">
        <w:t xml:space="preserve">spatial extent of </w:t>
      </w:r>
      <w:r w:rsidR="001943B1" w:rsidRPr="00B0618E">
        <w:t xml:space="preserve">maximum </w:t>
      </w:r>
      <w:r w:rsidR="006F337D" w:rsidRPr="00B0618E">
        <w:t>drawdown increase</w:t>
      </w:r>
      <w:r w:rsidR="003A31E1">
        <w:t>d</w:t>
      </w:r>
      <w:r w:rsidR="006F337D" w:rsidRPr="00B0618E">
        <w:t xml:space="preserve"> </w:t>
      </w:r>
      <w:r w:rsidR="001943B1" w:rsidRPr="00B0618E">
        <w:t xml:space="preserve">slightly </w:t>
      </w:r>
      <w:r w:rsidR="006F337D" w:rsidRPr="00B0618E">
        <w:t xml:space="preserve">when the </w:t>
      </w:r>
      <w:r w:rsidR="00BE6646" w:rsidRPr="00B0618E">
        <w:t xml:space="preserve">first </w:t>
      </w:r>
      <w:r w:rsidR="003A31E1">
        <w:t>parameterisation was</w:t>
      </w:r>
      <w:r w:rsidR="00BE6646" w:rsidRPr="00B0618E">
        <w:t xml:space="preserve"> replaced by the second. </w:t>
      </w:r>
      <w:r w:rsidR="002E5921">
        <w:t>The median</w:t>
      </w:r>
      <w:r w:rsidR="002E5921" w:rsidRPr="00B0618E">
        <w:t xml:space="preserve"> </w:t>
      </w:r>
      <w:r w:rsidR="002E5921">
        <w:t>m</w:t>
      </w:r>
      <w:r w:rsidR="00BE6646" w:rsidRPr="00B0618E">
        <w:t xml:space="preserve">aximum drawdown </w:t>
      </w:r>
      <w:r w:rsidR="003A31E1">
        <w:t>prediction</w:t>
      </w:r>
      <w:r w:rsidR="002E5921">
        <w:t xml:space="preserve"> </w:t>
      </w:r>
      <w:r w:rsidR="00BE6646" w:rsidRPr="00B0618E">
        <w:t>increase</w:t>
      </w:r>
      <w:r w:rsidR="003A31E1">
        <w:t>d</w:t>
      </w:r>
      <w:r w:rsidR="00BE6646" w:rsidRPr="00B0618E">
        <w:t xml:space="preserve"> </w:t>
      </w:r>
      <w:r w:rsidR="003A31E1">
        <w:t xml:space="preserve">further (i.e., from 1.2 m to 3.4 m) </w:t>
      </w:r>
      <w:r w:rsidR="00BE6646" w:rsidRPr="00B0618E">
        <w:t xml:space="preserve">when the </w:t>
      </w:r>
      <w:r w:rsidR="003A31E1">
        <w:t>third</w:t>
      </w:r>
      <w:r w:rsidR="005911AC" w:rsidRPr="00B0618E">
        <w:t xml:space="preserve"> </w:t>
      </w:r>
      <w:r w:rsidR="003A31E1">
        <w:t>(</w:t>
      </w:r>
      <w:r w:rsidR="006F337D" w:rsidRPr="00B0618E">
        <w:t>heterogeneous</w:t>
      </w:r>
      <w:r w:rsidR="003A31E1">
        <w:t>)</w:t>
      </w:r>
      <w:r w:rsidR="006F337D" w:rsidRPr="00B0618E">
        <w:t xml:space="preserve"> </w:t>
      </w:r>
      <w:r w:rsidR="003A31E1">
        <w:t>parameterisation wa</w:t>
      </w:r>
      <w:r w:rsidR="006F337D" w:rsidRPr="00B0618E">
        <w:t>s used</w:t>
      </w:r>
      <w:r w:rsidR="003A31E1">
        <w:t>,</w:t>
      </w:r>
      <w:r w:rsidR="00BE6646" w:rsidRPr="00B0618E">
        <w:t xml:space="preserve"> </w:t>
      </w:r>
      <w:r w:rsidR="006A7D96">
        <w:t xml:space="preserve">while the median timing of maximum drawdown </w:t>
      </w:r>
      <w:r w:rsidR="003A31E1">
        <w:t xml:space="preserve">prediction </w:t>
      </w:r>
      <w:r w:rsidR="006A7D96">
        <w:t>decrease</w:t>
      </w:r>
      <w:r w:rsidR="00C31761">
        <w:t>d</w:t>
      </w:r>
      <w:r w:rsidR="006A7D96">
        <w:t xml:space="preserve"> from 155 </w:t>
      </w:r>
      <w:r w:rsidR="003A31E1">
        <w:t xml:space="preserve">years </w:t>
      </w:r>
      <w:r w:rsidR="006A7D96">
        <w:t>to 35 years</w:t>
      </w:r>
      <w:r w:rsidR="005911AC" w:rsidRPr="00B0618E">
        <w:t xml:space="preserve">. </w:t>
      </w:r>
      <w:r w:rsidR="00C31761">
        <w:t xml:space="preserve">The latter </w:t>
      </w:r>
      <w:r w:rsidR="003A31E1">
        <w:t>wa</w:t>
      </w:r>
      <w:r w:rsidR="00C31761">
        <w:t xml:space="preserve">s due to the skewed distribution </w:t>
      </w:r>
      <w:r w:rsidR="003A31E1">
        <w:t>of predictions generated using</w:t>
      </w:r>
      <w:r w:rsidR="00C31761">
        <w:t xml:space="preserve"> the second </w:t>
      </w:r>
      <w:r w:rsidR="003A31E1">
        <w:t>parameterisation, which was attributed to</w:t>
      </w:r>
      <w:r w:rsidR="00C31761">
        <w:t xml:space="preserve"> approximately 30% of the model runs not achieving maximum drawdown (</w:t>
      </w:r>
      <w:r w:rsidR="003A31E1">
        <w:t xml:space="preserve">i.e., the </w:t>
      </w:r>
      <w:r w:rsidR="00C31761">
        <w:t xml:space="preserve">time to maximum </w:t>
      </w:r>
      <w:r w:rsidR="003A31E1">
        <w:t xml:space="preserve">was </w:t>
      </w:r>
      <w:r w:rsidR="00C31761">
        <w:t xml:space="preserve">&gt; 160 years). </w:t>
      </w:r>
      <w:r w:rsidR="00932501">
        <w:t xml:space="preserve">Unlike </w:t>
      </w:r>
      <w:r w:rsidR="003A31E1">
        <w:t xml:space="preserve">models generated for </w:t>
      </w:r>
      <w:r w:rsidR="00932501">
        <w:t xml:space="preserve">the </w:t>
      </w:r>
      <w:r w:rsidR="003A31E1">
        <w:t xml:space="preserve">two </w:t>
      </w:r>
      <w:r w:rsidR="00932501">
        <w:t xml:space="preserve">homogeneous </w:t>
      </w:r>
      <w:r w:rsidR="003A31E1">
        <w:t>parameterisation approaches</w:t>
      </w:r>
      <w:r w:rsidR="00932501">
        <w:t>, all</w:t>
      </w:r>
      <w:r w:rsidR="00C31761">
        <w:t xml:space="preserve"> model r</w:t>
      </w:r>
      <w:r w:rsidR="00915C0C">
        <w:t xml:space="preserve"> </w:t>
      </w:r>
      <w:r w:rsidR="00C31761">
        <w:t xml:space="preserve">uns </w:t>
      </w:r>
      <w:r w:rsidR="006E101D">
        <w:t xml:space="preserve">for the third (heterogeneous) parameterisation </w:t>
      </w:r>
      <w:r w:rsidR="00C31761">
        <w:t>achieve</w:t>
      </w:r>
      <w:r w:rsidR="006E101D">
        <w:t>d</w:t>
      </w:r>
      <w:r w:rsidR="00C31761">
        <w:t xml:space="preserve"> maximum </w:t>
      </w:r>
      <w:r w:rsidR="00932501">
        <w:t xml:space="preserve">drawdown </w:t>
      </w:r>
      <w:r w:rsidR="00C31761">
        <w:t xml:space="preserve">within the total model run time, </w:t>
      </w:r>
      <w:r w:rsidR="00932501">
        <w:t xml:space="preserve">yielding the smaller median </w:t>
      </w:r>
      <w:r w:rsidR="006E101D">
        <w:t xml:space="preserve">prediction </w:t>
      </w:r>
      <w:r w:rsidR="00932501">
        <w:t xml:space="preserve">value of 35 years. </w:t>
      </w:r>
    </w:p>
    <w:p w14:paraId="059B1051" w14:textId="0A974BA1" w:rsidR="00C87F25" w:rsidRDefault="00B215CB" w:rsidP="00B215CB">
      <w:pPr>
        <w:pStyle w:val="BodyText"/>
      </w:pPr>
      <w:r>
        <w:t>Overall, results showed that</w:t>
      </w:r>
      <w:r w:rsidR="00D65B37" w:rsidRPr="00D65B37">
        <w:t xml:space="preserve"> </w:t>
      </w:r>
      <w:r w:rsidR="00D65B37" w:rsidRPr="00B0618E">
        <w:t xml:space="preserve">for the model </w:t>
      </w:r>
      <w:r w:rsidR="00D65B37">
        <w:t xml:space="preserve">conditions </w:t>
      </w:r>
      <w:r w:rsidR="00D65B37" w:rsidRPr="00B0618E">
        <w:t>and data sets used here</w:t>
      </w:r>
      <w:r>
        <w:t xml:space="preserve">, the </w:t>
      </w:r>
      <w:r w:rsidR="004B09CB" w:rsidRPr="00B0618E">
        <w:t xml:space="preserve">median </w:t>
      </w:r>
      <w:r w:rsidR="006E101D">
        <w:t xml:space="preserve">prediction </w:t>
      </w:r>
      <w:r w:rsidR="004B09CB" w:rsidRPr="00B0618E">
        <w:t xml:space="preserve">values </w:t>
      </w:r>
      <w:r w:rsidR="006E101D">
        <w:t>were</w:t>
      </w:r>
      <w:r w:rsidR="004B09CB" w:rsidRPr="00B0618E">
        <w:t xml:space="preserve"> not affected </w:t>
      </w:r>
      <w:r w:rsidR="006E101D">
        <w:t xml:space="preserve">considerably </w:t>
      </w:r>
      <w:r w:rsidR="00D65B37">
        <w:t>(</w:t>
      </w:r>
      <w:r w:rsidR="00BC2211">
        <w:t>i.e.</w:t>
      </w:r>
      <w:r w:rsidR="006E101D">
        <w:t>,</w:t>
      </w:r>
      <w:r w:rsidR="00BC2211">
        <w:t xml:space="preserve"> </w:t>
      </w:r>
      <w:r w:rsidR="00D65B37">
        <w:t xml:space="preserve">are </w:t>
      </w:r>
      <w:r w:rsidR="00D65B37" w:rsidRPr="00B0618E">
        <w:t>fairly robust</w:t>
      </w:r>
      <w:r w:rsidR="00D65B37">
        <w:t>)</w:t>
      </w:r>
      <w:r w:rsidR="00D65B37" w:rsidRPr="00B0618E">
        <w:t xml:space="preserve"> </w:t>
      </w:r>
      <w:r w:rsidR="004B09CB" w:rsidRPr="00B0618E">
        <w:t xml:space="preserve">by </w:t>
      </w:r>
      <w:r w:rsidR="006E101D">
        <w:t xml:space="preserve">improved model parameterisations </w:t>
      </w:r>
      <w:r w:rsidR="00EE65E8">
        <w:t>informed by measurements</w:t>
      </w:r>
      <w:r w:rsidR="00C87F25">
        <w:t xml:space="preserve"> (</w:t>
      </w:r>
      <w:r w:rsidR="006E101D">
        <w:t xml:space="preserve">i.e., </w:t>
      </w:r>
      <w:r w:rsidR="00C87F25">
        <w:t xml:space="preserve">first and second </w:t>
      </w:r>
      <w:r w:rsidR="006E101D">
        <w:t>parameterisations</w:t>
      </w:r>
      <w:r w:rsidR="00C87F25">
        <w:t xml:space="preserve">), unless </w:t>
      </w:r>
      <w:r w:rsidR="00EE65E8">
        <w:t xml:space="preserve">a more detailed </w:t>
      </w:r>
      <w:r w:rsidR="006E101D">
        <w:t xml:space="preserve">parameterisation </w:t>
      </w:r>
      <w:r w:rsidR="00C87F25">
        <w:t>is used (i.e.</w:t>
      </w:r>
      <w:r w:rsidR="006E101D">
        <w:t>,</w:t>
      </w:r>
      <w:r w:rsidR="00C87F25">
        <w:t xml:space="preserve"> </w:t>
      </w:r>
      <w:r w:rsidR="006E101D">
        <w:t xml:space="preserve">the third </w:t>
      </w:r>
      <w:r w:rsidR="00C87F25">
        <w:t xml:space="preserve">heterogeneous </w:t>
      </w:r>
      <w:r w:rsidR="006E101D">
        <w:t>parameterisation</w:t>
      </w:r>
      <w:r w:rsidR="00C87F25">
        <w:t>)</w:t>
      </w:r>
      <w:r>
        <w:t>.</w:t>
      </w:r>
      <w:r w:rsidR="004B09CB" w:rsidRPr="00B0618E">
        <w:t xml:space="preserve"> </w:t>
      </w:r>
    </w:p>
    <w:p w14:paraId="388F5EEC" w14:textId="208917B0" w:rsidR="00F866CD" w:rsidRPr="00B0618E" w:rsidRDefault="00B215CB" w:rsidP="00F866CD">
      <w:pPr>
        <w:pStyle w:val="BodyText"/>
      </w:pPr>
      <w:r>
        <w:t>Results further showed that</w:t>
      </w:r>
      <w:r w:rsidR="002E5921">
        <w:t xml:space="preserve"> </w:t>
      </w:r>
      <w:r w:rsidR="00E03A09">
        <w:t xml:space="preserve">calculated </w:t>
      </w:r>
      <w:r w:rsidR="005911AC" w:rsidRPr="00B0618E">
        <w:t>extreme drawdowns (</w:t>
      </w:r>
      <w:r w:rsidR="006E101D">
        <w:t xml:space="preserve">i.e., </w:t>
      </w:r>
      <w:r w:rsidR="00A7141C" w:rsidRPr="00B0618E">
        <w:t>95</w:t>
      </w:r>
      <w:r w:rsidR="00A7141C" w:rsidRPr="00B0618E">
        <w:rPr>
          <w:vertAlign w:val="superscript"/>
        </w:rPr>
        <w:t>th</w:t>
      </w:r>
      <w:r w:rsidR="00A7141C" w:rsidRPr="00B0618E">
        <w:t xml:space="preserve"> </w:t>
      </w:r>
      <w:r w:rsidR="004B09CB" w:rsidRPr="00B0618E">
        <w:t>percentile</w:t>
      </w:r>
      <w:r w:rsidR="006E101D">
        <w:t>s of magnitude and spatial extent of drawdown</w:t>
      </w:r>
      <w:r w:rsidR="005911AC" w:rsidRPr="00B0618E">
        <w:t xml:space="preserve">) are much smaller </w:t>
      </w:r>
      <w:r w:rsidR="008247C6">
        <w:t>for</w:t>
      </w:r>
      <w:r w:rsidR="005911AC" w:rsidRPr="00B0618E">
        <w:t xml:space="preserve"> the </w:t>
      </w:r>
      <w:r w:rsidR="006E101D" w:rsidRPr="00B0618E">
        <w:t xml:space="preserve">third </w:t>
      </w:r>
      <w:r w:rsidR="006E101D">
        <w:t>(</w:t>
      </w:r>
      <w:r w:rsidR="005911AC" w:rsidRPr="00B0618E">
        <w:t>heterogeneous</w:t>
      </w:r>
      <w:r w:rsidR="006E101D">
        <w:t>)</w:t>
      </w:r>
      <w:r w:rsidR="005911AC" w:rsidRPr="00B0618E">
        <w:t xml:space="preserve"> </w:t>
      </w:r>
      <w:r w:rsidR="006E101D">
        <w:t>parameterisation</w:t>
      </w:r>
      <w:r w:rsidR="005911AC" w:rsidRPr="00B0618E">
        <w:t xml:space="preserve">. The latter is </w:t>
      </w:r>
      <w:r w:rsidR="002B49FD" w:rsidRPr="00B0618E">
        <w:t xml:space="preserve">consistent with </w:t>
      </w:r>
      <w:r w:rsidR="00F1229F" w:rsidRPr="00B0618E">
        <w:t xml:space="preserve">maps of </w:t>
      </w:r>
      <w:r w:rsidR="002B49FD" w:rsidRPr="00B0618E">
        <w:t xml:space="preserve">the spatial distribution of </w:t>
      </w:r>
      <w:r w:rsidR="00E03A09">
        <w:t xml:space="preserve">calculated </w:t>
      </w:r>
      <w:r w:rsidR="002B49FD" w:rsidRPr="00B0618E">
        <w:t>drawdown</w:t>
      </w:r>
      <w:r w:rsidR="00F1229F" w:rsidRPr="00B0618E">
        <w:t xml:space="preserve">s, </w:t>
      </w:r>
      <w:r w:rsidR="002B49FD" w:rsidRPr="00B0618E">
        <w:t xml:space="preserve">illustrating that the heterogeneous </w:t>
      </w:r>
      <w:r w:rsidR="006E101D">
        <w:t>parameterisation</w:t>
      </w:r>
      <w:r w:rsidR="002B49FD" w:rsidRPr="00B0618E">
        <w:t xml:space="preserve"> </w:t>
      </w:r>
      <w:r w:rsidR="00F1229F" w:rsidRPr="00B0618E">
        <w:t>is</w:t>
      </w:r>
      <w:r w:rsidR="002B49FD" w:rsidRPr="00B0618E">
        <w:t xml:space="preserve"> much better constrained resulting in a much smaller range of </w:t>
      </w:r>
      <w:r w:rsidR="00F1229F" w:rsidRPr="00B0618E">
        <w:t xml:space="preserve">extreme </w:t>
      </w:r>
      <w:r w:rsidR="002B49FD" w:rsidRPr="00B0618E">
        <w:t xml:space="preserve">drawdowns. </w:t>
      </w:r>
      <w:r w:rsidR="001943B1" w:rsidRPr="00B0618E">
        <w:t>The extreme values (e.g., 95</w:t>
      </w:r>
      <w:r w:rsidR="001943B1" w:rsidRPr="00B0618E">
        <w:rPr>
          <w:vertAlign w:val="superscript"/>
        </w:rPr>
        <w:t>th</w:t>
      </w:r>
      <w:r w:rsidR="001943B1" w:rsidRPr="00B0618E">
        <w:t xml:space="preserve"> percentiles), however, are materially affected (i.e.</w:t>
      </w:r>
      <w:r w:rsidR="003D0C0D">
        <w:t>,</w:t>
      </w:r>
      <w:r w:rsidR="001943B1" w:rsidRPr="00B0618E">
        <w:t xml:space="preserve"> smaller) by using the heterogeneous </w:t>
      </w:r>
      <w:r w:rsidR="00F76899" w:rsidRPr="00B0618E">
        <w:rPr>
          <w:i/>
        </w:rPr>
        <w:t>K</w:t>
      </w:r>
      <w:r w:rsidR="006E101D">
        <w:rPr>
          <w:vertAlign w:val="subscript"/>
        </w:rPr>
        <w:t>V</w:t>
      </w:r>
      <w:r w:rsidR="00F76899" w:rsidRPr="00B0618E">
        <w:t xml:space="preserve"> </w:t>
      </w:r>
      <w:r w:rsidR="001943B1" w:rsidRPr="00B0618E">
        <w:t xml:space="preserve">model. </w:t>
      </w:r>
      <w:r w:rsidR="002B49FD" w:rsidRPr="00B0618E">
        <w:t xml:space="preserve">The better constrained </w:t>
      </w:r>
      <w:r w:rsidR="002B49FD" w:rsidRPr="00B0618E">
        <w:rPr>
          <w:i/>
        </w:rPr>
        <w:t>K</w:t>
      </w:r>
      <w:r w:rsidR="006E101D">
        <w:rPr>
          <w:vertAlign w:val="subscript"/>
        </w:rPr>
        <w:t>V</w:t>
      </w:r>
      <w:r w:rsidR="002B49FD" w:rsidRPr="00B0618E">
        <w:t xml:space="preserve"> model </w:t>
      </w:r>
      <w:r>
        <w:t xml:space="preserve">is a </w:t>
      </w:r>
      <w:r w:rsidR="002B49FD" w:rsidRPr="00B0618E">
        <w:t xml:space="preserve">result from using the conditioned Sequential Gaussian Simulation, which honours the observed </w:t>
      </w:r>
      <w:r w:rsidR="002B49FD" w:rsidRPr="00B0618E">
        <w:rPr>
          <w:i/>
        </w:rPr>
        <w:t>K</w:t>
      </w:r>
      <w:r w:rsidR="006E101D">
        <w:rPr>
          <w:vertAlign w:val="subscript"/>
        </w:rPr>
        <w:t>V</w:t>
      </w:r>
      <w:r w:rsidR="002B49FD" w:rsidRPr="00B0618E">
        <w:t xml:space="preserve"> data. </w:t>
      </w:r>
      <w:r w:rsidR="008247C6">
        <w:t>It is unlikely that</w:t>
      </w:r>
      <w:r w:rsidR="002B49FD" w:rsidRPr="00B0618E">
        <w:t xml:space="preserve"> </w:t>
      </w:r>
      <w:r w:rsidR="008247C6" w:rsidRPr="00B0618E">
        <w:t>the smaller number of model runs, 50 for the heterogeneous model</w:t>
      </w:r>
      <w:r w:rsidR="008247C6">
        <w:t>s</w:t>
      </w:r>
      <w:r w:rsidR="008247C6" w:rsidRPr="00B0618E">
        <w:t xml:space="preserve"> versus 300 for the homogeneous models</w:t>
      </w:r>
      <w:r w:rsidR="008247C6">
        <w:t>,</w:t>
      </w:r>
      <w:r w:rsidR="008247C6" w:rsidRPr="00B0618E">
        <w:t xml:space="preserve"> </w:t>
      </w:r>
      <w:r w:rsidR="008247C6">
        <w:t xml:space="preserve">is the main </w:t>
      </w:r>
      <w:r w:rsidR="002B49FD" w:rsidRPr="00B0618E">
        <w:t>reason for the smaller range of drawdowns. The</w:t>
      </w:r>
      <w:r w:rsidR="006A7D96">
        <w:t xml:space="preserve"> latter conclusion is based on robustness tests with the heterogeneous models</w:t>
      </w:r>
      <w:r w:rsidR="002B49FD" w:rsidRPr="00B0618E">
        <w:t xml:space="preserve">, </w:t>
      </w:r>
      <w:r w:rsidR="006A7D96">
        <w:t>and on a demonstration that the scale of the model is sufficiently large compared to the scale of the heterogeneity in aquitard</w:t>
      </w:r>
      <w:r w:rsidR="002B49FD" w:rsidRPr="00B0618E">
        <w:t xml:space="preserve"> </w:t>
      </w:r>
      <w:r w:rsidR="002B49FD" w:rsidRPr="00B0618E">
        <w:rPr>
          <w:i/>
        </w:rPr>
        <w:t>K</w:t>
      </w:r>
      <w:r w:rsidR="006E101D">
        <w:rPr>
          <w:vertAlign w:val="subscript"/>
        </w:rPr>
        <w:t>V</w:t>
      </w:r>
      <w:r w:rsidR="002B49FD" w:rsidRPr="00B0618E">
        <w:t xml:space="preserve">. </w:t>
      </w:r>
    </w:p>
    <w:p w14:paraId="0AF670C9" w14:textId="30435D62" w:rsidR="00932501" w:rsidRDefault="00932501" w:rsidP="00165854">
      <w:pPr>
        <w:pStyle w:val="BodyText"/>
      </w:pPr>
      <w:r>
        <w:t xml:space="preserve">The </w:t>
      </w:r>
      <w:r w:rsidRPr="00B0618E">
        <w:t>95</w:t>
      </w:r>
      <w:r w:rsidRPr="00B0618E">
        <w:rPr>
          <w:vertAlign w:val="superscript"/>
        </w:rPr>
        <w:t>th</w:t>
      </w:r>
      <w:r w:rsidRPr="00B0618E">
        <w:t xml:space="preserve"> percentiles</w:t>
      </w:r>
      <w:r>
        <w:t xml:space="preserve"> </w:t>
      </w:r>
      <w:r w:rsidR="00B215CB">
        <w:t xml:space="preserve">for all other impact metrics </w:t>
      </w:r>
      <w:r>
        <w:t xml:space="preserve">show the same trend as for the drawdown: using the heterogeneous model decreases the timing of maximum drawdown, </w:t>
      </w:r>
      <w:r w:rsidR="00B215CB">
        <w:t xml:space="preserve">and decreases the impact due to the </w:t>
      </w:r>
      <w:r>
        <w:t>smaller spatial extent and smaller maximum flux. As mentioned above, this difference is unlikely due to the use of a smaller number of models runs (50 compared to 300)</w:t>
      </w:r>
      <w:r w:rsidR="003D0C0D">
        <w:t>. Instead,</w:t>
      </w:r>
      <w:r>
        <w:t xml:space="preserve"> it is the result of </w:t>
      </w:r>
      <w:r w:rsidR="00512C84">
        <w:t xml:space="preserve">using constrained heterogeneous parameter fields that generated models in which extreme </w:t>
      </w:r>
      <w:r w:rsidR="00512C84" w:rsidRPr="00B0618E">
        <w:rPr>
          <w:i/>
        </w:rPr>
        <w:t>K</w:t>
      </w:r>
      <w:r w:rsidR="006E101D">
        <w:rPr>
          <w:vertAlign w:val="subscript"/>
        </w:rPr>
        <w:t>V</w:t>
      </w:r>
      <w:r w:rsidR="00512C84">
        <w:t xml:space="preserve"> values would have less significance on groundwater flow given their small spatial footprint compared to homogeneous models where </w:t>
      </w:r>
      <w:r w:rsidR="00BC2211">
        <w:t xml:space="preserve">an </w:t>
      </w:r>
      <w:r w:rsidR="00512C84">
        <w:t xml:space="preserve">extreme </w:t>
      </w:r>
      <w:r w:rsidR="00512C84" w:rsidRPr="00B0618E">
        <w:rPr>
          <w:i/>
        </w:rPr>
        <w:t>K</w:t>
      </w:r>
      <w:r w:rsidR="006E101D">
        <w:rPr>
          <w:vertAlign w:val="subscript"/>
        </w:rPr>
        <w:t>V</w:t>
      </w:r>
      <w:r w:rsidR="00512C84">
        <w:t xml:space="preserve"> would have a much larger impact on flow.</w:t>
      </w:r>
    </w:p>
    <w:p w14:paraId="6F39564E" w14:textId="071F385A" w:rsidR="00F866CD" w:rsidRPr="00B0618E" w:rsidRDefault="004B09CB" w:rsidP="00165854">
      <w:pPr>
        <w:pStyle w:val="BodyText"/>
      </w:pPr>
      <w:r w:rsidRPr="00B0618E">
        <w:t xml:space="preserve">In a </w:t>
      </w:r>
      <w:r w:rsidR="00F049D8">
        <w:t>final step</w:t>
      </w:r>
      <w:r w:rsidR="003D0C0D">
        <w:t>,</w:t>
      </w:r>
      <w:r w:rsidR="00F049D8">
        <w:t xml:space="preserve"> a </w:t>
      </w:r>
      <w:r w:rsidRPr="00B0618E">
        <w:t xml:space="preserve">bootstrapping resampling method </w:t>
      </w:r>
      <w:r w:rsidR="00F049D8">
        <w:t>was implemented</w:t>
      </w:r>
      <w:r w:rsidRPr="00B0618E">
        <w:t xml:space="preserve"> as a means to determine </w:t>
      </w:r>
      <w:r w:rsidR="00EE65E8">
        <w:t>how robust the</w:t>
      </w:r>
      <w:r w:rsidR="00F049D8">
        <w:t xml:space="preserve"> statistical moments (50</w:t>
      </w:r>
      <w:r w:rsidR="00F049D8" w:rsidRPr="00F049D8">
        <w:rPr>
          <w:vertAlign w:val="superscript"/>
        </w:rPr>
        <w:t>th</w:t>
      </w:r>
      <w:r w:rsidR="00F049D8">
        <w:t>, 75</w:t>
      </w:r>
      <w:r w:rsidR="00F049D8" w:rsidRPr="00F049D8">
        <w:rPr>
          <w:vertAlign w:val="superscript"/>
        </w:rPr>
        <w:t>th</w:t>
      </w:r>
      <w:r w:rsidR="00F049D8">
        <w:t>, and 90</w:t>
      </w:r>
      <w:r w:rsidR="00F049D8" w:rsidRPr="00F049D8">
        <w:rPr>
          <w:vertAlign w:val="superscript"/>
        </w:rPr>
        <w:t>th</w:t>
      </w:r>
      <w:r w:rsidR="00F049D8">
        <w:t xml:space="preserve"> percentile) of </w:t>
      </w:r>
      <w:r w:rsidR="00F049D8" w:rsidRPr="00B0618E">
        <w:t>groundwater impact metrics</w:t>
      </w:r>
      <w:r w:rsidR="00EE65E8">
        <w:t xml:space="preserve"> </w:t>
      </w:r>
      <w:r w:rsidR="003D0C0D">
        <w:t>were</w:t>
      </w:r>
      <w:r w:rsidR="00F049D8">
        <w:t>.</w:t>
      </w:r>
      <w:r w:rsidR="00F049D8" w:rsidRPr="00B0618E">
        <w:t xml:space="preserve"> </w:t>
      </w:r>
      <w:r w:rsidR="00EE65E8">
        <w:t>The analysis highlighted</w:t>
      </w:r>
      <w:r w:rsidR="00F049D8">
        <w:t xml:space="preserve"> how </w:t>
      </w:r>
      <w:r w:rsidR="0056325F">
        <w:t xml:space="preserve">the </w:t>
      </w:r>
      <w:r w:rsidRPr="00B0618E">
        <w:t xml:space="preserve">size </w:t>
      </w:r>
      <w:r w:rsidR="0056325F">
        <w:t xml:space="preserve">of upscaled aquitard </w:t>
      </w:r>
      <w:r w:rsidR="0056325F" w:rsidRPr="00F17FCA">
        <w:rPr>
          <w:i/>
        </w:rPr>
        <w:t>K</w:t>
      </w:r>
      <w:r w:rsidR="0056325F" w:rsidRPr="00F17FCA">
        <w:rPr>
          <w:i/>
          <w:vertAlign w:val="subscript"/>
        </w:rPr>
        <w:t>V</w:t>
      </w:r>
      <w:r w:rsidR="0056325F">
        <w:t xml:space="preserve"> samples </w:t>
      </w:r>
      <w:r w:rsidR="00F049D8">
        <w:t>affected the</w:t>
      </w:r>
      <w:r w:rsidRPr="00B0618E">
        <w:t xml:space="preserve"> robust</w:t>
      </w:r>
      <w:r w:rsidR="00F049D8">
        <w:t>ness of the</w:t>
      </w:r>
      <w:r w:rsidRPr="00B0618E">
        <w:t xml:space="preserve"> summary statistics.</w:t>
      </w:r>
    </w:p>
    <w:p w14:paraId="05B0CE9F" w14:textId="77777777" w:rsidR="005B77B6" w:rsidRPr="00B0618E" w:rsidRDefault="005B77B6">
      <w:pPr>
        <w:spacing w:after="0"/>
      </w:pPr>
      <w:r w:rsidRPr="00B0618E">
        <w:br w:type="page"/>
      </w:r>
    </w:p>
    <w:p w14:paraId="6AF36CF8" w14:textId="77777777" w:rsidR="00AE0D97" w:rsidRPr="00B0618E" w:rsidRDefault="00AE0D97" w:rsidP="00D1044D">
      <w:pPr>
        <w:pStyle w:val="Heading1"/>
        <w:sectPr w:rsidR="00AE0D97" w:rsidRPr="00B0618E" w:rsidSect="00AE0D97">
          <w:headerReference w:type="default" r:id="rId19"/>
          <w:footerReference w:type="even" r:id="rId20"/>
          <w:footerReference w:type="default" r:id="rId21"/>
          <w:pgSz w:w="11906" w:h="16838" w:code="9"/>
          <w:pgMar w:top="1134" w:right="1134" w:bottom="1134" w:left="1134" w:header="510" w:footer="624" w:gutter="0"/>
          <w:pgNumType w:fmt="lowerRoman" w:start="1"/>
          <w:cols w:space="284"/>
          <w:docGrid w:linePitch="360"/>
        </w:sectPr>
      </w:pPr>
    </w:p>
    <w:p w14:paraId="17A863AD" w14:textId="77777777" w:rsidR="00A943B2" w:rsidRPr="00B0618E" w:rsidRDefault="00A943B2" w:rsidP="00D1044D">
      <w:pPr>
        <w:pStyle w:val="Heading1"/>
      </w:pPr>
      <w:bookmarkStart w:id="11" w:name="_Toc483127558"/>
      <w:r w:rsidRPr="00B0618E">
        <w:t>Introduction</w:t>
      </w:r>
      <w:bookmarkEnd w:id="11"/>
    </w:p>
    <w:p w14:paraId="1846C286" w14:textId="61CC63AA" w:rsidR="008853AC" w:rsidRDefault="008853AC" w:rsidP="00165854">
      <w:pPr>
        <w:pStyle w:val="Heading2"/>
      </w:pPr>
      <w:bookmarkStart w:id="12" w:name="_Toc483127559"/>
      <w:r>
        <w:t>Terms of reference</w:t>
      </w:r>
      <w:bookmarkEnd w:id="12"/>
    </w:p>
    <w:p w14:paraId="312C5DA2" w14:textId="7A42859C" w:rsidR="008853AC" w:rsidRPr="003E5804" w:rsidRDefault="008853AC" w:rsidP="003E5804">
      <w:pPr>
        <w:pStyle w:val="BodyText"/>
      </w:pPr>
      <w:r w:rsidRPr="003E5804">
        <w:t>The Department of the Environment</w:t>
      </w:r>
      <w:r>
        <w:t xml:space="preserve"> and Energy</w:t>
      </w:r>
      <w:r w:rsidRPr="003E5804">
        <w:t xml:space="preserve">, through its Office of Water Science, </w:t>
      </w:r>
      <w:r>
        <w:t xml:space="preserve">requires </w:t>
      </w:r>
      <w:r w:rsidRPr="003E5804">
        <w:t>hydrology research to better include faults and aquitards in Australian regional groundwater models to improve assessment of impacts of CSG extraction and coal mining.</w:t>
      </w:r>
    </w:p>
    <w:p w14:paraId="3A607748" w14:textId="43DA20A0" w:rsidR="008853AC" w:rsidRPr="0035717F" w:rsidRDefault="008853AC" w:rsidP="003E5804">
      <w:pPr>
        <w:pStyle w:val="BodyText"/>
      </w:pPr>
      <w:r w:rsidRPr="0035717F">
        <w:t>Th</w:t>
      </w:r>
      <w:r>
        <w:t xml:space="preserve">is </w:t>
      </w:r>
      <w:r w:rsidRPr="003E5804">
        <w:t>research addresses research priorities that the IESC has identified: “to increase the scientific evidence that underpins decisions about coal seam gas and large coal mining development, enabling decisions to be based on the most</w:t>
      </w:r>
      <w:r w:rsidRPr="0035717F">
        <w:t xml:space="preserve"> rigorous science available.”</w:t>
      </w:r>
    </w:p>
    <w:p w14:paraId="4D14DCFA" w14:textId="77777777" w:rsidR="008853AC" w:rsidRPr="0035717F" w:rsidRDefault="008853AC" w:rsidP="003E5804">
      <w:pPr>
        <w:pStyle w:val="BodyText"/>
      </w:pPr>
      <w:r w:rsidRPr="0035717F">
        <w:t>The research theme is expected to:</w:t>
      </w:r>
    </w:p>
    <w:p w14:paraId="346E5370" w14:textId="77777777" w:rsidR="008853AC" w:rsidRPr="009F255A" w:rsidRDefault="008853AC" w:rsidP="00F47AA9">
      <w:pPr>
        <w:pStyle w:val="ListParagraph"/>
        <w:numPr>
          <w:ilvl w:val="0"/>
          <w:numId w:val="25"/>
        </w:numPr>
        <w:spacing w:before="0" w:after="140" w:line="280" w:lineRule="atLeast"/>
        <w:rPr>
          <w:rFonts w:asciiTheme="minorHAnsi" w:hAnsiTheme="minorHAnsi"/>
        </w:rPr>
      </w:pPr>
      <w:r w:rsidRPr="009F255A">
        <w:rPr>
          <w:rFonts w:asciiTheme="minorHAnsi" w:hAnsiTheme="minorHAnsi"/>
        </w:rPr>
        <w:t>assist better decision-making, regulation, natural resource management and industry practice</w:t>
      </w:r>
    </w:p>
    <w:p w14:paraId="0783C9C1" w14:textId="77777777" w:rsidR="008853AC" w:rsidRPr="009F255A" w:rsidRDefault="008853AC" w:rsidP="00F47AA9">
      <w:pPr>
        <w:pStyle w:val="ListParagraph"/>
        <w:numPr>
          <w:ilvl w:val="0"/>
          <w:numId w:val="25"/>
        </w:numPr>
        <w:spacing w:before="0" w:after="140" w:line="280" w:lineRule="atLeast"/>
        <w:rPr>
          <w:rFonts w:asciiTheme="minorHAnsi" w:hAnsiTheme="minorHAnsi"/>
        </w:rPr>
      </w:pPr>
      <w:r w:rsidRPr="009F255A">
        <w:rPr>
          <w:rFonts w:asciiTheme="minorHAnsi" w:hAnsiTheme="minorHAnsi"/>
        </w:rPr>
        <w:t>build knowledge about the highest risks to freshwater resources, land and ecosystems</w:t>
      </w:r>
    </w:p>
    <w:p w14:paraId="65DFB153" w14:textId="77777777" w:rsidR="008853AC" w:rsidRPr="009F255A" w:rsidRDefault="008853AC" w:rsidP="00F47AA9">
      <w:pPr>
        <w:pStyle w:val="ListParagraph"/>
        <w:numPr>
          <w:ilvl w:val="0"/>
          <w:numId w:val="25"/>
        </w:numPr>
        <w:spacing w:before="0" w:after="140" w:line="280" w:lineRule="atLeast"/>
        <w:rPr>
          <w:rFonts w:asciiTheme="minorHAnsi" w:hAnsiTheme="minorHAnsi"/>
        </w:rPr>
      </w:pPr>
      <w:r w:rsidRPr="009F255A">
        <w:rPr>
          <w:rFonts w:asciiTheme="minorHAnsi" w:hAnsiTheme="minorHAnsi"/>
        </w:rPr>
        <w:t>help provide data and knowledge that can support the Bioregional Assessments in priority areas.</w:t>
      </w:r>
    </w:p>
    <w:p w14:paraId="51A2B08B" w14:textId="2B7CBC2E" w:rsidR="008853AC" w:rsidRPr="003E5804" w:rsidRDefault="008853AC" w:rsidP="003E5804">
      <w:pPr>
        <w:pStyle w:val="BodyText"/>
      </w:pPr>
      <w:r w:rsidRPr="003E5804">
        <w:t>The current focus is on identifying and assessing the risks associated with deep groundwater extraction and depressurisation. Recent research, discussion with the IESC and consultation with industry stakeholders identified the need for a project to specifically address the following three issues</w:t>
      </w:r>
      <w:r>
        <w:t>:</w:t>
      </w:r>
    </w:p>
    <w:p w14:paraId="46428945" w14:textId="0D4B41E6" w:rsidR="008853AC" w:rsidRDefault="008853AC" w:rsidP="00F47AA9">
      <w:pPr>
        <w:pStyle w:val="ListParagraph"/>
        <w:numPr>
          <w:ilvl w:val="0"/>
          <w:numId w:val="26"/>
        </w:numPr>
        <w:rPr>
          <w:i/>
        </w:rPr>
      </w:pPr>
      <w:r w:rsidRPr="003E5804">
        <w:rPr>
          <w:u w:val="single"/>
        </w:rPr>
        <w:t>Component 1 (Aquitards):</w:t>
      </w:r>
      <w:r>
        <w:rPr>
          <w:u w:val="single"/>
        </w:rPr>
        <w:t xml:space="preserve"> </w:t>
      </w:r>
      <w:r w:rsidRPr="003E5804">
        <w:rPr>
          <w:i/>
        </w:rPr>
        <w:t>Improving understanding of vertical hydraulic conductivity in aquitards to examine the risk of depressurisation at a range of scales</w:t>
      </w:r>
      <w:r>
        <w:rPr>
          <w:i/>
        </w:rPr>
        <w:t xml:space="preserve"> (this report)</w:t>
      </w:r>
      <w:r w:rsidRPr="003E5804">
        <w:rPr>
          <w:i/>
        </w:rPr>
        <w:t>.</w:t>
      </w:r>
    </w:p>
    <w:p w14:paraId="7E5B49A5" w14:textId="77777777" w:rsidR="008853AC" w:rsidRPr="003E5804" w:rsidRDefault="008853AC" w:rsidP="003E5804">
      <w:pPr>
        <w:pStyle w:val="ListParagraph"/>
        <w:rPr>
          <w:i/>
        </w:rPr>
      </w:pPr>
    </w:p>
    <w:p w14:paraId="364EA8DF" w14:textId="1AE0F0C6" w:rsidR="008853AC" w:rsidRDefault="008853AC" w:rsidP="00F47AA9">
      <w:pPr>
        <w:pStyle w:val="ListParagraph"/>
        <w:numPr>
          <w:ilvl w:val="0"/>
          <w:numId w:val="26"/>
        </w:numPr>
        <w:rPr>
          <w:i/>
        </w:rPr>
      </w:pPr>
      <w:r w:rsidRPr="003E5804">
        <w:rPr>
          <w:u w:val="single"/>
        </w:rPr>
        <w:t>Component 2 (Faults):</w:t>
      </w:r>
      <w:r>
        <w:rPr>
          <w:u w:val="single"/>
        </w:rPr>
        <w:t xml:space="preserve"> </w:t>
      </w:r>
      <w:r w:rsidRPr="003E5804">
        <w:rPr>
          <w:i/>
        </w:rPr>
        <w:t>Understanding the influence of faults on groundwater flow in Australian sedimentary basins, and the risk of faults propagating depressurisation to linked aquifers and surface environments</w:t>
      </w:r>
      <w:r>
        <w:rPr>
          <w:i/>
        </w:rPr>
        <w:t xml:space="preserve"> (discussed elsewhere)</w:t>
      </w:r>
      <w:r w:rsidRPr="003E5804">
        <w:rPr>
          <w:i/>
        </w:rPr>
        <w:t>.</w:t>
      </w:r>
    </w:p>
    <w:p w14:paraId="14747885" w14:textId="77777777" w:rsidR="008853AC" w:rsidRPr="003E5804" w:rsidRDefault="008853AC" w:rsidP="003E5804">
      <w:pPr>
        <w:pStyle w:val="ListParagraph"/>
        <w:rPr>
          <w:i/>
        </w:rPr>
      </w:pPr>
    </w:p>
    <w:p w14:paraId="7135CF8B" w14:textId="77777777" w:rsidR="003E5804" w:rsidRDefault="008853AC" w:rsidP="00F47AA9">
      <w:pPr>
        <w:pStyle w:val="ListParagraph"/>
        <w:numPr>
          <w:ilvl w:val="0"/>
          <w:numId w:val="26"/>
        </w:numPr>
        <w:rPr>
          <w:i/>
        </w:rPr>
      </w:pPr>
      <w:r w:rsidRPr="003E5804">
        <w:rPr>
          <w:u w:val="single"/>
        </w:rPr>
        <w:t xml:space="preserve">Component 3 (Modelling): </w:t>
      </w:r>
      <w:r w:rsidRPr="003E5804">
        <w:rPr>
          <w:i/>
        </w:rPr>
        <w:t>Better conceptualisation, representation and parameterisation of aquitards and faults in regional groundwater models to reduce uncertainty in regional groundwater flow and pressure simulation</w:t>
      </w:r>
      <w:r>
        <w:rPr>
          <w:i/>
        </w:rPr>
        <w:t xml:space="preserve"> (</w:t>
      </w:r>
      <w:r w:rsidR="003E5804">
        <w:rPr>
          <w:i/>
        </w:rPr>
        <w:t xml:space="preserve">aquitards are discussed in </w:t>
      </w:r>
      <w:r>
        <w:rPr>
          <w:i/>
        </w:rPr>
        <w:t>this report)</w:t>
      </w:r>
      <w:r w:rsidRPr="003E5804">
        <w:rPr>
          <w:i/>
        </w:rPr>
        <w:t>.</w:t>
      </w:r>
    </w:p>
    <w:p w14:paraId="61DDCD62" w14:textId="77777777" w:rsidR="0035717F" w:rsidRDefault="003E5804" w:rsidP="00165854">
      <w:pPr>
        <w:spacing w:before="120" w:line="264" w:lineRule="auto"/>
        <w:rPr>
          <w:color w:val="auto"/>
          <w:sz w:val="24"/>
        </w:rPr>
      </w:pPr>
      <w:r>
        <w:rPr>
          <w:color w:val="auto"/>
          <w:sz w:val="24"/>
        </w:rPr>
        <w:t>The current report discusses</w:t>
      </w:r>
      <w:r w:rsidRPr="003E5804">
        <w:rPr>
          <w:color w:val="auto"/>
          <w:sz w:val="24"/>
        </w:rPr>
        <w:t xml:space="preserve"> </w:t>
      </w:r>
      <w:r>
        <w:rPr>
          <w:color w:val="auto"/>
          <w:sz w:val="24"/>
        </w:rPr>
        <w:t xml:space="preserve">component 1 and 3 of the Terms of Reference, that is, to improve understanding of the vertical hydraulic conductivity of aquitards by better conceptualisation, parameterisation and representation of aquitards in regional groundwater models.  </w:t>
      </w:r>
      <w:r w:rsidR="0035717F">
        <w:rPr>
          <w:color w:val="auto"/>
          <w:sz w:val="24"/>
        </w:rPr>
        <w:t>This report builds on findings documented in three previous reports that were all part of this project:</w:t>
      </w:r>
    </w:p>
    <w:p w14:paraId="4B58BC39" w14:textId="6338A2CB" w:rsidR="003E5804" w:rsidRPr="00752C61" w:rsidRDefault="0035717F" w:rsidP="00F47AA9">
      <w:pPr>
        <w:pStyle w:val="ListParagraph"/>
        <w:numPr>
          <w:ilvl w:val="0"/>
          <w:numId w:val="27"/>
        </w:numPr>
        <w:spacing w:before="120"/>
        <w:rPr>
          <w:color w:val="auto"/>
        </w:rPr>
      </w:pPr>
      <w:r>
        <w:rPr>
          <w:color w:val="auto"/>
        </w:rPr>
        <w:t>A</w:t>
      </w:r>
      <w:r w:rsidR="00D16119">
        <w:rPr>
          <w:color w:val="auto"/>
        </w:rPr>
        <w:t>n</w:t>
      </w:r>
      <w:r>
        <w:rPr>
          <w:color w:val="auto"/>
        </w:rPr>
        <w:t xml:space="preserve"> </w:t>
      </w:r>
      <w:r w:rsidR="00D16119" w:rsidRPr="0071781B">
        <w:t xml:space="preserve">overview of approaches to simulating the hydrological influence of aquitards and faults in regional groundwater models, and </w:t>
      </w:r>
      <w:r w:rsidR="00D16119">
        <w:t xml:space="preserve">a summary of the </w:t>
      </w:r>
      <w:r w:rsidR="00D16119" w:rsidRPr="00AB53B9">
        <w:t>literature relat</w:t>
      </w:r>
      <w:r w:rsidR="00D16119">
        <w:t>ing</w:t>
      </w:r>
      <w:r w:rsidR="00D16119" w:rsidRPr="00AB53B9">
        <w:t xml:space="preserve"> to </w:t>
      </w:r>
      <w:r w:rsidR="00D16119">
        <w:t>regional scale groundwater modelling a</w:t>
      </w:r>
      <w:r w:rsidR="00D646E1">
        <w:t>pproaches (Turnadge et al., 2018</w:t>
      </w:r>
      <w:r w:rsidR="009833F3">
        <w:t>a</w:t>
      </w:r>
      <w:r w:rsidR="00D16119">
        <w:t>)</w:t>
      </w:r>
      <w:r w:rsidR="00D16119" w:rsidRPr="00AB53B9">
        <w:t>.</w:t>
      </w:r>
      <w:r w:rsidR="00D16119">
        <w:t xml:space="preserve"> The overview provides a framework that can be used to guide research into appropriate methodologies and procedures for aquitard and fault zone representation in regional groundwater models. The report highlights the highly simplified representation of local scale processes such as dual phase flow and geomechanical deformation and regional scale considerations in the majority of groundwater models used in ten Australian CSG impact studies. Simplifications involved adopting spatially uniform values of hydraulic conductivity and storativity for aquitards, thus neglecting the spatial heterogeneity.</w:t>
      </w:r>
    </w:p>
    <w:p w14:paraId="4D317205" w14:textId="20A7E1FF" w:rsidR="00752C61" w:rsidRPr="004B7C25" w:rsidRDefault="001C3373" w:rsidP="00F47AA9">
      <w:pPr>
        <w:pStyle w:val="ListParagraph"/>
        <w:numPr>
          <w:ilvl w:val="0"/>
          <w:numId w:val="27"/>
        </w:numPr>
        <w:spacing w:before="120"/>
        <w:rPr>
          <w:color w:val="auto"/>
        </w:rPr>
      </w:pPr>
      <w:r>
        <w:t xml:space="preserve">Based on a workflow to combine existing geophysical wireline logs available from coal seam gas exploration wells with laboratory measurements of porosity and permeability, continuous porosity and permeability profiles had been generated for four key aquitards (Purlawaugh Formation, Napperby Formation, Watermark Formation and Porcupine Formation) within the Gunnedah and Surat basins of New South Wales and generated 97 profiles of continuous permeability (or vertical hydraulic conductivity, </w:t>
      </w:r>
      <w:r w:rsidRPr="00CA3CE6">
        <w:rPr>
          <w:i/>
        </w:rPr>
        <w:t>K</w:t>
      </w:r>
      <w:r w:rsidRPr="00CA3CE6">
        <w:rPr>
          <w:vertAlign w:val="subscript"/>
        </w:rPr>
        <w:t>v</w:t>
      </w:r>
      <w:r>
        <w:t xml:space="preserve">), with depths below surface of aquitards tops ranging from about 250 m to 1300 m. These high-resolution </w:t>
      </w:r>
      <w:r w:rsidRPr="00976CEB">
        <w:rPr>
          <w:i/>
        </w:rPr>
        <w:t>K</w:t>
      </w:r>
      <w:r w:rsidRPr="00976CEB">
        <w:rPr>
          <w:vertAlign w:val="subscript"/>
        </w:rPr>
        <w:t>v</w:t>
      </w:r>
      <w:r>
        <w:t xml:space="preserve"> profiles were upscaled into equivalent </w:t>
      </w:r>
      <w:r w:rsidRPr="00976CEB">
        <w:rPr>
          <w:i/>
        </w:rPr>
        <w:t>K</w:t>
      </w:r>
      <w:r w:rsidRPr="00976CEB">
        <w:rPr>
          <w:vertAlign w:val="subscript"/>
        </w:rPr>
        <w:t>v</w:t>
      </w:r>
      <w:r>
        <w:t xml:space="preserve"> values representative for large units commensurate with the typical size (i.e. vertical interval) of the numerical grid of the regional scale groundwater flow model (Turnadge et al., 201</w:t>
      </w:r>
      <w:r w:rsidR="00D646E1">
        <w:t>8</w:t>
      </w:r>
      <w:r w:rsidR="009833F3">
        <w:t>b</w:t>
      </w:r>
      <w:r>
        <w:t>).</w:t>
      </w:r>
    </w:p>
    <w:p w14:paraId="1A203024" w14:textId="28AFBF3D" w:rsidR="001D2DF7" w:rsidRPr="004B7C25" w:rsidRDefault="001D2DF7" w:rsidP="00F47AA9">
      <w:pPr>
        <w:pStyle w:val="ListParagraph"/>
        <w:numPr>
          <w:ilvl w:val="0"/>
          <w:numId w:val="27"/>
        </w:numPr>
        <w:spacing w:before="120"/>
        <w:rPr>
          <w:color w:val="auto"/>
        </w:rPr>
      </w:pPr>
      <w:r>
        <w:t>Developed and implemented a novel approach using the environmental tracer helium (</w:t>
      </w:r>
      <w:r w:rsidRPr="004B7C25">
        <w:rPr>
          <w:vertAlign w:val="superscript"/>
        </w:rPr>
        <w:t>4</w:t>
      </w:r>
      <w:r>
        <w:t xml:space="preserve">He) to derive the formation-scale hydraulic conductivity of key aquitards in the Gunnedah </w:t>
      </w:r>
      <w:r w:rsidR="004B7C25">
        <w:t>and Surat b</w:t>
      </w:r>
      <w:r>
        <w:t>asin</w:t>
      </w:r>
      <w:r w:rsidR="004B7C25">
        <w:t>s of New South Wales</w:t>
      </w:r>
      <w:r>
        <w:t xml:space="preserve">. </w:t>
      </w:r>
      <w:r w:rsidR="004B7C25">
        <w:t>By m</w:t>
      </w:r>
      <w:r>
        <w:t>odell</w:t>
      </w:r>
      <w:r w:rsidR="004B7C25">
        <w:t>ing</w:t>
      </w:r>
      <w:r>
        <w:t xml:space="preserve"> the formation-scale transport, production and partitioning of helium in the aquitard sequence</w:t>
      </w:r>
      <w:r w:rsidR="004B7C25">
        <w:t xml:space="preserve">, </w:t>
      </w:r>
      <w:r>
        <w:t xml:space="preserve">a </w:t>
      </w:r>
      <w:r w:rsidR="004B7C25">
        <w:t xml:space="preserve">very slow formation-scale </w:t>
      </w:r>
      <w:r>
        <w:t>vertical fluid velocity on the order of 0.002–0.02 mm/year</w:t>
      </w:r>
      <w:r w:rsidR="004B7C25">
        <w:t xml:space="preserve"> (about 10</w:t>
      </w:r>
      <w:r w:rsidR="004B7C25" w:rsidRPr="004B7C25">
        <w:rPr>
          <w:vertAlign w:val="superscript"/>
        </w:rPr>
        <w:t>-13</w:t>
      </w:r>
      <w:r w:rsidR="004B7C25">
        <w:t xml:space="preserve"> – 10</w:t>
      </w:r>
      <w:r w:rsidR="004B7C25" w:rsidRPr="004B7C25">
        <w:rPr>
          <w:vertAlign w:val="superscript"/>
        </w:rPr>
        <w:t>-12</w:t>
      </w:r>
      <w:r w:rsidR="004B7C25">
        <w:t xml:space="preserve"> m/s) was derived (Smith et al., 201</w:t>
      </w:r>
      <w:r w:rsidR="009F6DBD">
        <w:t>8</w:t>
      </w:r>
      <w:r w:rsidR="004B7C25">
        <w:t>).</w:t>
      </w:r>
    </w:p>
    <w:p w14:paraId="0084DBB6" w14:textId="77777777" w:rsidR="003E5804" w:rsidRPr="00B0618E" w:rsidRDefault="003E5804" w:rsidP="003E5804">
      <w:pPr>
        <w:pStyle w:val="Heading2"/>
      </w:pPr>
      <w:bookmarkStart w:id="13" w:name="_Toc483127560"/>
      <w:r w:rsidRPr="00B0618E">
        <w:t>Rationale</w:t>
      </w:r>
      <w:bookmarkEnd w:id="13"/>
    </w:p>
    <w:p w14:paraId="5FAE5086" w14:textId="54086F4C" w:rsidR="006B4FAD" w:rsidRDefault="00D80D3A" w:rsidP="00165854">
      <w:pPr>
        <w:spacing w:before="120" w:line="264" w:lineRule="auto"/>
        <w:rPr>
          <w:color w:val="auto"/>
          <w:sz w:val="24"/>
        </w:rPr>
      </w:pPr>
      <w:r w:rsidRPr="00B0618E">
        <w:rPr>
          <w:color w:val="auto"/>
          <w:sz w:val="24"/>
        </w:rPr>
        <w:t>Historically, hydrogeology has focused on the characterisation of aquifers for water supplies. In comparison, the study of aquitards and their hydraulic properties has been relatively limited</w:t>
      </w:r>
      <w:r w:rsidR="001C45AB" w:rsidRPr="00B0618E">
        <w:rPr>
          <w:color w:val="auto"/>
          <w:sz w:val="24"/>
        </w:rPr>
        <w:t xml:space="preserve"> (</w:t>
      </w:r>
      <w:r w:rsidR="006B2399" w:rsidRPr="00B0618E">
        <w:rPr>
          <w:color w:val="auto"/>
          <w:sz w:val="24"/>
        </w:rPr>
        <w:t>Mazurek et al., 2011; Yu et al., 2013</w:t>
      </w:r>
      <w:r w:rsidR="001C45AB" w:rsidRPr="00B0618E">
        <w:rPr>
          <w:color w:val="auto"/>
          <w:sz w:val="24"/>
        </w:rPr>
        <w:t>)</w:t>
      </w:r>
      <w:r w:rsidRPr="00B0618E">
        <w:rPr>
          <w:color w:val="auto"/>
          <w:sz w:val="24"/>
        </w:rPr>
        <w:t xml:space="preserve">. The recent development of unconventional energy extraction industries </w:t>
      </w:r>
      <w:r w:rsidR="001E06D2">
        <w:rPr>
          <w:color w:val="auto"/>
          <w:sz w:val="24"/>
        </w:rPr>
        <w:t xml:space="preserve">(e.g., coal seam gas, shale gas and tight gas) </w:t>
      </w:r>
      <w:r w:rsidRPr="00B0618E">
        <w:rPr>
          <w:color w:val="auto"/>
          <w:sz w:val="24"/>
        </w:rPr>
        <w:t>has provided a new impetus for the study of aquitards. In th</w:t>
      </w:r>
      <w:r w:rsidR="00A36478">
        <w:rPr>
          <w:color w:val="auto"/>
          <w:sz w:val="24"/>
        </w:rPr>
        <w:t>e specific case of coal seam gas extraction</w:t>
      </w:r>
      <w:r w:rsidRPr="00B0618E">
        <w:rPr>
          <w:color w:val="auto"/>
          <w:sz w:val="24"/>
        </w:rPr>
        <w:t xml:space="preserve">, aquitards can restrict the vertical propagation of depressurisation </w:t>
      </w:r>
      <w:r w:rsidR="00F00DFB" w:rsidRPr="00B0618E">
        <w:rPr>
          <w:color w:val="auto"/>
          <w:sz w:val="24"/>
        </w:rPr>
        <w:t xml:space="preserve">from </w:t>
      </w:r>
      <w:r w:rsidRPr="00B0618E">
        <w:rPr>
          <w:color w:val="auto"/>
          <w:sz w:val="24"/>
        </w:rPr>
        <w:t>an extraction target unit</w:t>
      </w:r>
      <w:r w:rsidR="00343E98" w:rsidRPr="00B0618E">
        <w:rPr>
          <w:color w:val="auto"/>
          <w:sz w:val="24"/>
        </w:rPr>
        <w:t xml:space="preserve"> (i.e. a coal seam) </w:t>
      </w:r>
      <w:r w:rsidR="00F00DFB" w:rsidRPr="00B0618E">
        <w:rPr>
          <w:color w:val="auto"/>
          <w:sz w:val="24"/>
        </w:rPr>
        <w:t xml:space="preserve">to </w:t>
      </w:r>
      <w:r w:rsidRPr="00B0618E">
        <w:rPr>
          <w:color w:val="auto"/>
          <w:sz w:val="24"/>
        </w:rPr>
        <w:t xml:space="preserve">a developed aquifer. </w:t>
      </w:r>
      <w:r w:rsidR="001E06D2">
        <w:rPr>
          <w:color w:val="auto"/>
          <w:sz w:val="24"/>
        </w:rPr>
        <w:t>Coal seam gas</w:t>
      </w:r>
      <w:r w:rsidR="00F00DFB" w:rsidRPr="00B0618E">
        <w:rPr>
          <w:color w:val="auto"/>
          <w:sz w:val="24"/>
        </w:rPr>
        <w:t xml:space="preserve"> extraction develo</w:t>
      </w:r>
      <w:r w:rsidR="0006503B" w:rsidRPr="00B0618E">
        <w:rPr>
          <w:color w:val="auto"/>
          <w:sz w:val="24"/>
        </w:rPr>
        <w:t>p</w:t>
      </w:r>
      <w:r w:rsidR="00F00DFB" w:rsidRPr="00B0618E">
        <w:rPr>
          <w:color w:val="auto"/>
          <w:sz w:val="24"/>
        </w:rPr>
        <w:t xml:space="preserve">ment proposals typically involve predictive modelling of </w:t>
      </w:r>
      <w:r w:rsidR="00343E98" w:rsidRPr="00B0618E">
        <w:rPr>
          <w:color w:val="auto"/>
          <w:sz w:val="24"/>
        </w:rPr>
        <w:t xml:space="preserve">potential </w:t>
      </w:r>
      <w:r w:rsidR="00F00DFB" w:rsidRPr="00B0618E">
        <w:rPr>
          <w:color w:val="auto"/>
          <w:sz w:val="24"/>
        </w:rPr>
        <w:t>impacts on a groundwater flow system</w:t>
      </w:r>
      <w:r w:rsidR="00862A88" w:rsidRPr="00B0618E">
        <w:rPr>
          <w:color w:val="auto"/>
          <w:sz w:val="24"/>
        </w:rPr>
        <w:t xml:space="preserve"> (</w:t>
      </w:r>
      <w:r w:rsidR="00A36478">
        <w:rPr>
          <w:color w:val="auto"/>
          <w:sz w:val="24"/>
        </w:rPr>
        <w:t xml:space="preserve">e.g., </w:t>
      </w:r>
      <w:r w:rsidR="00862A88" w:rsidRPr="00B0618E">
        <w:rPr>
          <w:color w:val="auto"/>
          <w:sz w:val="24"/>
        </w:rPr>
        <w:t>OGIA, 2016)</w:t>
      </w:r>
      <w:r w:rsidR="00F00DFB" w:rsidRPr="00B0618E">
        <w:rPr>
          <w:color w:val="auto"/>
          <w:sz w:val="24"/>
        </w:rPr>
        <w:t xml:space="preserve">. </w:t>
      </w:r>
      <w:r w:rsidRPr="00B0618E">
        <w:rPr>
          <w:color w:val="auto"/>
          <w:sz w:val="24"/>
        </w:rPr>
        <w:t>The representation of aquitards and their hydraulic properties</w:t>
      </w:r>
      <w:r w:rsidR="00F00DFB" w:rsidRPr="00B0618E">
        <w:rPr>
          <w:color w:val="auto"/>
          <w:sz w:val="24"/>
        </w:rPr>
        <w:t xml:space="preserve"> in such models is typically limited</w:t>
      </w:r>
      <w:r w:rsidR="00C14302" w:rsidRPr="00B0618E">
        <w:rPr>
          <w:color w:val="auto"/>
          <w:sz w:val="24"/>
        </w:rPr>
        <w:t xml:space="preserve"> (Turnadge et al., 201</w:t>
      </w:r>
      <w:r w:rsidR="00D646E1">
        <w:rPr>
          <w:color w:val="auto"/>
          <w:sz w:val="24"/>
        </w:rPr>
        <w:t>8</w:t>
      </w:r>
      <w:r w:rsidR="009833F3">
        <w:rPr>
          <w:color w:val="auto"/>
          <w:sz w:val="24"/>
        </w:rPr>
        <w:t>a</w:t>
      </w:r>
      <w:r w:rsidR="00C14302" w:rsidRPr="00B0618E">
        <w:rPr>
          <w:color w:val="auto"/>
          <w:sz w:val="24"/>
        </w:rPr>
        <w:t>)</w:t>
      </w:r>
      <w:r w:rsidR="00F00DFB" w:rsidRPr="00B0618E">
        <w:rPr>
          <w:color w:val="auto"/>
          <w:sz w:val="24"/>
        </w:rPr>
        <w:t xml:space="preserve">. The values assigned to aquitard hydraulic properties are often derived from prior modelling studies or textbooks, rather than from field or laboratory observations of specific aquitard units. </w:t>
      </w:r>
      <w:r w:rsidR="00A36478">
        <w:rPr>
          <w:color w:val="auto"/>
          <w:sz w:val="24"/>
        </w:rPr>
        <w:t>The spatial variability of aquitard properties is also often omitted in favour of uniform values, typically due to the paucity of aquitard property data.</w:t>
      </w:r>
    </w:p>
    <w:p w14:paraId="465E912E" w14:textId="40158AD6" w:rsidR="00E03A09" w:rsidRDefault="00E03A09" w:rsidP="00165854">
      <w:pPr>
        <w:spacing w:before="120" w:line="264" w:lineRule="auto"/>
        <w:rPr>
          <w:color w:val="auto"/>
          <w:sz w:val="24"/>
        </w:rPr>
      </w:pPr>
      <w:r>
        <w:rPr>
          <w:color w:val="auto"/>
          <w:sz w:val="24"/>
        </w:rPr>
        <w:t xml:space="preserve">Based on a comparison of ten regional groundwater models, </w:t>
      </w:r>
      <w:r w:rsidRPr="00E03A09">
        <w:rPr>
          <w:color w:val="auto"/>
          <w:sz w:val="24"/>
        </w:rPr>
        <w:t>Turnadge et al. (201</w:t>
      </w:r>
      <w:r w:rsidR="00D646E1">
        <w:rPr>
          <w:color w:val="auto"/>
          <w:sz w:val="24"/>
        </w:rPr>
        <w:t>8a</w:t>
      </w:r>
      <w:r w:rsidRPr="00E03A09">
        <w:rPr>
          <w:color w:val="auto"/>
          <w:sz w:val="24"/>
        </w:rPr>
        <w:t>) report</w:t>
      </w:r>
      <w:r w:rsidR="00FC4922">
        <w:rPr>
          <w:color w:val="auto"/>
          <w:sz w:val="24"/>
        </w:rPr>
        <w:t>ed</w:t>
      </w:r>
      <w:r w:rsidRPr="00E03A09">
        <w:rPr>
          <w:color w:val="auto"/>
          <w:sz w:val="24"/>
        </w:rPr>
        <w:t xml:space="preserve"> that the OGIA model </w:t>
      </w:r>
      <w:r w:rsidR="00FC4922">
        <w:rPr>
          <w:color w:val="auto"/>
          <w:sz w:val="24"/>
        </w:rPr>
        <w:t xml:space="preserve">(OGIA, 2016) </w:t>
      </w:r>
      <w:r w:rsidRPr="00E03A09">
        <w:rPr>
          <w:color w:val="auto"/>
          <w:sz w:val="24"/>
        </w:rPr>
        <w:t xml:space="preserve">is the most advanced in many aspects. </w:t>
      </w:r>
      <w:r>
        <w:rPr>
          <w:color w:val="auto"/>
          <w:sz w:val="24"/>
        </w:rPr>
        <w:t>It</w:t>
      </w:r>
      <w:r w:rsidRPr="00E03A09">
        <w:rPr>
          <w:color w:val="auto"/>
          <w:sz w:val="24"/>
        </w:rPr>
        <w:t xml:space="preserve"> is a typical example of a model having gone through several iterations with increased scientific underpinning, credibility, and accuracy. In </w:t>
      </w:r>
      <w:r>
        <w:rPr>
          <w:color w:val="auto"/>
          <w:sz w:val="24"/>
        </w:rPr>
        <w:t>the current</w:t>
      </w:r>
      <w:r w:rsidRPr="00E03A09">
        <w:rPr>
          <w:color w:val="auto"/>
          <w:sz w:val="24"/>
        </w:rPr>
        <w:t xml:space="preserve"> study the starting point was to consider the least developed models, which represent the majority of cases, and then develop a generic workflow that in a stepwise manner increases the scientific underpinning, credibility, and accuracy. Once field data from depressurisation </w:t>
      </w:r>
      <w:r>
        <w:rPr>
          <w:color w:val="auto"/>
          <w:sz w:val="24"/>
        </w:rPr>
        <w:t xml:space="preserve">or other state variables </w:t>
      </w:r>
      <w:r w:rsidRPr="00E03A09">
        <w:rPr>
          <w:color w:val="auto"/>
          <w:sz w:val="24"/>
        </w:rPr>
        <w:t>becomes available, it can and should be used to further constrain the model</w:t>
      </w:r>
      <w:r>
        <w:rPr>
          <w:color w:val="auto"/>
          <w:sz w:val="24"/>
        </w:rPr>
        <w:t>s</w:t>
      </w:r>
      <w:r w:rsidRPr="00E03A09">
        <w:rPr>
          <w:color w:val="auto"/>
          <w:sz w:val="24"/>
        </w:rPr>
        <w:t>. Until then, the current approach provides a cost-effective, practical, repeatable and tran</w:t>
      </w:r>
      <w:r>
        <w:rPr>
          <w:color w:val="auto"/>
          <w:sz w:val="24"/>
        </w:rPr>
        <w:t>s</w:t>
      </w:r>
      <w:r w:rsidRPr="00E03A09">
        <w:rPr>
          <w:color w:val="auto"/>
          <w:sz w:val="24"/>
        </w:rPr>
        <w:t>parent approach to materially improve the existing models.</w:t>
      </w:r>
    </w:p>
    <w:p w14:paraId="0C1C6D98" w14:textId="6A661F80" w:rsidR="00D2052A" w:rsidRDefault="00343E98" w:rsidP="00D2052A">
      <w:pPr>
        <w:spacing w:before="120" w:line="264" w:lineRule="auto"/>
        <w:rPr>
          <w:color w:val="auto"/>
          <w:sz w:val="24"/>
        </w:rPr>
      </w:pPr>
      <w:r w:rsidRPr="00B0618E">
        <w:rPr>
          <w:color w:val="auto"/>
          <w:sz w:val="24"/>
        </w:rPr>
        <w:t xml:space="preserve">The </w:t>
      </w:r>
      <w:r w:rsidR="005A38CE">
        <w:rPr>
          <w:color w:val="auto"/>
          <w:sz w:val="24"/>
        </w:rPr>
        <w:t xml:space="preserve">uncertainty around aquitard hydrogeological properties </w:t>
      </w:r>
      <w:r w:rsidR="006B4FAD">
        <w:rPr>
          <w:color w:val="auto"/>
          <w:sz w:val="24"/>
        </w:rPr>
        <w:t xml:space="preserve">and groundwater flow modelling based on such properties </w:t>
      </w:r>
      <w:r w:rsidR="005A38CE">
        <w:rPr>
          <w:color w:val="auto"/>
          <w:sz w:val="24"/>
        </w:rPr>
        <w:t xml:space="preserve">is </w:t>
      </w:r>
      <w:r w:rsidR="006B4FAD">
        <w:rPr>
          <w:color w:val="auto"/>
          <w:sz w:val="24"/>
        </w:rPr>
        <w:t xml:space="preserve">typically large. </w:t>
      </w:r>
      <w:r w:rsidR="00D2052A" w:rsidRPr="00B80BDF">
        <w:rPr>
          <w:color w:val="auto"/>
          <w:sz w:val="24"/>
        </w:rPr>
        <w:t xml:space="preserve">Two </w:t>
      </w:r>
      <w:r w:rsidR="006B4FAD">
        <w:rPr>
          <w:color w:val="auto"/>
          <w:sz w:val="24"/>
        </w:rPr>
        <w:t xml:space="preserve">broad categories </w:t>
      </w:r>
      <w:r w:rsidR="00D2052A" w:rsidRPr="00B80BDF">
        <w:rPr>
          <w:color w:val="auto"/>
          <w:sz w:val="24"/>
        </w:rPr>
        <w:t>of uncertaint</w:t>
      </w:r>
      <w:r w:rsidR="006B4FAD">
        <w:rPr>
          <w:color w:val="auto"/>
          <w:sz w:val="24"/>
        </w:rPr>
        <w:t>y</w:t>
      </w:r>
      <w:r w:rsidR="00D2052A" w:rsidRPr="00B80BDF">
        <w:rPr>
          <w:color w:val="auto"/>
          <w:sz w:val="24"/>
        </w:rPr>
        <w:t xml:space="preserve"> exist in groundwater flow and transport modelling: aleatory and epistemic uncertainty (Helton</w:t>
      </w:r>
      <w:r w:rsidR="00D2052A">
        <w:rPr>
          <w:color w:val="auto"/>
          <w:sz w:val="24"/>
        </w:rPr>
        <w:t xml:space="preserve"> </w:t>
      </w:r>
      <w:r w:rsidR="00D2052A" w:rsidRPr="00B80BDF">
        <w:rPr>
          <w:color w:val="auto"/>
          <w:sz w:val="24"/>
        </w:rPr>
        <w:t>et al.</w:t>
      </w:r>
      <w:r w:rsidR="006B4FAD">
        <w:rPr>
          <w:color w:val="auto"/>
          <w:sz w:val="24"/>
        </w:rPr>
        <w:t>,</w:t>
      </w:r>
      <w:r w:rsidR="00D2052A" w:rsidRPr="00B80BDF">
        <w:rPr>
          <w:color w:val="auto"/>
          <w:sz w:val="24"/>
        </w:rPr>
        <w:t xml:space="preserve"> 2008; Ross et al.</w:t>
      </w:r>
      <w:r w:rsidR="006B4FAD">
        <w:rPr>
          <w:color w:val="auto"/>
          <w:sz w:val="24"/>
        </w:rPr>
        <w:t>,</w:t>
      </w:r>
      <w:r w:rsidR="00D2052A" w:rsidRPr="00B80BDF">
        <w:rPr>
          <w:color w:val="auto"/>
          <w:sz w:val="24"/>
        </w:rPr>
        <w:t xml:space="preserve"> 2009; Swiler et al.</w:t>
      </w:r>
      <w:r w:rsidR="006B4FAD">
        <w:rPr>
          <w:color w:val="auto"/>
          <w:sz w:val="24"/>
        </w:rPr>
        <w:t>,</w:t>
      </w:r>
      <w:r w:rsidR="00D2052A" w:rsidRPr="00B80BDF">
        <w:rPr>
          <w:color w:val="auto"/>
          <w:sz w:val="24"/>
        </w:rPr>
        <w:t xml:space="preserve"> 2009). Epistemic uncertainty re</w:t>
      </w:r>
      <w:r w:rsidR="006B4FAD">
        <w:rPr>
          <w:color w:val="auto"/>
          <w:sz w:val="24"/>
        </w:rPr>
        <w:t>fers to</w:t>
      </w:r>
      <w:r w:rsidR="00D2052A" w:rsidRPr="00B80BDF">
        <w:rPr>
          <w:color w:val="auto"/>
          <w:sz w:val="24"/>
        </w:rPr>
        <w:t xml:space="preserve"> a lack of knowledge about the</w:t>
      </w:r>
      <w:r w:rsidR="00D2052A">
        <w:rPr>
          <w:color w:val="auto"/>
          <w:sz w:val="24"/>
        </w:rPr>
        <w:t xml:space="preserve"> </w:t>
      </w:r>
      <w:r w:rsidR="00D2052A" w:rsidRPr="00B80BDF">
        <w:rPr>
          <w:color w:val="auto"/>
          <w:sz w:val="24"/>
        </w:rPr>
        <w:t>appropriate value to use for a quantity; this uncertainty can be reduced through increased understanding or</w:t>
      </w:r>
      <w:r w:rsidR="00D2052A">
        <w:rPr>
          <w:color w:val="auto"/>
          <w:sz w:val="24"/>
        </w:rPr>
        <w:t xml:space="preserve"> </w:t>
      </w:r>
      <w:r w:rsidR="00D2052A" w:rsidRPr="00B80BDF">
        <w:rPr>
          <w:color w:val="auto"/>
          <w:sz w:val="24"/>
        </w:rPr>
        <w:t>collecting more data. Aleatory uncertainty is characterised by inherent randomness of a system that cannot be reduced by further data collection.</w:t>
      </w:r>
    </w:p>
    <w:p w14:paraId="33B6C859" w14:textId="1ADE3DDF" w:rsidR="00401080" w:rsidRDefault="00D2052A" w:rsidP="00401080">
      <w:pPr>
        <w:spacing w:before="120" w:line="264" w:lineRule="auto"/>
        <w:rPr>
          <w:color w:val="auto"/>
          <w:sz w:val="24"/>
        </w:rPr>
      </w:pPr>
      <w:r w:rsidRPr="00B80BDF">
        <w:rPr>
          <w:color w:val="auto"/>
          <w:sz w:val="24"/>
        </w:rPr>
        <w:t xml:space="preserve">Epistemic uncertainty </w:t>
      </w:r>
      <w:r w:rsidR="002F3E5A">
        <w:rPr>
          <w:color w:val="auto"/>
          <w:sz w:val="24"/>
        </w:rPr>
        <w:t>has two components, i.e.</w:t>
      </w:r>
      <w:r w:rsidRPr="00B80BDF">
        <w:rPr>
          <w:color w:val="auto"/>
          <w:sz w:val="24"/>
        </w:rPr>
        <w:t xml:space="preserve"> parametric and structural (model) uncertainty (Srinivasan et al.</w:t>
      </w:r>
      <w:r w:rsidR="006B4FAD">
        <w:rPr>
          <w:color w:val="auto"/>
          <w:sz w:val="24"/>
        </w:rPr>
        <w:t>,</w:t>
      </w:r>
      <w:r w:rsidRPr="00B80BDF">
        <w:rPr>
          <w:color w:val="auto"/>
          <w:sz w:val="24"/>
        </w:rPr>
        <w:t xml:space="preserve"> 2007).</w:t>
      </w:r>
      <w:r>
        <w:rPr>
          <w:color w:val="auto"/>
          <w:sz w:val="24"/>
        </w:rPr>
        <w:t xml:space="preserve"> </w:t>
      </w:r>
      <w:r w:rsidRPr="00B80BDF">
        <w:rPr>
          <w:color w:val="auto"/>
          <w:sz w:val="24"/>
        </w:rPr>
        <w:t xml:space="preserve">Parametric uncertainty, for </w:t>
      </w:r>
      <w:r w:rsidR="002F3E5A">
        <w:rPr>
          <w:color w:val="auto"/>
          <w:sz w:val="24"/>
        </w:rPr>
        <w:t>example</w:t>
      </w:r>
      <w:r w:rsidRPr="00B80BDF">
        <w:rPr>
          <w:color w:val="auto"/>
          <w:sz w:val="24"/>
        </w:rPr>
        <w:t>, reflects our partial knowledge about the appropriate value to use for the spatially</w:t>
      </w:r>
      <w:r>
        <w:rPr>
          <w:color w:val="auto"/>
          <w:sz w:val="24"/>
        </w:rPr>
        <w:t xml:space="preserve"> </w:t>
      </w:r>
      <w:r w:rsidRPr="00B80BDF">
        <w:rPr>
          <w:color w:val="auto"/>
          <w:sz w:val="24"/>
        </w:rPr>
        <w:t xml:space="preserve">averaged hydraulic conductivity </w:t>
      </w:r>
      <w:r w:rsidRPr="00B80BDF">
        <w:rPr>
          <w:i/>
          <w:color w:val="auto"/>
          <w:sz w:val="24"/>
        </w:rPr>
        <w:t>K</w:t>
      </w:r>
      <w:r w:rsidRPr="00B80BDF">
        <w:rPr>
          <w:color w:val="auto"/>
          <w:sz w:val="24"/>
        </w:rPr>
        <w:t xml:space="preserve"> in groundwater flow analysis;</w:t>
      </w:r>
      <w:r w:rsidR="00A91A37">
        <w:rPr>
          <w:color w:val="auto"/>
          <w:sz w:val="24"/>
        </w:rPr>
        <w:t xml:space="preserve"> the spatially-averaged</w:t>
      </w:r>
      <w:r w:rsidRPr="00B80BDF">
        <w:rPr>
          <w:color w:val="auto"/>
          <w:sz w:val="24"/>
        </w:rPr>
        <w:t xml:space="preserve"> </w:t>
      </w:r>
      <w:r w:rsidRPr="00B80BDF">
        <w:rPr>
          <w:i/>
          <w:color w:val="auto"/>
          <w:sz w:val="24"/>
        </w:rPr>
        <w:t>K</w:t>
      </w:r>
      <w:r w:rsidRPr="00B80BDF">
        <w:rPr>
          <w:color w:val="auto"/>
          <w:sz w:val="24"/>
        </w:rPr>
        <w:t xml:space="preserve"> has, by definition, a single value but this single</w:t>
      </w:r>
      <w:r>
        <w:rPr>
          <w:color w:val="auto"/>
          <w:sz w:val="24"/>
        </w:rPr>
        <w:t xml:space="preserve"> </w:t>
      </w:r>
      <w:r w:rsidRPr="00B80BDF">
        <w:rPr>
          <w:color w:val="auto"/>
          <w:sz w:val="24"/>
        </w:rPr>
        <w:t xml:space="preserve">“effective” value can never be known with certainty. </w:t>
      </w:r>
      <w:r w:rsidR="00401080" w:rsidRPr="00C201C2">
        <w:rPr>
          <w:color w:val="auto"/>
          <w:sz w:val="24"/>
        </w:rPr>
        <w:t>Neuman and Di Federico (1998) defined effective parameters as those parameters that are used in ensemble‐averaged Darcy equations (e.g., effective hydraulic conductivity relating the ensemble average flux to the ensemble mean gradient).</w:t>
      </w:r>
      <w:r w:rsidR="00401080">
        <w:rPr>
          <w:color w:val="auto"/>
          <w:sz w:val="24"/>
        </w:rPr>
        <w:t xml:space="preserve"> More importantly, as di</w:t>
      </w:r>
      <w:r w:rsidR="00D646E1">
        <w:rPr>
          <w:color w:val="auto"/>
          <w:sz w:val="24"/>
        </w:rPr>
        <w:t>scussed by Turnadge et al. (2018a</w:t>
      </w:r>
      <w:r w:rsidR="00401080">
        <w:rPr>
          <w:color w:val="auto"/>
          <w:sz w:val="24"/>
        </w:rPr>
        <w:t xml:space="preserve">), the use of such effective </w:t>
      </w:r>
      <w:r w:rsidR="00401080" w:rsidRPr="00401080">
        <w:rPr>
          <w:i/>
          <w:color w:val="auto"/>
          <w:sz w:val="24"/>
        </w:rPr>
        <w:t>K</w:t>
      </w:r>
      <w:r w:rsidR="00401080">
        <w:rPr>
          <w:color w:val="auto"/>
          <w:sz w:val="24"/>
        </w:rPr>
        <w:t xml:space="preserve"> values may be </w:t>
      </w:r>
      <w:r w:rsidR="00401080" w:rsidRPr="00401080">
        <w:rPr>
          <w:color w:val="auto"/>
          <w:sz w:val="24"/>
        </w:rPr>
        <w:t>justified to some extent by the regional scale of model</w:t>
      </w:r>
      <w:r w:rsidR="00401080">
        <w:rPr>
          <w:color w:val="auto"/>
          <w:sz w:val="24"/>
        </w:rPr>
        <w:t xml:space="preserve"> applications </w:t>
      </w:r>
      <w:r w:rsidR="00401080" w:rsidRPr="00401080">
        <w:rPr>
          <w:color w:val="auto"/>
          <w:sz w:val="24"/>
        </w:rPr>
        <w:t>and where there are insufficient data to support representations</w:t>
      </w:r>
      <w:r w:rsidR="00401080">
        <w:rPr>
          <w:color w:val="auto"/>
          <w:sz w:val="24"/>
        </w:rPr>
        <w:t xml:space="preserve"> </w:t>
      </w:r>
      <w:r w:rsidR="00401080" w:rsidRPr="00401080">
        <w:rPr>
          <w:color w:val="auto"/>
          <w:sz w:val="24"/>
        </w:rPr>
        <w:t xml:space="preserve">of spatial variability. </w:t>
      </w:r>
      <w:r w:rsidR="00401080">
        <w:rPr>
          <w:color w:val="auto"/>
          <w:sz w:val="24"/>
        </w:rPr>
        <w:t xml:space="preserve">Unfortunately, </w:t>
      </w:r>
      <w:r w:rsidR="00B06019">
        <w:rPr>
          <w:color w:val="auto"/>
          <w:sz w:val="24"/>
        </w:rPr>
        <w:t>the</w:t>
      </w:r>
      <w:r w:rsidR="00401080" w:rsidRPr="001E6D6D">
        <w:rPr>
          <w:color w:val="auto"/>
          <w:sz w:val="24"/>
        </w:rPr>
        <w:t xml:space="preserve"> rigorous basis</w:t>
      </w:r>
      <w:r w:rsidR="00401080" w:rsidRPr="00401080">
        <w:rPr>
          <w:color w:val="auto"/>
          <w:sz w:val="24"/>
        </w:rPr>
        <w:t xml:space="preserve"> </w:t>
      </w:r>
      <w:r w:rsidR="002D5167">
        <w:rPr>
          <w:color w:val="auto"/>
          <w:sz w:val="24"/>
        </w:rPr>
        <w:t>for</w:t>
      </w:r>
      <w:r w:rsidR="00401080">
        <w:rPr>
          <w:color w:val="auto"/>
          <w:sz w:val="24"/>
        </w:rPr>
        <w:t xml:space="preserve"> </w:t>
      </w:r>
      <w:r w:rsidR="002D5167">
        <w:rPr>
          <w:color w:val="auto"/>
          <w:sz w:val="24"/>
        </w:rPr>
        <w:t>deriving</w:t>
      </w:r>
      <w:r w:rsidR="00B06019">
        <w:rPr>
          <w:color w:val="auto"/>
          <w:sz w:val="24"/>
        </w:rPr>
        <w:t xml:space="preserve"> and using effective </w:t>
      </w:r>
      <w:r w:rsidR="00B06019" w:rsidRPr="00B06019">
        <w:rPr>
          <w:i/>
          <w:color w:val="auto"/>
          <w:sz w:val="24"/>
        </w:rPr>
        <w:t>K</w:t>
      </w:r>
      <w:r w:rsidR="00B06019">
        <w:rPr>
          <w:color w:val="auto"/>
          <w:sz w:val="24"/>
        </w:rPr>
        <w:t xml:space="preserve"> values</w:t>
      </w:r>
      <w:r w:rsidR="00401080" w:rsidRPr="00B50758">
        <w:rPr>
          <w:color w:val="auto"/>
          <w:sz w:val="24"/>
        </w:rPr>
        <w:t xml:space="preserve"> </w:t>
      </w:r>
      <w:r w:rsidR="00401080">
        <w:rPr>
          <w:color w:val="auto"/>
          <w:sz w:val="24"/>
        </w:rPr>
        <w:t xml:space="preserve">such as </w:t>
      </w:r>
      <w:r w:rsidR="00401080" w:rsidRPr="00B50758">
        <w:rPr>
          <w:color w:val="auto"/>
          <w:sz w:val="24"/>
        </w:rPr>
        <w:t xml:space="preserve">using </w:t>
      </w:r>
      <w:r w:rsidR="00401080">
        <w:rPr>
          <w:color w:val="auto"/>
          <w:sz w:val="24"/>
        </w:rPr>
        <w:t>an appropriate averaging method</w:t>
      </w:r>
      <w:r w:rsidR="00401080" w:rsidRPr="00B50758">
        <w:rPr>
          <w:color w:val="auto"/>
          <w:sz w:val="24"/>
        </w:rPr>
        <w:t xml:space="preserve"> or </w:t>
      </w:r>
      <w:r w:rsidR="00401080">
        <w:rPr>
          <w:color w:val="auto"/>
          <w:sz w:val="24"/>
        </w:rPr>
        <w:t>using</w:t>
      </w:r>
      <w:r w:rsidR="00401080" w:rsidRPr="00B50758">
        <w:rPr>
          <w:color w:val="auto"/>
          <w:sz w:val="24"/>
        </w:rPr>
        <w:t xml:space="preserve"> Darcy’s Law‐based approaches</w:t>
      </w:r>
      <w:r w:rsidR="00401080" w:rsidRPr="00401080">
        <w:rPr>
          <w:color w:val="auto"/>
          <w:sz w:val="24"/>
        </w:rPr>
        <w:t xml:space="preserve"> </w:t>
      </w:r>
      <w:r w:rsidR="00B06019">
        <w:rPr>
          <w:color w:val="auto"/>
          <w:sz w:val="24"/>
        </w:rPr>
        <w:t>is</w:t>
      </w:r>
      <w:r w:rsidR="00401080">
        <w:rPr>
          <w:color w:val="auto"/>
          <w:sz w:val="24"/>
        </w:rPr>
        <w:t xml:space="preserve"> currently missing in many regional scale groundwater flow applications</w:t>
      </w:r>
      <w:r w:rsidR="00B06019">
        <w:rPr>
          <w:color w:val="auto"/>
          <w:sz w:val="24"/>
        </w:rPr>
        <w:t xml:space="preserve"> (Turnadge et al., 201</w:t>
      </w:r>
      <w:r w:rsidR="00D646E1">
        <w:rPr>
          <w:color w:val="auto"/>
          <w:sz w:val="24"/>
        </w:rPr>
        <w:t>8</w:t>
      </w:r>
      <w:r w:rsidR="00B06019">
        <w:rPr>
          <w:color w:val="auto"/>
          <w:sz w:val="24"/>
        </w:rPr>
        <w:t>)</w:t>
      </w:r>
      <w:r w:rsidR="00401080">
        <w:rPr>
          <w:color w:val="auto"/>
          <w:sz w:val="24"/>
        </w:rPr>
        <w:t>.</w:t>
      </w:r>
      <w:r w:rsidR="00401080" w:rsidRPr="00401080">
        <w:rPr>
          <w:color w:val="auto"/>
          <w:sz w:val="24"/>
        </w:rPr>
        <w:t xml:space="preserve"> </w:t>
      </w:r>
    </w:p>
    <w:p w14:paraId="54367AC9" w14:textId="038C7CA3" w:rsidR="00D2052A" w:rsidRDefault="00D2052A" w:rsidP="00165854">
      <w:pPr>
        <w:spacing w:before="120" w:line="264" w:lineRule="auto"/>
        <w:rPr>
          <w:color w:val="auto"/>
          <w:sz w:val="24"/>
        </w:rPr>
      </w:pPr>
      <w:r w:rsidRPr="00B80BDF">
        <w:rPr>
          <w:color w:val="auto"/>
          <w:sz w:val="24"/>
        </w:rPr>
        <w:t>Parameter uncertainties are strictly epistemic because the</w:t>
      </w:r>
      <w:r>
        <w:rPr>
          <w:color w:val="auto"/>
          <w:sz w:val="24"/>
        </w:rPr>
        <w:t xml:space="preserve"> </w:t>
      </w:r>
      <w:r w:rsidRPr="00B80BDF">
        <w:rPr>
          <w:color w:val="auto"/>
          <w:sz w:val="24"/>
        </w:rPr>
        <w:t>uncertainty in the estimation decreases and may asymptotically vanish with increasing quantity and quality of the available</w:t>
      </w:r>
      <w:r>
        <w:rPr>
          <w:color w:val="auto"/>
          <w:sz w:val="24"/>
        </w:rPr>
        <w:t xml:space="preserve"> </w:t>
      </w:r>
      <w:r w:rsidRPr="00B80BDF">
        <w:rPr>
          <w:color w:val="auto"/>
          <w:sz w:val="24"/>
        </w:rPr>
        <w:t>observational data</w:t>
      </w:r>
      <w:r w:rsidR="002F13E5">
        <w:rPr>
          <w:color w:val="auto"/>
          <w:sz w:val="24"/>
        </w:rPr>
        <w:t xml:space="preserve"> (direct measurements of parameters or measurements of state variables like heads from which parameters can be derived) </w:t>
      </w:r>
      <w:r w:rsidR="00E43EA6">
        <w:rPr>
          <w:color w:val="auto"/>
          <w:sz w:val="24"/>
        </w:rPr>
        <w:t>(</w:t>
      </w:r>
      <w:r w:rsidR="00FC45F0">
        <w:rPr>
          <w:color w:val="auto"/>
          <w:sz w:val="24"/>
        </w:rPr>
        <w:t>Der Ki</w:t>
      </w:r>
      <w:r w:rsidR="00DF2412" w:rsidRPr="00DF2412">
        <w:rPr>
          <w:color w:val="auto"/>
          <w:sz w:val="24"/>
        </w:rPr>
        <w:t>ureghian and Ditlevsen</w:t>
      </w:r>
      <w:r w:rsidR="00DF2412">
        <w:rPr>
          <w:color w:val="auto"/>
          <w:sz w:val="24"/>
        </w:rPr>
        <w:t>,</w:t>
      </w:r>
      <w:r w:rsidR="00DF2412" w:rsidRPr="00DF2412">
        <w:rPr>
          <w:color w:val="auto"/>
          <w:sz w:val="24"/>
        </w:rPr>
        <w:t xml:space="preserve"> 2007</w:t>
      </w:r>
      <w:r w:rsidR="00E43EA6">
        <w:rPr>
          <w:color w:val="auto"/>
          <w:sz w:val="24"/>
        </w:rPr>
        <w:t>)</w:t>
      </w:r>
      <w:r w:rsidRPr="00B80BDF">
        <w:rPr>
          <w:color w:val="auto"/>
          <w:sz w:val="24"/>
        </w:rPr>
        <w:t xml:space="preserve">. Model (structural, conceptual) uncertainty in groundwater modelling </w:t>
      </w:r>
      <w:r w:rsidR="002F3E5A">
        <w:rPr>
          <w:color w:val="auto"/>
          <w:sz w:val="24"/>
        </w:rPr>
        <w:t>shows</w:t>
      </w:r>
      <w:r w:rsidRPr="00B80BDF">
        <w:rPr>
          <w:color w:val="auto"/>
          <w:sz w:val="24"/>
        </w:rPr>
        <w:t xml:space="preserve"> itself on a multiplicity</w:t>
      </w:r>
      <w:r>
        <w:rPr>
          <w:color w:val="auto"/>
          <w:sz w:val="24"/>
        </w:rPr>
        <w:t xml:space="preserve"> </w:t>
      </w:r>
      <w:r w:rsidRPr="00B80BDF">
        <w:rPr>
          <w:color w:val="auto"/>
          <w:sz w:val="24"/>
        </w:rPr>
        <w:t xml:space="preserve">of scales, </w:t>
      </w:r>
      <w:r w:rsidR="002F3E5A">
        <w:rPr>
          <w:color w:val="auto"/>
          <w:sz w:val="24"/>
        </w:rPr>
        <w:t xml:space="preserve">from pore scale to </w:t>
      </w:r>
      <w:r w:rsidRPr="00B80BDF">
        <w:rPr>
          <w:color w:val="auto"/>
          <w:sz w:val="24"/>
        </w:rPr>
        <w:t>regional scale</w:t>
      </w:r>
      <w:r w:rsidR="002F3E5A">
        <w:rPr>
          <w:color w:val="auto"/>
          <w:sz w:val="24"/>
        </w:rPr>
        <w:t>.</w:t>
      </w:r>
      <w:r w:rsidRPr="00B80BDF">
        <w:rPr>
          <w:color w:val="auto"/>
          <w:sz w:val="24"/>
        </w:rPr>
        <w:t xml:space="preserve"> In groundwater modelling different</w:t>
      </w:r>
      <w:r>
        <w:rPr>
          <w:color w:val="auto"/>
          <w:sz w:val="24"/>
        </w:rPr>
        <w:t xml:space="preserve"> </w:t>
      </w:r>
      <w:r w:rsidRPr="00B80BDF">
        <w:rPr>
          <w:color w:val="auto"/>
          <w:sz w:val="24"/>
        </w:rPr>
        <w:t>conceptual models are typically based on different geological interpretations (Højberg and Refsgaard</w:t>
      </w:r>
      <w:r w:rsidR="002F3E5A">
        <w:rPr>
          <w:color w:val="auto"/>
          <w:sz w:val="24"/>
        </w:rPr>
        <w:t>,</w:t>
      </w:r>
      <w:r w:rsidRPr="00B80BDF">
        <w:rPr>
          <w:color w:val="auto"/>
          <w:sz w:val="24"/>
        </w:rPr>
        <w:t xml:space="preserve"> 2005; Rojas et al.</w:t>
      </w:r>
      <w:r w:rsidR="002F3E5A">
        <w:rPr>
          <w:color w:val="auto"/>
          <w:sz w:val="24"/>
        </w:rPr>
        <w:t xml:space="preserve">, </w:t>
      </w:r>
      <w:r w:rsidRPr="00B80BDF">
        <w:rPr>
          <w:color w:val="auto"/>
          <w:sz w:val="24"/>
        </w:rPr>
        <w:t>2010).</w:t>
      </w:r>
    </w:p>
    <w:p w14:paraId="2D527588" w14:textId="007A61CA" w:rsidR="002F3E5A" w:rsidRPr="00B80BDF" w:rsidRDefault="002F3E5A" w:rsidP="002F3E5A">
      <w:pPr>
        <w:spacing w:before="120" w:line="264" w:lineRule="auto"/>
        <w:rPr>
          <w:color w:val="auto"/>
          <w:sz w:val="24"/>
        </w:rPr>
      </w:pPr>
      <w:r w:rsidRPr="00B80BDF">
        <w:rPr>
          <w:color w:val="auto"/>
          <w:sz w:val="24"/>
        </w:rPr>
        <w:t>Several studies have recognized that geological structural</w:t>
      </w:r>
      <w:r>
        <w:rPr>
          <w:color w:val="auto"/>
          <w:sz w:val="24"/>
        </w:rPr>
        <w:t xml:space="preserve"> </w:t>
      </w:r>
      <w:r w:rsidRPr="00B80BDF">
        <w:rPr>
          <w:color w:val="auto"/>
          <w:sz w:val="24"/>
        </w:rPr>
        <w:t>uncertainty often is the most important source of uncertainty (Bredehoeft</w:t>
      </w:r>
      <w:r>
        <w:rPr>
          <w:color w:val="auto"/>
          <w:sz w:val="24"/>
        </w:rPr>
        <w:t>,</w:t>
      </w:r>
      <w:r w:rsidRPr="00B80BDF">
        <w:rPr>
          <w:color w:val="auto"/>
          <w:sz w:val="24"/>
        </w:rPr>
        <w:t xml:space="preserve"> 2005; Højberg and Refsgaard</w:t>
      </w:r>
      <w:r>
        <w:rPr>
          <w:color w:val="auto"/>
          <w:sz w:val="24"/>
        </w:rPr>
        <w:t>,</w:t>
      </w:r>
      <w:r w:rsidRPr="00B80BDF">
        <w:rPr>
          <w:color w:val="auto"/>
          <w:sz w:val="24"/>
        </w:rPr>
        <w:t xml:space="preserve"> 2005; Refsgaard et</w:t>
      </w:r>
      <w:r>
        <w:rPr>
          <w:color w:val="auto"/>
          <w:sz w:val="24"/>
        </w:rPr>
        <w:t xml:space="preserve"> </w:t>
      </w:r>
      <w:r w:rsidRPr="00B80BDF">
        <w:rPr>
          <w:color w:val="auto"/>
          <w:sz w:val="24"/>
        </w:rPr>
        <w:t>al.</w:t>
      </w:r>
      <w:r>
        <w:rPr>
          <w:color w:val="auto"/>
          <w:sz w:val="24"/>
        </w:rPr>
        <w:t>,</w:t>
      </w:r>
      <w:r w:rsidRPr="00B80BDF">
        <w:rPr>
          <w:color w:val="auto"/>
          <w:sz w:val="24"/>
        </w:rPr>
        <w:t xml:space="preserve"> 2012). The most commonly used approach to assess uncertainty of model predictions due to conceptual geological</w:t>
      </w:r>
      <w:r>
        <w:rPr>
          <w:color w:val="auto"/>
          <w:sz w:val="24"/>
        </w:rPr>
        <w:t xml:space="preserve"> </w:t>
      </w:r>
      <w:r w:rsidRPr="00B80BDF">
        <w:rPr>
          <w:color w:val="auto"/>
          <w:sz w:val="24"/>
        </w:rPr>
        <w:t>uncertainty is to run multiple geological models in a scenario modelling or multimodel approach (Neuman and Wierenga</w:t>
      </w:r>
      <w:r w:rsidR="00B80BDF">
        <w:rPr>
          <w:color w:val="auto"/>
          <w:sz w:val="24"/>
        </w:rPr>
        <w:t>,</w:t>
      </w:r>
      <w:r>
        <w:rPr>
          <w:color w:val="auto"/>
          <w:sz w:val="24"/>
        </w:rPr>
        <w:t xml:space="preserve"> </w:t>
      </w:r>
      <w:r w:rsidRPr="00B80BDF">
        <w:rPr>
          <w:color w:val="auto"/>
          <w:sz w:val="24"/>
        </w:rPr>
        <w:t>2003; Rojas et al.</w:t>
      </w:r>
      <w:r w:rsidR="00B80BDF">
        <w:rPr>
          <w:color w:val="auto"/>
          <w:sz w:val="24"/>
        </w:rPr>
        <w:t>,</w:t>
      </w:r>
      <w:r w:rsidRPr="00B80BDF">
        <w:rPr>
          <w:color w:val="auto"/>
          <w:sz w:val="24"/>
        </w:rPr>
        <w:t xml:space="preserve"> 2010; Troldborg et al.</w:t>
      </w:r>
      <w:r w:rsidR="00B80BDF">
        <w:rPr>
          <w:color w:val="auto"/>
          <w:sz w:val="24"/>
        </w:rPr>
        <w:t>,</w:t>
      </w:r>
      <w:r w:rsidRPr="00B80BDF">
        <w:rPr>
          <w:color w:val="auto"/>
          <w:sz w:val="24"/>
        </w:rPr>
        <w:t xml:space="preserve"> 2007).</w:t>
      </w:r>
      <w:r w:rsidR="00B80BDF">
        <w:rPr>
          <w:color w:val="auto"/>
          <w:sz w:val="24"/>
        </w:rPr>
        <w:t xml:space="preserve"> </w:t>
      </w:r>
      <w:r w:rsidRPr="00B80BDF">
        <w:rPr>
          <w:color w:val="auto"/>
          <w:sz w:val="24"/>
        </w:rPr>
        <w:t>Højberg and Refsgaard (2005) analysed the importance of parameter uncertainty relative to conceptual geological</w:t>
      </w:r>
      <w:r>
        <w:rPr>
          <w:color w:val="auto"/>
          <w:sz w:val="24"/>
        </w:rPr>
        <w:t xml:space="preserve"> </w:t>
      </w:r>
      <w:r w:rsidRPr="00B80BDF">
        <w:rPr>
          <w:color w:val="auto"/>
          <w:sz w:val="24"/>
        </w:rPr>
        <w:t>uncertainty by constructing three alternative groundwater models on the basis of three different geological interpretations</w:t>
      </w:r>
      <w:r>
        <w:rPr>
          <w:color w:val="auto"/>
          <w:sz w:val="24"/>
        </w:rPr>
        <w:t xml:space="preserve"> </w:t>
      </w:r>
      <w:r w:rsidRPr="00B80BDF">
        <w:rPr>
          <w:color w:val="auto"/>
          <w:sz w:val="24"/>
        </w:rPr>
        <w:t>for their study area in Denmark. Inverse model calibrations against groundwater heads and streamflows revealed a similar</w:t>
      </w:r>
      <w:r>
        <w:rPr>
          <w:color w:val="auto"/>
          <w:sz w:val="24"/>
        </w:rPr>
        <w:t xml:space="preserve"> </w:t>
      </w:r>
      <w:r w:rsidRPr="00B80BDF">
        <w:rPr>
          <w:color w:val="auto"/>
          <w:sz w:val="24"/>
        </w:rPr>
        <w:t>performance by the three models. A Monte Carlo based parameter uncertainty analysis showed that the model parameter</w:t>
      </w:r>
      <w:r>
        <w:rPr>
          <w:color w:val="auto"/>
          <w:sz w:val="24"/>
        </w:rPr>
        <w:t xml:space="preserve"> </w:t>
      </w:r>
      <w:r w:rsidRPr="00B80BDF">
        <w:rPr>
          <w:color w:val="auto"/>
          <w:sz w:val="24"/>
        </w:rPr>
        <w:t>uncertainty was the dominating source of uncertainty for prediction of groundwater heads throughout the model area.</w:t>
      </w:r>
      <w:r>
        <w:rPr>
          <w:color w:val="auto"/>
          <w:sz w:val="24"/>
        </w:rPr>
        <w:t xml:space="preserve"> </w:t>
      </w:r>
      <w:r w:rsidRPr="00B80BDF">
        <w:rPr>
          <w:color w:val="auto"/>
          <w:sz w:val="24"/>
        </w:rPr>
        <w:t>However, the results illustrated that the conceptual model uncertainty became relatively more important for prediction</w:t>
      </w:r>
      <w:r w:rsidR="00B80BDF">
        <w:rPr>
          <w:color w:val="auto"/>
          <w:sz w:val="24"/>
        </w:rPr>
        <w:t>s</w:t>
      </w:r>
      <w:r w:rsidRPr="00B80BDF">
        <w:rPr>
          <w:color w:val="auto"/>
          <w:sz w:val="24"/>
        </w:rPr>
        <w:t xml:space="preserve"> of</w:t>
      </w:r>
      <w:r>
        <w:rPr>
          <w:color w:val="auto"/>
          <w:sz w:val="24"/>
        </w:rPr>
        <w:t xml:space="preserve"> </w:t>
      </w:r>
      <w:r w:rsidRPr="00B80BDF">
        <w:rPr>
          <w:color w:val="auto"/>
          <w:sz w:val="24"/>
        </w:rPr>
        <w:t>groundwater recharge and even more important for prediction of chemical concentrations in abstraction wells.</w:t>
      </w:r>
      <w:r>
        <w:rPr>
          <w:color w:val="auto"/>
          <w:sz w:val="24"/>
        </w:rPr>
        <w:t xml:space="preserve"> </w:t>
      </w:r>
      <w:r w:rsidRPr="00B80BDF">
        <w:rPr>
          <w:color w:val="auto"/>
          <w:sz w:val="24"/>
        </w:rPr>
        <w:t>Højberg and Refsgaard (2005) concluded that conceptual geological uncertainty will be more dominating than parameter</w:t>
      </w:r>
      <w:r>
        <w:rPr>
          <w:color w:val="auto"/>
          <w:sz w:val="24"/>
        </w:rPr>
        <w:t xml:space="preserve"> </w:t>
      </w:r>
      <w:r w:rsidRPr="00B80BDF">
        <w:rPr>
          <w:color w:val="auto"/>
          <w:sz w:val="24"/>
        </w:rPr>
        <w:t>uncertainty, the more the model predictions are extrapolations from the basis of model calibration (e.g. uncalibrated</w:t>
      </w:r>
      <w:r>
        <w:rPr>
          <w:color w:val="auto"/>
          <w:sz w:val="24"/>
        </w:rPr>
        <w:t xml:space="preserve"> </w:t>
      </w:r>
      <w:r w:rsidRPr="00B80BDF">
        <w:rPr>
          <w:color w:val="auto"/>
          <w:sz w:val="24"/>
        </w:rPr>
        <w:t>chemical velocities and concentrations).</w:t>
      </w:r>
      <w:r w:rsidR="00A91A37">
        <w:rPr>
          <w:color w:val="auto"/>
          <w:sz w:val="24"/>
        </w:rPr>
        <w:t xml:space="preserve"> Because the relative importance of conceptual geological uncertainty will be region specific </w:t>
      </w:r>
      <w:r w:rsidR="002F13E5">
        <w:rPr>
          <w:color w:val="auto"/>
          <w:sz w:val="24"/>
        </w:rPr>
        <w:t xml:space="preserve">and will be depending on which system component needs interrogating to answer a specific management question (e.g., drawdown in a shallow bore or degree of depressurisation in a deep coal seam gas reservoir), </w:t>
      </w:r>
      <w:r w:rsidR="00A91A37">
        <w:rPr>
          <w:color w:val="auto"/>
          <w:sz w:val="24"/>
        </w:rPr>
        <w:t xml:space="preserve">it is recommended to explore in a step-wise manner its likely contribution to the overall uncertainty. A qualitative assessment commensurate with the generic methodology discussed in Section </w:t>
      </w:r>
      <w:r w:rsidR="00A91A37">
        <w:rPr>
          <w:color w:val="auto"/>
          <w:sz w:val="24"/>
        </w:rPr>
        <w:fldChar w:fldCharType="begin"/>
      </w:r>
      <w:r w:rsidR="00A91A37">
        <w:rPr>
          <w:color w:val="auto"/>
          <w:sz w:val="24"/>
        </w:rPr>
        <w:instrText xml:space="preserve"> REF _Ref483129924 \r \h </w:instrText>
      </w:r>
      <w:r w:rsidR="00A91A37">
        <w:rPr>
          <w:color w:val="auto"/>
          <w:sz w:val="24"/>
        </w:rPr>
      </w:r>
      <w:r w:rsidR="00A91A37">
        <w:rPr>
          <w:color w:val="auto"/>
          <w:sz w:val="24"/>
        </w:rPr>
        <w:fldChar w:fldCharType="separate"/>
      </w:r>
      <w:r w:rsidR="000B6FA5">
        <w:rPr>
          <w:color w:val="auto"/>
          <w:sz w:val="24"/>
        </w:rPr>
        <w:t>1.4</w:t>
      </w:r>
      <w:r w:rsidR="00A91A37">
        <w:rPr>
          <w:color w:val="auto"/>
          <w:sz w:val="24"/>
        </w:rPr>
        <w:fldChar w:fldCharType="end"/>
      </w:r>
      <w:r w:rsidR="00A91A37">
        <w:rPr>
          <w:color w:val="auto"/>
          <w:sz w:val="24"/>
        </w:rPr>
        <w:t xml:space="preserve"> would be a possible first step, followed by a more quantitative analysis where justified.</w:t>
      </w:r>
    </w:p>
    <w:p w14:paraId="7B8BE951" w14:textId="3BC55A3E" w:rsidR="006E1015" w:rsidRDefault="005F1821" w:rsidP="006301FC">
      <w:pPr>
        <w:spacing w:before="120" w:line="264" w:lineRule="auto"/>
        <w:rPr>
          <w:color w:val="auto"/>
          <w:sz w:val="24"/>
        </w:rPr>
      </w:pPr>
      <w:r w:rsidRPr="00B0618E">
        <w:rPr>
          <w:color w:val="auto"/>
          <w:sz w:val="24"/>
        </w:rPr>
        <w:t xml:space="preserve">The uncertainty associated with </w:t>
      </w:r>
      <w:r w:rsidR="009A3B0D">
        <w:rPr>
          <w:color w:val="auto"/>
          <w:sz w:val="24"/>
        </w:rPr>
        <w:t>geologic</w:t>
      </w:r>
      <w:r w:rsidR="00683D8F">
        <w:rPr>
          <w:color w:val="auto"/>
          <w:sz w:val="24"/>
        </w:rPr>
        <w:t xml:space="preserve"> formations can be summarised into large-scale stratigraphic heterogeneity and smaller-scale heterogeneity </w:t>
      </w:r>
      <w:r w:rsidR="006E1015">
        <w:rPr>
          <w:color w:val="auto"/>
          <w:sz w:val="24"/>
        </w:rPr>
        <w:t xml:space="preserve">within stratigraphic layers </w:t>
      </w:r>
      <w:r w:rsidR="00683D8F">
        <w:rPr>
          <w:color w:val="auto"/>
          <w:sz w:val="24"/>
        </w:rPr>
        <w:t>(facies distribution).</w:t>
      </w:r>
      <w:r w:rsidRPr="00B0618E">
        <w:rPr>
          <w:color w:val="auto"/>
          <w:sz w:val="24"/>
        </w:rPr>
        <w:t xml:space="preserve"> </w:t>
      </w:r>
      <w:r w:rsidR="00683D8F">
        <w:rPr>
          <w:color w:val="auto"/>
          <w:sz w:val="24"/>
        </w:rPr>
        <w:t xml:space="preserve">Both types of geologic uncertainty will result in parametric uncertainty about flow and transport parameters. </w:t>
      </w:r>
      <w:r w:rsidR="006301FC">
        <w:rPr>
          <w:color w:val="auto"/>
          <w:sz w:val="24"/>
        </w:rPr>
        <w:t xml:space="preserve">One approach to address geologic uncertainty is to adopt stratigraphic modelling and generate multiple geologic models. </w:t>
      </w:r>
      <w:r w:rsidR="006E1015" w:rsidRPr="006E1015">
        <w:rPr>
          <w:color w:val="auto"/>
          <w:sz w:val="24"/>
        </w:rPr>
        <w:t xml:space="preserve">Stratigraphic forward modelling (SFM) </w:t>
      </w:r>
      <w:r w:rsidR="009A3B0D">
        <w:rPr>
          <w:color w:val="auto"/>
          <w:sz w:val="24"/>
        </w:rPr>
        <w:t xml:space="preserve">was used by Ravenstein et al. (2015) to </w:t>
      </w:r>
      <w:r w:rsidR="006E1015" w:rsidRPr="006E1015">
        <w:rPr>
          <w:color w:val="auto"/>
          <w:sz w:val="24"/>
        </w:rPr>
        <w:t>generat</w:t>
      </w:r>
      <w:r w:rsidR="009A3B0D">
        <w:rPr>
          <w:color w:val="auto"/>
          <w:sz w:val="24"/>
        </w:rPr>
        <w:t>e</w:t>
      </w:r>
      <w:r w:rsidR="006E1015" w:rsidRPr="006E1015">
        <w:rPr>
          <w:color w:val="auto"/>
          <w:sz w:val="24"/>
        </w:rPr>
        <w:t xml:space="preserve"> and characteris</w:t>
      </w:r>
      <w:r w:rsidR="009A3B0D">
        <w:rPr>
          <w:color w:val="auto"/>
          <w:sz w:val="24"/>
        </w:rPr>
        <w:t>e</w:t>
      </w:r>
      <w:r w:rsidR="006E1015" w:rsidRPr="006E1015">
        <w:rPr>
          <w:color w:val="auto"/>
          <w:sz w:val="24"/>
        </w:rPr>
        <w:t xml:space="preserve"> a static reservoir model using limited well data</w:t>
      </w:r>
      <w:r w:rsidR="009A3B0D">
        <w:rPr>
          <w:color w:val="auto"/>
          <w:sz w:val="24"/>
        </w:rPr>
        <w:t xml:space="preserve"> to assess geological storage of CO</w:t>
      </w:r>
      <w:r w:rsidR="009A3B0D" w:rsidRPr="0054576A">
        <w:rPr>
          <w:color w:val="auto"/>
          <w:sz w:val="24"/>
          <w:vertAlign w:val="subscript"/>
        </w:rPr>
        <w:t>2</w:t>
      </w:r>
      <w:r w:rsidR="009A3B0D">
        <w:rPr>
          <w:color w:val="auto"/>
          <w:sz w:val="24"/>
        </w:rPr>
        <w:t xml:space="preserve"> in the Surat Basin, Queensland. </w:t>
      </w:r>
      <w:r w:rsidR="006E1015" w:rsidRPr="0054576A">
        <w:rPr>
          <w:color w:val="auto"/>
          <w:sz w:val="24"/>
        </w:rPr>
        <w:t>SFM</w:t>
      </w:r>
      <w:r w:rsidR="009A3B0D">
        <w:rPr>
          <w:color w:val="auto"/>
          <w:sz w:val="24"/>
        </w:rPr>
        <w:t xml:space="preserve"> involves</w:t>
      </w:r>
      <w:r w:rsidR="006E1015" w:rsidRPr="0054576A">
        <w:rPr>
          <w:color w:val="auto"/>
          <w:sz w:val="24"/>
        </w:rPr>
        <w:t xml:space="preserve"> numerical simulation</w:t>
      </w:r>
      <w:r w:rsidR="009A3B0D" w:rsidRPr="0054576A">
        <w:rPr>
          <w:color w:val="auto"/>
          <w:sz w:val="24"/>
        </w:rPr>
        <w:t xml:space="preserve"> </w:t>
      </w:r>
      <w:r w:rsidR="006E1015" w:rsidRPr="0054576A">
        <w:rPr>
          <w:color w:val="auto"/>
          <w:sz w:val="24"/>
        </w:rPr>
        <w:t>of the depositional processes to predict reservoir properties</w:t>
      </w:r>
      <w:r w:rsidR="009A3B0D" w:rsidRPr="0054576A">
        <w:rPr>
          <w:color w:val="auto"/>
          <w:sz w:val="24"/>
        </w:rPr>
        <w:t xml:space="preserve"> </w:t>
      </w:r>
      <w:r w:rsidR="006E1015" w:rsidRPr="0054576A">
        <w:rPr>
          <w:color w:val="auto"/>
          <w:sz w:val="24"/>
        </w:rPr>
        <w:t>at appropriate scales</w:t>
      </w:r>
      <w:r w:rsidR="00E425CC">
        <w:rPr>
          <w:color w:val="auto"/>
          <w:sz w:val="24"/>
        </w:rPr>
        <w:t xml:space="preserve"> (i.e., </w:t>
      </w:r>
      <w:r w:rsidR="00E425CC" w:rsidRPr="00E425CC">
        <w:rPr>
          <w:color w:val="auto"/>
          <w:sz w:val="24"/>
        </w:rPr>
        <w:t>where the course and fine grained sediments are likely to be deposited</w:t>
      </w:r>
      <w:r w:rsidR="00E425CC">
        <w:rPr>
          <w:color w:val="auto"/>
          <w:sz w:val="24"/>
        </w:rPr>
        <w:t>)</w:t>
      </w:r>
      <w:r w:rsidR="006E1015" w:rsidRPr="0054576A">
        <w:rPr>
          <w:color w:val="auto"/>
          <w:sz w:val="24"/>
        </w:rPr>
        <w:t>, away from</w:t>
      </w:r>
      <w:r w:rsidR="009A3B0D" w:rsidRPr="0054576A">
        <w:rPr>
          <w:color w:val="auto"/>
          <w:sz w:val="24"/>
        </w:rPr>
        <w:t xml:space="preserve"> </w:t>
      </w:r>
      <w:r w:rsidR="006E1015" w:rsidRPr="0054576A">
        <w:rPr>
          <w:color w:val="auto"/>
          <w:sz w:val="24"/>
        </w:rPr>
        <w:t>wells and below seismic resolution</w:t>
      </w:r>
      <w:r w:rsidR="009A3B0D">
        <w:rPr>
          <w:color w:val="auto"/>
          <w:sz w:val="24"/>
        </w:rPr>
        <w:t xml:space="preserve">. </w:t>
      </w:r>
      <w:r w:rsidR="00E425CC">
        <w:rPr>
          <w:color w:val="auto"/>
          <w:sz w:val="24"/>
        </w:rPr>
        <w:t>T</w:t>
      </w:r>
      <w:r w:rsidR="00E425CC" w:rsidRPr="00E425CC">
        <w:rPr>
          <w:color w:val="auto"/>
          <w:sz w:val="24"/>
        </w:rPr>
        <w:t xml:space="preserve">his </w:t>
      </w:r>
      <w:r w:rsidR="00E425CC">
        <w:rPr>
          <w:color w:val="auto"/>
          <w:sz w:val="24"/>
        </w:rPr>
        <w:t xml:space="preserve">information </w:t>
      </w:r>
      <w:r w:rsidR="00E425CC" w:rsidRPr="00E425CC">
        <w:rPr>
          <w:color w:val="auto"/>
          <w:sz w:val="24"/>
        </w:rPr>
        <w:t>can be used to get an independent view</w:t>
      </w:r>
      <w:r w:rsidR="00E425CC">
        <w:rPr>
          <w:color w:val="auto"/>
          <w:sz w:val="24"/>
        </w:rPr>
        <w:t>,</w:t>
      </w:r>
      <w:r w:rsidR="00E425CC" w:rsidRPr="00E425CC">
        <w:rPr>
          <w:color w:val="auto"/>
          <w:sz w:val="24"/>
        </w:rPr>
        <w:t xml:space="preserve"> based on sedimentary processes rather than stratigraphic correlation</w:t>
      </w:r>
      <w:r w:rsidR="00E425CC">
        <w:rPr>
          <w:color w:val="auto"/>
          <w:sz w:val="24"/>
        </w:rPr>
        <w:t>,</w:t>
      </w:r>
      <w:r w:rsidR="00E425CC" w:rsidRPr="00E425CC">
        <w:rPr>
          <w:color w:val="auto"/>
          <w:sz w:val="24"/>
        </w:rPr>
        <w:t xml:space="preserve"> on the risk of lateral continuity of reservoir or sealing geobodies.</w:t>
      </w:r>
      <w:r w:rsidR="00E425CC">
        <w:rPr>
          <w:color w:val="auto"/>
          <w:sz w:val="24"/>
        </w:rPr>
        <w:t xml:space="preserve"> </w:t>
      </w:r>
      <w:r w:rsidR="009A3B0D">
        <w:rPr>
          <w:color w:val="auto"/>
          <w:sz w:val="24"/>
        </w:rPr>
        <w:t>Ravenstein et al. (2015) developed a</w:t>
      </w:r>
      <w:r w:rsidR="009A3B0D" w:rsidRPr="0054576A">
        <w:rPr>
          <w:color w:val="auto"/>
          <w:sz w:val="24"/>
        </w:rPr>
        <w:t xml:space="preserve"> </w:t>
      </w:r>
      <w:r w:rsidR="006E1015" w:rsidRPr="0054576A">
        <w:rPr>
          <w:color w:val="auto"/>
          <w:sz w:val="24"/>
        </w:rPr>
        <w:t>basin-scale model</w:t>
      </w:r>
      <w:r w:rsidR="009A3B0D">
        <w:rPr>
          <w:color w:val="auto"/>
          <w:sz w:val="24"/>
        </w:rPr>
        <w:t xml:space="preserve"> of</w:t>
      </w:r>
      <w:r w:rsidR="006E1015" w:rsidRPr="0054576A">
        <w:rPr>
          <w:color w:val="auto"/>
          <w:sz w:val="24"/>
        </w:rPr>
        <w:t xml:space="preserve"> </w:t>
      </w:r>
      <w:r w:rsidR="009A3B0D" w:rsidRPr="00191695">
        <w:rPr>
          <w:color w:val="auto"/>
          <w:sz w:val="24"/>
        </w:rPr>
        <w:t>formation thickness, sediment</w:t>
      </w:r>
      <w:r w:rsidR="009A3B0D">
        <w:rPr>
          <w:color w:val="auto"/>
          <w:sz w:val="24"/>
        </w:rPr>
        <w:t xml:space="preserve"> </w:t>
      </w:r>
      <w:r w:rsidR="009A3B0D" w:rsidRPr="00191695">
        <w:rPr>
          <w:color w:val="auto"/>
          <w:sz w:val="24"/>
        </w:rPr>
        <w:t>type and sediment heterogeneity</w:t>
      </w:r>
      <w:r w:rsidR="009A3B0D">
        <w:rPr>
          <w:color w:val="auto"/>
          <w:sz w:val="24"/>
        </w:rPr>
        <w:t xml:space="preserve"> with a </w:t>
      </w:r>
      <w:r w:rsidR="006E1015" w:rsidRPr="0054576A">
        <w:rPr>
          <w:color w:val="auto"/>
          <w:sz w:val="24"/>
        </w:rPr>
        <w:t>10 km grid spacing</w:t>
      </w:r>
      <w:r w:rsidR="009A3B0D" w:rsidRPr="0054576A">
        <w:rPr>
          <w:color w:val="auto"/>
          <w:sz w:val="24"/>
        </w:rPr>
        <w:t xml:space="preserve">. </w:t>
      </w:r>
      <w:r w:rsidR="006E1015" w:rsidRPr="0054576A">
        <w:rPr>
          <w:color w:val="auto"/>
          <w:sz w:val="24"/>
        </w:rPr>
        <w:t>Within th</w:t>
      </w:r>
      <w:r w:rsidR="009A3B0D">
        <w:rPr>
          <w:color w:val="auto"/>
          <w:sz w:val="24"/>
        </w:rPr>
        <w:t>is</w:t>
      </w:r>
      <w:r w:rsidR="006E1015" w:rsidRPr="0054576A">
        <w:rPr>
          <w:color w:val="auto"/>
          <w:sz w:val="24"/>
        </w:rPr>
        <w:t xml:space="preserve"> basin-scale model, a</w:t>
      </w:r>
      <w:r w:rsidR="009A3B0D" w:rsidRPr="0054576A">
        <w:rPr>
          <w:color w:val="auto"/>
          <w:sz w:val="24"/>
        </w:rPr>
        <w:t xml:space="preserve"> </w:t>
      </w:r>
      <w:r w:rsidR="006E1015" w:rsidRPr="0054576A">
        <w:rPr>
          <w:color w:val="auto"/>
          <w:sz w:val="24"/>
        </w:rPr>
        <w:t>nested tenement-scale simulation was</w:t>
      </w:r>
      <w:r w:rsidR="009A3B0D" w:rsidRPr="0054576A">
        <w:rPr>
          <w:color w:val="auto"/>
          <w:sz w:val="24"/>
        </w:rPr>
        <w:t xml:space="preserve"> </w:t>
      </w:r>
      <w:r w:rsidR="006E1015" w:rsidRPr="0054576A">
        <w:rPr>
          <w:color w:val="auto"/>
          <w:sz w:val="24"/>
        </w:rPr>
        <w:t xml:space="preserve">run with </w:t>
      </w:r>
      <w:r w:rsidR="009A3B0D">
        <w:rPr>
          <w:color w:val="auto"/>
          <w:sz w:val="24"/>
        </w:rPr>
        <w:t xml:space="preserve">a </w:t>
      </w:r>
      <w:r w:rsidR="006E1015" w:rsidRPr="0054576A">
        <w:rPr>
          <w:color w:val="auto"/>
          <w:sz w:val="24"/>
        </w:rPr>
        <w:t>1 km grid spacing</w:t>
      </w:r>
      <w:r w:rsidR="009A3B0D" w:rsidRPr="0054576A">
        <w:rPr>
          <w:color w:val="auto"/>
          <w:sz w:val="24"/>
        </w:rPr>
        <w:t xml:space="preserve">. </w:t>
      </w:r>
      <w:r w:rsidR="009A3B0D">
        <w:rPr>
          <w:color w:val="auto"/>
          <w:sz w:val="24"/>
        </w:rPr>
        <w:t>Finally, a</w:t>
      </w:r>
      <w:r w:rsidR="006E1015" w:rsidRPr="0054576A">
        <w:rPr>
          <w:color w:val="auto"/>
          <w:sz w:val="24"/>
        </w:rPr>
        <w:t xml:space="preserve"> 3D permeability</w:t>
      </w:r>
      <w:r w:rsidR="009A3B0D" w:rsidRPr="0054576A">
        <w:rPr>
          <w:color w:val="auto"/>
          <w:sz w:val="24"/>
        </w:rPr>
        <w:t xml:space="preserve"> </w:t>
      </w:r>
      <w:r w:rsidR="006E1015" w:rsidRPr="0054576A">
        <w:rPr>
          <w:color w:val="auto"/>
          <w:sz w:val="24"/>
        </w:rPr>
        <w:t>volume was calculated from the</w:t>
      </w:r>
      <w:r w:rsidR="009A3B0D" w:rsidRPr="0054576A">
        <w:rPr>
          <w:color w:val="auto"/>
          <w:sz w:val="24"/>
        </w:rPr>
        <w:t xml:space="preserve"> </w:t>
      </w:r>
      <w:r w:rsidR="006E1015" w:rsidRPr="0054576A">
        <w:rPr>
          <w:color w:val="auto"/>
          <w:sz w:val="24"/>
        </w:rPr>
        <w:t xml:space="preserve">porosity </w:t>
      </w:r>
      <w:r w:rsidR="009A3B0D">
        <w:rPr>
          <w:color w:val="auto"/>
          <w:sz w:val="24"/>
        </w:rPr>
        <w:t xml:space="preserve">model </w:t>
      </w:r>
      <w:r w:rsidR="006E1015" w:rsidRPr="0054576A">
        <w:rPr>
          <w:color w:val="auto"/>
          <w:sz w:val="24"/>
        </w:rPr>
        <w:t>using a porosity</w:t>
      </w:r>
      <w:r w:rsidR="009A3B0D">
        <w:rPr>
          <w:color w:val="auto"/>
          <w:sz w:val="24"/>
        </w:rPr>
        <w:t>-</w:t>
      </w:r>
      <w:r w:rsidR="006E1015" w:rsidRPr="0054576A">
        <w:rPr>
          <w:color w:val="auto"/>
          <w:sz w:val="24"/>
        </w:rPr>
        <w:t>permeability</w:t>
      </w:r>
      <w:r w:rsidR="009A3B0D">
        <w:rPr>
          <w:color w:val="auto"/>
          <w:sz w:val="24"/>
        </w:rPr>
        <w:t xml:space="preserve"> </w:t>
      </w:r>
      <w:r w:rsidR="006E1015" w:rsidRPr="0054576A">
        <w:rPr>
          <w:color w:val="auto"/>
          <w:sz w:val="24"/>
        </w:rPr>
        <w:t>transform</w:t>
      </w:r>
      <w:r w:rsidR="009A3B0D" w:rsidRPr="0054576A">
        <w:rPr>
          <w:color w:val="auto"/>
          <w:sz w:val="24"/>
        </w:rPr>
        <w:t xml:space="preserve"> </w:t>
      </w:r>
      <w:r w:rsidR="006E1015" w:rsidRPr="0054576A">
        <w:rPr>
          <w:color w:val="auto"/>
          <w:sz w:val="24"/>
        </w:rPr>
        <w:t>derived from a</w:t>
      </w:r>
      <w:r w:rsidR="009A3B0D">
        <w:rPr>
          <w:color w:val="auto"/>
          <w:sz w:val="24"/>
        </w:rPr>
        <w:t>n</w:t>
      </w:r>
      <w:r w:rsidR="006E1015" w:rsidRPr="0054576A">
        <w:rPr>
          <w:color w:val="auto"/>
          <w:sz w:val="24"/>
        </w:rPr>
        <w:t xml:space="preserve"> </w:t>
      </w:r>
      <w:r w:rsidR="009A3B0D">
        <w:rPr>
          <w:color w:val="auto"/>
          <w:sz w:val="24"/>
        </w:rPr>
        <w:t xml:space="preserve">observed </w:t>
      </w:r>
      <w:r w:rsidR="006E1015" w:rsidRPr="0054576A">
        <w:rPr>
          <w:color w:val="auto"/>
          <w:sz w:val="24"/>
        </w:rPr>
        <w:t>porosity/permeability</w:t>
      </w:r>
      <w:r w:rsidR="009A3B0D" w:rsidRPr="0054576A">
        <w:rPr>
          <w:color w:val="auto"/>
          <w:sz w:val="24"/>
        </w:rPr>
        <w:t xml:space="preserve"> </w:t>
      </w:r>
      <w:r w:rsidR="006E1015" w:rsidRPr="0054576A">
        <w:rPr>
          <w:color w:val="auto"/>
          <w:sz w:val="24"/>
        </w:rPr>
        <w:t>relationship.</w:t>
      </w:r>
      <w:r w:rsidR="00B0517F">
        <w:rPr>
          <w:color w:val="auto"/>
          <w:sz w:val="24"/>
        </w:rPr>
        <w:t xml:space="preserve"> Their regional-scale application still uses a relatively coarse spatial discretisation of 10 km, with the higher resolution model limited to relatively small areas (tenement scale) due to computational limitations.</w:t>
      </w:r>
    </w:p>
    <w:p w14:paraId="12F646E9" w14:textId="3EE4D11F" w:rsidR="00C22F96" w:rsidRDefault="00C22F96" w:rsidP="00C22F96">
      <w:pPr>
        <w:spacing w:before="120" w:line="264" w:lineRule="auto"/>
        <w:rPr>
          <w:color w:val="auto"/>
          <w:sz w:val="24"/>
        </w:rPr>
      </w:pPr>
      <w:r>
        <w:rPr>
          <w:color w:val="auto"/>
          <w:sz w:val="24"/>
        </w:rPr>
        <w:t xml:space="preserve">A high-resolution </w:t>
      </w:r>
      <w:r w:rsidR="007568E2">
        <w:rPr>
          <w:color w:val="auto"/>
          <w:sz w:val="24"/>
        </w:rPr>
        <w:t>(200 m horizontal cell size</w:t>
      </w:r>
      <w:r w:rsidR="00CD1600">
        <w:rPr>
          <w:color w:val="auto"/>
          <w:sz w:val="24"/>
        </w:rPr>
        <w:t xml:space="preserve"> and 614 layers</w:t>
      </w:r>
      <w:r w:rsidR="007568E2">
        <w:rPr>
          <w:color w:val="auto"/>
          <w:sz w:val="24"/>
        </w:rPr>
        <w:t xml:space="preserve">) </w:t>
      </w:r>
      <w:r>
        <w:rPr>
          <w:color w:val="auto"/>
          <w:sz w:val="24"/>
        </w:rPr>
        <w:t xml:space="preserve">tenement scale (17.7×19.5 km) geologic facies model was developed by Moore et al. </w:t>
      </w:r>
      <w:r w:rsidR="007568E2">
        <w:rPr>
          <w:color w:val="auto"/>
          <w:sz w:val="24"/>
        </w:rPr>
        <w:t>(201</w:t>
      </w:r>
      <w:r w:rsidR="0054576A">
        <w:rPr>
          <w:color w:val="auto"/>
          <w:sz w:val="24"/>
        </w:rPr>
        <w:t>5</w:t>
      </w:r>
      <w:r w:rsidR="007568E2">
        <w:rPr>
          <w:color w:val="auto"/>
          <w:sz w:val="24"/>
        </w:rPr>
        <w:t xml:space="preserve">) in a comparison between a </w:t>
      </w:r>
      <w:r w:rsidRPr="007568E2">
        <w:rPr>
          <w:color w:val="auto"/>
          <w:sz w:val="24"/>
        </w:rPr>
        <w:t xml:space="preserve">dual-phase reservoir simulator </w:t>
      </w:r>
      <w:r w:rsidR="007568E2">
        <w:rPr>
          <w:color w:val="auto"/>
          <w:sz w:val="24"/>
        </w:rPr>
        <w:t>and a single-phase groundwater model. Both models were</w:t>
      </w:r>
      <w:r w:rsidRPr="007568E2">
        <w:rPr>
          <w:color w:val="auto"/>
          <w:sz w:val="24"/>
        </w:rPr>
        <w:t xml:space="preserve"> used to examine depressurization and water desaturation processes in the vicinity of an extractive wellfield.</w:t>
      </w:r>
      <w:r w:rsidR="007568E2">
        <w:rPr>
          <w:color w:val="auto"/>
          <w:sz w:val="24"/>
        </w:rPr>
        <w:t xml:space="preserve"> </w:t>
      </w:r>
      <w:r w:rsidR="003473D8">
        <w:rPr>
          <w:color w:val="auto"/>
          <w:sz w:val="24"/>
        </w:rPr>
        <w:t>While t</w:t>
      </w:r>
      <w:r w:rsidR="007568E2">
        <w:rPr>
          <w:color w:val="auto"/>
          <w:sz w:val="24"/>
        </w:rPr>
        <w:t>he focus of th</w:t>
      </w:r>
      <w:r w:rsidR="003473D8">
        <w:rPr>
          <w:color w:val="auto"/>
          <w:sz w:val="24"/>
        </w:rPr>
        <w:t>e Moore et al. (201</w:t>
      </w:r>
      <w:r w:rsidR="0054576A">
        <w:rPr>
          <w:color w:val="auto"/>
          <w:sz w:val="24"/>
        </w:rPr>
        <w:t>5</w:t>
      </w:r>
      <w:r w:rsidR="003473D8">
        <w:rPr>
          <w:color w:val="auto"/>
          <w:sz w:val="24"/>
        </w:rPr>
        <w:t xml:space="preserve">) </w:t>
      </w:r>
      <w:r w:rsidR="007568E2">
        <w:rPr>
          <w:color w:val="auto"/>
          <w:sz w:val="24"/>
        </w:rPr>
        <w:t>study was mainly on testing upscaling methods for a highly layered coal – interburden system</w:t>
      </w:r>
      <w:r w:rsidR="003473D8">
        <w:rPr>
          <w:color w:val="auto"/>
          <w:sz w:val="24"/>
        </w:rPr>
        <w:t>, the current study focuses on aquitard heterogeneity and uses existing water production curves as boundary condition.</w:t>
      </w:r>
      <w:r w:rsidRPr="007568E2">
        <w:rPr>
          <w:color w:val="auto"/>
          <w:sz w:val="24"/>
        </w:rPr>
        <w:t xml:space="preserve"> </w:t>
      </w:r>
    </w:p>
    <w:p w14:paraId="4997A3FD" w14:textId="3649B24D" w:rsidR="0016754A" w:rsidRPr="00B0618E" w:rsidRDefault="003473D8" w:rsidP="00AA0E34">
      <w:pPr>
        <w:pStyle w:val="BodyText"/>
      </w:pPr>
      <w:r>
        <w:t xml:space="preserve">A widely used alternative to explicit representation of geologic heterogeneity followed by coupling with a porosity-hydraulic conductivity relationship is to directly work with the heterogeneity in </w:t>
      </w:r>
      <w:r w:rsidR="00683D8F">
        <w:t xml:space="preserve">hydraulic conductivity </w:t>
      </w:r>
      <w:r w:rsidR="00683D8F" w:rsidRPr="00B80BDF">
        <w:rPr>
          <w:i/>
        </w:rPr>
        <w:t>K</w:t>
      </w:r>
      <w:r>
        <w:t xml:space="preserve">. Indeed, uncertainty about </w:t>
      </w:r>
      <w:r w:rsidR="005F1821" w:rsidRPr="00B0618E">
        <w:t>hydraulic properties (</w:t>
      </w:r>
      <w:r w:rsidR="00481761">
        <w:t>i.e.</w:t>
      </w:r>
      <w:r w:rsidR="00683D8F">
        <w:t>,</w:t>
      </w:r>
      <w:r w:rsidR="00481761">
        <w:t xml:space="preserve"> parametric uncertainty about</w:t>
      </w:r>
      <w:r w:rsidR="00B80BDF">
        <w:t xml:space="preserve"> hydraulic conductivity </w:t>
      </w:r>
      <w:r w:rsidR="00B80BDF" w:rsidRPr="00B80BDF">
        <w:rPr>
          <w:i/>
        </w:rPr>
        <w:t>K</w:t>
      </w:r>
      <w:r w:rsidR="005F1821" w:rsidRPr="00B0618E">
        <w:t xml:space="preserve">) </w:t>
      </w:r>
      <w:r w:rsidR="00B80BDF">
        <w:t>is often</w:t>
      </w:r>
      <w:r w:rsidR="005F1821" w:rsidRPr="00B0618E">
        <w:t xml:space="preserve"> represented through multiple realisations of a 3D hydraulic conductivity model. Such realisations of aquitard properties represent realistic and statistically meaningful reconstructions of subsurface heterogeneity (</w:t>
      </w:r>
      <w:r w:rsidR="00AE6843" w:rsidRPr="00B0618E">
        <w:t>Kolterman and Gorelick, 1996</w:t>
      </w:r>
      <w:r w:rsidR="005F1821" w:rsidRPr="00B0618E">
        <w:t xml:space="preserve">); they account for uncertainties about hydrostratigraphy, facies variability, etc., all of which affect hydraulic property variability. Realisations </w:t>
      </w:r>
      <w:r w:rsidR="00B80BDF">
        <w:t xml:space="preserve">can </w:t>
      </w:r>
      <w:r w:rsidR="005F1821" w:rsidRPr="00B0618E">
        <w:t xml:space="preserve">be constrained by hard data including field measurements of hydraulic properties (i.e. </w:t>
      </w:r>
      <w:r w:rsidR="005F1821" w:rsidRPr="00B0618E">
        <w:rPr>
          <w:i/>
        </w:rPr>
        <w:t>K</w:t>
      </w:r>
      <w:r w:rsidR="005F1821" w:rsidRPr="00B0618E">
        <w:t xml:space="preserve">). </w:t>
      </w:r>
      <w:r w:rsidR="00C3181C">
        <w:t xml:space="preserve">For low-permeable aquitards formed in low-energy depositional environments, the geologic heterogeneity is typically smaller compared to </w:t>
      </w:r>
      <w:r w:rsidR="003E2EBA">
        <w:t xml:space="preserve">more permeable formations such as </w:t>
      </w:r>
      <w:r w:rsidR="00C3181C">
        <w:t xml:space="preserve">aquifers </w:t>
      </w:r>
      <w:r w:rsidR="00D86EBB">
        <w:t>formed under high-energy environments</w:t>
      </w:r>
      <w:r w:rsidR="00C3181C">
        <w:t xml:space="preserve">. </w:t>
      </w:r>
      <w:r w:rsidR="00C96DC5">
        <w:t xml:space="preserve">Relationships between the depositional environment and patterns of heterogeneity of clastic sedimentary rocks have been reported by Weber (1982). Deep marine shales, for instance, may be continuous for a hundred km (Richardson et al., 1978). </w:t>
      </w:r>
      <w:r w:rsidR="00F129CC">
        <w:t>D</w:t>
      </w:r>
      <w:r w:rsidR="00F129CC" w:rsidRPr="00F129CC">
        <w:t>epositional flow regime features cause spatial variations in the average permeability</w:t>
      </w:r>
      <w:r w:rsidR="00F024B0">
        <w:t xml:space="preserve"> (Kolterman and Gorelick, 1996)</w:t>
      </w:r>
      <w:r w:rsidR="00F129CC" w:rsidRPr="00F129CC">
        <w:t>.</w:t>
      </w:r>
      <w:r w:rsidR="00F129CC">
        <w:t xml:space="preserve"> It is expected that</w:t>
      </w:r>
      <w:r w:rsidR="00F0069F">
        <w:t xml:space="preserve"> </w:t>
      </w:r>
      <w:r w:rsidR="00F129CC">
        <w:t xml:space="preserve">for low-energy environments </w:t>
      </w:r>
      <w:r w:rsidR="00F0069F">
        <w:t xml:space="preserve">the hydraulic conductivity heterogeneity will be </w:t>
      </w:r>
      <w:r w:rsidR="00F129CC">
        <w:t xml:space="preserve">relatively </w:t>
      </w:r>
      <w:r w:rsidR="00F0069F">
        <w:t xml:space="preserve">small </w:t>
      </w:r>
      <w:r w:rsidR="00164193">
        <w:t xml:space="preserve">with a spatial structure </w:t>
      </w:r>
      <w:r w:rsidR="00F0069F">
        <w:t>dominat</w:t>
      </w:r>
      <w:r w:rsidR="00164193">
        <w:t>ed by large-scale heterogeneity</w:t>
      </w:r>
      <w:r w:rsidR="00F024B0">
        <w:t xml:space="preserve"> (with typical hydraulic conductivity images which appear continuous)</w:t>
      </w:r>
      <w:r w:rsidR="00164193">
        <w:t>.</w:t>
      </w:r>
      <w:r w:rsidR="00F0069F">
        <w:t xml:space="preserve"> </w:t>
      </w:r>
      <w:r w:rsidR="00583EE5">
        <w:t xml:space="preserve">In relatively homogeneous formations with limited facies heterogeneities, fractures or large-scale conduits such as geological faults, the scale-dependency of </w:t>
      </w:r>
      <w:r w:rsidR="00583EE5" w:rsidRPr="006F5365">
        <w:rPr>
          <w:i/>
        </w:rPr>
        <w:t>K</w:t>
      </w:r>
      <w:r w:rsidR="00583EE5">
        <w:t xml:space="preserve"> will also be limited. Examples of formations that are practically scale-invariant in </w:t>
      </w:r>
      <w:r w:rsidR="00583EE5" w:rsidRPr="006F5365">
        <w:rPr>
          <w:i/>
        </w:rPr>
        <w:t>K</w:t>
      </w:r>
      <w:r w:rsidR="0078357A">
        <w:t xml:space="preserve"> include marine clays (Yu</w:t>
      </w:r>
      <w:r w:rsidR="00583EE5">
        <w:t xml:space="preserve"> et al., 2013)</w:t>
      </w:r>
      <w:r w:rsidR="0078357A">
        <w:t>,</w:t>
      </w:r>
      <w:r w:rsidR="00583EE5">
        <w:t xml:space="preserve"> </w:t>
      </w:r>
      <w:r w:rsidR="0078357A">
        <w:t xml:space="preserve">argillites (Distinguin and Lavanchy, 2007), </w:t>
      </w:r>
      <w:r w:rsidR="00583EE5">
        <w:t>and several types of sandstones (Schulze-Makuch et al., 1999).</w:t>
      </w:r>
      <w:r w:rsidR="007C7213">
        <w:t xml:space="preserve"> </w:t>
      </w:r>
      <w:r w:rsidR="00BA0C6A">
        <w:t xml:space="preserve">Furthermore, Moore et al. (2015) reported a two orders of magnitude range in </w:t>
      </w:r>
      <w:r w:rsidR="00BA0C6A" w:rsidRPr="00005E6D">
        <w:rPr>
          <w:i/>
        </w:rPr>
        <w:t>K</w:t>
      </w:r>
      <w:r w:rsidR="00BA0C6A" w:rsidRPr="00005E6D">
        <w:rPr>
          <w:vertAlign w:val="subscript"/>
        </w:rPr>
        <w:t>V</w:t>
      </w:r>
      <w:r w:rsidR="00BA0C6A">
        <w:t xml:space="preserve"> for the lower Sprinbok aquitard (sandstone/siltstone/shale) compared to three orders of magnitude for the Walloon Coal Measure interburden </w:t>
      </w:r>
      <w:r w:rsidR="00BA0C6A" w:rsidRPr="00005E6D">
        <w:rPr>
          <w:i/>
        </w:rPr>
        <w:t>K</w:t>
      </w:r>
      <w:r w:rsidR="00BA0C6A" w:rsidRPr="00005E6D">
        <w:rPr>
          <w:vertAlign w:val="subscript"/>
        </w:rPr>
        <w:t>H</w:t>
      </w:r>
      <w:r w:rsidR="00BA0C6A">
        <w:t xml:space="preserve"> and up to five orders of magnitude for the Walloon Coal Measure coal layers </w:t>
      </w:r>
      <w:r w:rsidR="00BA0C6A" w:rsidRPr="007968AB">
        <w:rPr>
          <w:i/>
        </w:rPr>
        <w:t>K</w:t>
      </w:r>
      <w:r w:rsidR="00BA0C6A" w:rsidRPr="007968AB">
        <w:rPr>
          <w:vertAlign w:val="subscript"/>
        </w:rPr>
        <w:t>H</w:t>
      </w:r>
      <w:r w:rsidR="00BA0C6A">
        <w:t xml:space="preserve">. </w:t>
      </w:r>
      <w:r w:rsidR="00F024B0">
        <w:t>For environments w</w:t>
      </w:r>
      <w:r w:rsidR="003E7CA7">
        <w:t>ith</w:t>
      </w:r>
      <w:r w:rsidR="00F024B0">
        <w:t xml:space="preserve"> large lateral continuity</w:t>
      </w:r>
      <w:r w:rsidR="003E7CA7">
        <w:t>,</w:t>
      </w:r>
      <w:r w:rsidR="00F024B0">
        <w:t xml:space="preserve"> layer-cake geometries are appropriate, while for more heterogeneous environments a labyrinth geometry is more appropriate (Kolterman and Gorelick, 1996). </w:t>
      </w:r>
    </w:p>
    <w:p w14:paraId="5B9CA6AA" w14:textId="77777777" w:rsidR="00165854" w:rsidRPr="00B0618E" w:rsidRDefault="00165854" w:rsidP="00F47AA9">
      <w:pPr>
        <w:keepNext/>
        <w:keepLines/>
        <w:numPr>
          <w:ilvl w:val="1"/>
          <w:numId w:val="13"/>
        </w:numPr>
        <w:tabs>
          <w:tab w:val="left" w:pos="1134"/>
        </w:tabs>
        <w:spacing w:before="360" w:after="240"/>
        <w:outlineLvl w:val="1"/>
        <w:rPr>
          <w:rFonts w:eastAsiaTheme="majorEastAsia" w:cstheme="majorBidi"/>
          <w:bCs/>
          <w:color w:val="00313C" w:themeColor="accent2"/>
          <w:sz w:val="32"/>
          <w:szCs w:val="26"/>
        </w:rPr>
      </w:pPr>
      <w:r w:rsidRPr="00B0618E">
        <w:rPr>
          <w:rFonts w:eastAsiaTheme="majorEastAsia" w:cstheme="majorBidi"/>
          <w:bCs/>
          <w:color w:val="00313C" w:themeColor="accent2"/>
          <w:sz w:val="32"/>
          <w:szCs w:val="26"/>
        </w:rPr>
        <w:t>Description</w:t>
      </w:r>
    </w:p>
    <w:p w14:paraId="46569158" w14:textId="43F33842" w:rsidR="00426B9D" w:rsidRDefault="00F00DFB" w:rsidP="00FA554A">
      <w:pPr>
        <w:spacing w:before="120" w:line="264" w:lineRule="auto"/>
        <w:rPr>
          <w:color w:val="auto"/>
          <w:sz w:val="24"/>
        </w:rPr>
      </w:pPr>
      <w:r w:rsidRPr="00B0618E">
        <w:rPr>
          <w:color w:val="auto"/>
          <w:sz w:val="24"/>
        </w:rPr>
        <w:t xml:space="preserve">In the present study we </w:t>
      </w:r>
      <w:r w:rsidR="005E18F7" w:rsidRPr="00B0618E">
        <w:rPr>
          <w:color w:val="auto"/>
          <w:sz w:val="24"/>
        </w:rPr>
        <w:t>sought</w:t>
      </w:r>
      <w:r w:rsidRPr="00B0618E">
        <w:rPr>
          <w:color w:val="auto"/>
          <w:sz w:val="24"/>
        </w:rPr>
        <w:t xml:space="preserve"> to </w:t>
      </w:r>
      <w:r w:rsidR="00246995">
        <w:rPr>
          <w:color w:val="auto"/>
          <w:sz w:val="24"/>
        </w:rPr>
        <w:t>improve the representation of</w:t>
      </w:r>
      <w:r w:rsidRPr="00B0618E">
        <w:rPr>
          <w:color w:val="auto"/>
          <w:sz w:val="24"/>
        </w:rPr>
        <w:t xml:space="preserve"> two aquitard sequences in a</w:t>
      </w:r>
      <w:r w:rsidR="00246995">
        <w:rPr>
          <w:color w:val="auto"/>
          <w:sz w:val="24"/>
        </w:rPr>
        <w:t>n existing</w:t>
      </w:r>
      <w:r w:rsidRPr="00B0618E">
        <w:rPr>
          <w:color w:val="auto"/>
          <w:sz w:val="24"/>
        </w:rPr>
        <w:t xml:space="preserve"> groundwater flow model </w:t>
      </w:r>
      <w:r w:rsidR="00246995">
        <w:rPr>
          <w:color w:val="auto"/>
          <w:sz w:val="24"/>
        </w:rPr>
        <w:t xml:space="preserve">that </w:t>
      </w:r>
      <w:r w:rsidR="00343E98" w:rsidRPr="00B0618E">
        <w:rPr>
          <w:color w:val="auto"/>
          <w:sz w:val="24"/>
        </w:rPr>
        <w:t>had</w:t>
      </w:r>
      <w:r w:rsidRPr="00B0618E">
        <w:rPr>
          <w:color w:val="auto"/>
          <w:sz w:val="24"/>
        </w:rPr>
        <w:t xml:space="preserve"> previous</w:t>
      </w:r>
      <w:r w:rsidR="005E18F7" w:rsidRPr="00B0618E">
        <w:rPr>
          <w:color w:val="auto"/>
          <w:sz w:val="24"/>
        </w:rPr>
        <w:t>l</w:t>
      </w:r>
      <w:r w:rsidRPr="00B0618E">
        <w:rPr>
          <w:color w:val="auto"/>
          <w:sz w:val="24"/>
        </w:rPr>
        <w:t xml:space="preserve">y </w:t>
      </w:r>
      <w:r w:rsidR="00343E98" w:rsidRPr="00B0618E">
        <w:rPr>
          <w:color w:val="auto"/>
          <w:sz w:val="24"/>
        </w:rPr>
        <w:t xml:space="preserve">been </w:t>
      </w:r>
      <w:r w:rsidRPr="00B0618E">
        <w:rPr>
          <w:color w:val="auto"/>
          <w:sz w:val="24"/>
        </w:rPr>
        <w:t>used to provide predictions of coal seam gas</w:t>
      </w:r>
      <w:r w:rsidR="00343E98" w:rsidRPr="00B0618E">
        <w:rPr>
          <w:color w:val="auto"/>
          <w:sz w:val="24"/>
        </w:rPr>
        <w:t xml:space="preserve"> </w:t>
      </w:r>
      <w:r w:rsidRPr="00B0618E">
        <w:rPr>
          <w:color w:val="auto"/>
          <w:sz w:val="24"/>
        </w:rPr>
        <w:t xml:space="preserve">production impacts in the Gunnedah </w:t>
      </w:r>
      <w:r w:rsidR="00B21E39">
        <w:rPr>
          <w:color w:val="auto"/>
          <w:sz w:val="24"/>
        </w:rPr>
        <w:t xml:space="preserve">and Surat </w:t>
      </w:r>
      <w:r w:rsidR="001766E2">
        <w:rPr>
          <w:color w:val="auto"/>
          <w:sz w:val="24"/>
        </w:rPr>
        <w:t>b</w:t>
      </w:r>
      <w:r w:rsidR="00B21E39">
        <w:rPr>
          <w:color w:val="auto"/>
          <w:sz w:val="24"/>
        </w:rPr>
        <w:t>asins</w:t>
      </w:r>
      <w:r w:rsidR="00311D25">
        <w:rPr>
          <w:color w:val="auto"/>
          <w:sz w:val="24"/>
        </w:rPr>
        <w:t xml:space="preserve"> in NSW</w:t>
      </w:r>
      <w:r w:rsidRPr="00B0618E">
        <w:rPr>
          <w:color w:val="auto"/>
          <w:sz w:val="24"/>
        </w:rPr>
        <w:t>.</w:t>
      </w:r>
      <w:r w:rsidR="00343E98" w:rsidRPr="00B0618E">
        <w:t xml:space="preserve"> </w:t>
      </w:r>
      <w:r w:rsidR="00343E98" w:rsidRPr="00B0618E">
        <w:rPr>
          <w:color w:val="auto"/>
          <w:sz w:val="24"/>
        </w:rPr>
        <w:t>The values assigned to these aquitard sequences had been derived from prior modelling studies and textbooks (</w:t>
      </w:r>
      <w:r w:rsidR="00045A85">
        <w:rPr>
          <w:color w:val="auto"/>
          <w:sz w:val="24"/>
        </w:rPr>
        <w:t>CDM Smith, 2016</w:t>
      </w:r>
      <w:r w:rsidR="00343E98" w:rsidRPr="00B0618E">
        <w:rPr>
          <w:color w:val="auto"/>
          <w:sz w:val="24"/>
        </w:rPr>
        <w:t xml:space="preserve">). </w:t>
      </w:r>
      <w:r w:rsidR="00D646E1">
        <w:rPr>
          <w:color w:val="auto"/>
          <w:sz w:val="24"/>
        </w:rPr>
        <w:t>Turnadge et al. (2018</w:t>
      </w:r>
      <w:r w:rsidR="00FA554A">
        <w:rPr>
          <w:color w:val="auto"/>
          <w:sz w:val="24"/>
        </w:rPr>
        <w:t>a) noted that based on ten impact assessment studies</w:t>
      </w:r>
      <w:r w:rsidR="00FA554A" w:rsidRPr="00DE4F59">
        <w:rPr>
          <w:color w:val="auto"/>
          <w:sz w:val="24"/>
        </w:rPr>
        <w:t xml:space="preserve"> involving coal seam gas production in Australian coal basins</w:t>
      </w:r>
      <w:r w:rsidR="00FA554A">
        <w:rPr>
          <w:color w:val="auto"/>
          <w:sz w:val="24"/>
        </w:rPr>
        <w:t xml:space="preserve">, </w:t>
      </w:r>
      <w:r w:rsidR="00FA554A" w:rsidRPr="00DE4F59">
        <w:rPr>
          <w:color w:val="auto"/>
          <w:sz w:val="24"/>
        </w:rPr>
        <w:t>groundwater flow models used to estimate potential impacts are often highly simplified. Specifically for aquitards, simplification typically involves neglecting the spatial heterogeneity of hydraulic conductivity and storativity by adopting spatially uniform values</w:t>
      </w:r>
      <w:r w:rsidR="00EE2640">
        <w:rPr>
          <w:color w:val="auto"/>
          <w:sz w:val="24"/>
        </w:rPr>
        <w:t>, often based on literature values, inverse modelling or limited field investigations. The existing groundwater flow model used in this project therefore represents a typical situation of many groundwater models currently in use by industry. The case study developed here is aimed at</w:t>
      </w:r>
      <w:r w:rsidR="00426B9D">
        <w:rPr>
          <w:color w:val="auto"/>
          <w:sz w:val="24"/>
        </w:rPr>
        <w:t>:</w:t>
      </w:r>
    </w:p>
    <w:p w14:paraId="420C2010" w14:textId="77777777" w:rsidR="00426B9D" w:rsidRDefault="00EE2640" w:rsidP="00F47AA9">
      <w:pPr>
        <w:pStyle w:val="ListParagraph"/>
        <w:numPr>
          <w:ilvl w:val="0"/>
          <w:numId w:val="28"/>
        </w:numPr>
        <w:spacing w:before="120"/>
        <w:rPr>
          <w:color w:val="auto"/>
        </w:rPr>
      </w:pPr>
      <w:r w:rsidRPr="00DE4F59">
        <w:rPr>
          <w:color w:val="auto"/>
        </w:rPr>
        <w:t xml:space="preserve">demonstrating how a materially better parameterisation of aquitard </w:t>
      </w:r>
      <w:r w:rsidRPr="00DE4F59">
        <w:rPr>
          <w:i/>
          <w:color w:val="auto"/>
        </w:rPr>
        <w:t>K</w:t>
      </w:r>
      <w:r w:rsidRPr="00DE4F59">
        <w:rPr>
          <w:color w:val="auto"/>
          <w:vertAlign w:val="subscript"/>
        </w:rPr>
        <w:t>V</w:t>
      </w:r>
      <w:r w:rsidRPr="00DE4F59">
        <w:rPr>
          <w:color w:val="auto"/>
        </w:rPr>
        <w:t xml:space="preserve"> can be achieved by using mainly existing data augmented with targeted additional measurements</w:t>
      </w:r>
      <w:r w:rsidR="00426B9D">
        <w:rPr>
          <w:color w:val="auto"/>
        </w:rPr>
        <w:t>,</w:t>
      </w:r>
    </w:p>
    <w:p w14:paraId="64092600" w14:textId="3DAAB7EA" w:rsidR="00426B9D" w:rsidRDefault="00426B9D" w:rsidP="00F47AA9">
      <w:pPr>
        <w:pStyle w:val="ListParagraph"/>
        <w:numPr>
          <w:ilvl w:val="0"/>
          <w:numId w:val="28"/>
        </w:numPr>
        <w:spacing w:before="120"/>
        <w:rPr>
          <w:color w:val="auto"/>
        </w:rPr>
      </w:pPr>
      <w:r>
        <w:rPr>
          <w:color w:val="auto"/>
        </w:rPr>
        <w:t xml:space="preserve">developing a workflow that can be readily implemented by industry on a sufficiently large spatial scale (i.e., regional scale) without putting an undue burden on computational resources, </w:t>
      </w:r>
    </w:p>
    <w:p w14:paraId="254AB266" w14:textId="5D405AA9" w:rsidR="006F66CD" w:rsidRDefault="000A3C0D" w:rsidP="00F47AA9">
      <w:pPr>
        <w:pStyle w:val="ListParagraph"/>
        <w:numPr>
          <w:ilvl w:val="0"/>
          <w:numId w:val="28"/>
        </w:numPr>
        <w:spacing w:before="120"/>
        <w:rPr>
          <w:color w:val="auto"/>
        </w:rPr>
      </w:pPr>
      <w:r>
        <w:rPr>
          <w:color w:val="auto"/>
        </w:rPr>
        <w:t>applying methodologies that have been validated in similar geological settings and that are fit-for-purpose, and</w:t>
      </w:r>
    </w:p>
    <w:p w14:paraId="37450ABC" w14:textId="1D12452C" w:rsidR="00FA554A" w:rsidRPr="00DE4F59" w:rsidRDefault="00426B9D" w:rsidP="00F47AA9">
      <w:pPr>
        <w:pStyle w:val="ListParagraph"/>
        <w:numPr>
          <w:ilvl w:val="0"/>
          <w:numId w:val="28"/>
        </w:numPr>
        <w:spacing w:before="120"/>
        <w:rPr>
          <w:color w:val="auto"/>
        </w:rPr>
      </w:pPr>
      <w:r>
        <w:rPr>
          <w:color w:val="auto"/>
        </w:rPr>
        <w:t>developing a workflow that uses existing simulation software that is either free domain or can be obtained at a reasonable cost</w:t>
      </w:r>
      <w:r w:rsidR="00EE2640" w:rsidRPr="00DE4F59">
        <w:rPr>
          <w:color w:val="auto"/>
        </w:rPr>
        <w:t>.</w:t>
      </w:r>
    </w:p>
    <w:p w14:paraId="1940744C" w14:textId="0C41F9B2" w:rsidR="00B36940" w:rsidRDefault="000A3C0D">
      <w:pPr>
        <w:spacing w:before="120" w:line="264" w:lineRule="auto"/>
        <w:rPr>
          <w:color w:val="auto"/>
          <w:sz w:val="24"/>
        </w:rPr>
      </w:pPr>
      <w:r>
        <w:rPr>
          <w:color w:val="auto"/>
          <w:sz w:val="24"/>
        </w:rPr>
        <w:t>In selecting a fit-for-purpose methodology, care must be taken that the level of complexity is commensurate with the complexity of the system and the objective of the study (Neuman and Wierenga, 2003); the general principle “</w:t>
      </w:r>
      <w:r w:rsidRPr="00DE4F59">
        <w:rPr>
          <w:i/>
          <w:color w:val="auto"/>
          <w:sz w:val="24"/>
        </w:rPr>
        <w:t xml:space="preserve">as simple as possible, </w:t>
      </w:r>
      <w:r w:rsidR="008A3959">
        <w:rPr>
          <w:i/>
          <w:color w:val="auto"/>
          <w:sz w:val="24"/>
        </w:rPr>
        <w:t>but not simpler</w:t>
      </w:r>
      <w:r>
        <w:rPr>
          <w:color w:val="auto"/>
          <w:sz w:val="24"/>
        </w:rPr>
        <w:t>” should be followed</w:t>
      </w:r>
      <w:r w:rsidR="008A3959">
        <w:rPr>
          <w:color w:val="auto"/>
          <w:sz w:val="24"/>
        </w:rPr>
        <w:t xml:space="preserve"> (</w:t>
      </w:r>
      <w:r w:rsidR="00622AD7">
        <w:rPr>
          <w:color w:val="auto"/>
          <w:sz w:val="24"/>
        </w:rPr>
        <w:t xml:space="preserve">Hill, 2006; </w:t>
      </w:r>
      <w:r w:rsidR="008A3959">
        <w:rPr>
          <w:color w:val="auto"/>
          <w:sz w:val="24"/>
        </w:rPr>
        <w:t>Simmons and Hunt, 2012)</w:t>
      </w:r>
      <w:r>
        <w:rPr>
          <w:color w:val="auto"/>
          <w:sz w:val="24"/>
        </w:rPr>
        <w:t xml:space="preserve">. </w:t>
      </w:r>
      <w:r w:rsidR="00415777">
        <w:rPr>
          <w:color w:val="auto"/>
          <w:sz w:val="24"/>
        </w:rPr>
        <w:t xml:space="preserve">Furthermore, increasing </w:t>
      </w:r>
      <w:r w:rsidR="00681259" w:rsidRPr="00415777">
        <w:rPr>
          <w:color w:val="auto"/>
          <w:sz w:val="24"/>
        </w:rPr>
        <w:t>model</w:t>
      </w:r>
      <w:r w:rsidR="00415777">
        <w:rPr>
          <w:color w:val="auto"/>
          <w:sz w:val="24"/>
        </w:rPr>
        <w:t xml:space="preserve"> </w:t>
      </w:r>
      <w:r w:rsidR="00681259" w:rsidRPr="00415777">
        <w:rPr>
          <w:color w:val="auto"/>
          <w:sz w:val="24"/>
        </w:rPr>
        <w:t xml:space="preserve">complexity </w:t>
      </w:r>
      <w:r w:rsidR="00415777">
        <w:rPr>
          <w:color w:val="auto"/>
          <w:sz w:val="24"/>
        </w:rPr>
        <w:t>is only justified if</w:t>
      </w:r>
      <w:r w:rsidR="00681259" w:rsidRPr="00415777">
        <w:rPr>
          <w:color w:val="auto"/>
          <w:sz w:val="24"/>
        </w:rPr>
        <w:t xml:space="preserve"> the data</w:t>
      </w:r>
      <w:r w:rsidR="00415777">
        <w:rPr>
          <w:color w:val="auto"/>
          <w:sz w:val="24"/>
        </w:rPr>
        <w:t xml:space="preserve"> </w:t>
      </w:r>
      <w:r w:rsidR="00681259" w:rsidRPr="00415777">
        <w:rPr>
          <w:color w:val="auto"/>
          <w:sz w:val="24"/>
        </w:rPr>
        <w:t>base improves in quantity and quality.</w:t>
      </w:r>
      <w:r w:rsidR="00415777" w:rsidRPr="00415777">
        <w:rPr>
          <w:color w:val="auto"/>
          <w:sz w:val="24"/>
        </w:rPr>
        <w:t xml:space="preserve"> </w:t>
      </w:r>
      <w:r w:rsidR="00415777">
        <w:rPr>
          <w:color w:val="auto"/>
          <w:sz w:val="24"/>
        </w:rPr>
        <w:t>In other words, if</w:t>
      </w:r>
      <w:r w:rsidR="00681259" w:rsidRPr="00415777">
        <w:rPr>
          <w:color w:val="auto"/>
          <w:sz w:val="24"/>
        </w:rPr>
        <w:t xml:space="preserve"> the data base is limited and/or of</w:t>
      </w:r>
      <w:r w:rsidR="00415777" w:rsidRPr="00415777">
        <w:rPr>
          <w:color w:val="auto"/>
          <w:sz w:val="24"/>
        </w:rPr>
        <w:t xml:space="preserve"> </w:t>
      </w:r>
      <w:r w:rsidR="00681259" w:rsidRPr="00415777">
        <w:rPr>
          <w:color w:val="auto"/>
          <w:sz w:val="24"/>
        </w:rPr>
        <w:t xml:space="preserve">poor quality, </w:t>
      </w:r>
      <w:r w:rsidR="00415777">
        <w:rPr>
          <w:color w:val="auto"/>
          <w:sz w:val="24"/>
        </w:rPr>
        <w:t xml:space="preserve">there seems </w:t>
      </w:r>
      <w:r w:rsidR="00681259" w:rsidRPr="00415777">
        <w:rPr>
          <w:color w:val="auto"/>
          <w:sz w:val="24"/>
        </w:rPr>
        <w:t>little justification for</w:t>
      </w:r>
      <w:r w:rsidR="00415777">
        <w:rPr>
          <w:color w:val="auto"/>
          <w:sz w:val="24"/>
        </w:rPr>
        <w:t xml:space="preserve"> </w:t>
      </w:r>
      <w:r w:rsidR="00681259" w:rsidRPr="00415777">
        <w:rPr>
          <w:color w:val="auto"/>
          <w:sz w:val="24"/>
        </w:rPr>
        <w:t>selecting an elaborate model with numerous</w:t>
      </w:r>
      <w:r w:rsidR="00415777" w:rsidRPr="00415777">
        <w:rPr>
          <w:color w:val="auto"/>
          <w:sz w:val="24"/>
        </w:rPr>
        <w:t xml:space="preserve"> </w:t>
      </w:r>
      <w:r w:rsidR="00681259" w:rsidRPr="00415777">
        <w:rPr>
          <w:color w:val="auto"/>
          <w:sz w:val="24"/>
        </w:rPr>
        <w:t xml:space="preserve">parameters. </w:t>
      </w:r>
      <w:r w:rsidR="00415777">
        <w:rPr>
          <w:color w:val="auto"/>
          <w:sz w:val="24"/>
        </w:rPr>
        <w:t>In this case</w:t>
      </w:r>
      <w:r w:rsidR="00681259" w:rsidRPr="00415777">
        <w:rPr>
          <w:color w:val="auto"/>
          <w:sz w:val="24"/>
        </w:rPr>
        <w:t>, a</w:t>
      </w:r>
      <w:r w:rsidR="00415777">
        <w:rPr>
          <w:color w:val="auto"/>
          <w:sz w:val="24"/>
        </w:rPr>
        <w:t xml:space="preserve"> </w:t>
      </w:r>
      <w:r w:rsidR="00681259" w:rsidRPr="00415777">
        <w:rPr>
          <w:color w:val="auto"/>
          <w:sz w:val="24"/>
        </w:rPr>
        <w:t>simpler model with fewer parameters</w:t>
      </w:r>
      <w:r w:rsidR="00415777">
        <w:rPr>
          <w:color w:val="auto"/>
          <w:sz w:val="24"/>
        </w:rPr>
        <w:t xml:space="preserve"> is then preferred</w:t>
      </w:r>
      <w:r w:rsidR="00681259" w:rsidRPr="00415777">
        <w:rPr>
          <w:color w:val="auto"/>
          <w:sz w:val="24"/>
        </w:rPr>
        <w:t>, which</w:t>
      </w:r>
      <w:r w:rsidR="00415777" w:rsidRPr="00415777">
        <w:rPr>
          <w:color w:val="auto"/>
          <w:sz w:val="24"/>
        </w:rPr>
        <w:t xml:space="preserve"> </w:t>
      </w:r>
      <w:r w:rsidR="00415777">
        <w:rPr>
          <w:color w:val="auto"/>
          <w:sz w:val="24"/>
        </w:rPr>
        <w:t>still</w:t>
      </w:r>
      <w:r w:rsidR="00681259" w:rsidRPr="00415777">
        <w:rPr>
          <w:color w:val="auto"/>
          <w:sz w:val="24"/>
        </w:rPr>
        <w:t xml:space="preserve"> reflects adequately the</w:t>
      </w:r>
      <w:r w:rsidR="00415777">
        <w:rPr>
          <w:color w:val="auto"/>
          <w:sz w:val="24"/>
        </w:rPr>
        <w:t xml:space="preserve"> </w:t>
      </w:r>
      <w:r w:rsidR="00681259" w:rsidRPr="00415777">
        <w:rPr>
          <w:color w:val="auto"/>
          <w:sz w:val="24"/>
        </w:rPr>
        <w:t>underlying hydrogeologic structure of the</w:t>
      </w:r>
      <w:r w:rsidR="00415777" w:rsidRPr="00415777">
        <w:rPr>
          <w:color w:val="auto"/>
          <w:sz w:val="24"/>
        </w:rPr>
        <w:t xml:space="preserve"> </w:t>
      </w:r>
      <w:r w:rsidR="00415777">
        <w:rPr>
          <w:color w:val="auto"/>
          <w:sz w:val="24"/>
        </w:rPr>
        <w:t>system</w:t>
      </w:r>
      <w:r w:rsidR="00681259" w:rsidRPr="00415777">
        <w:rPr>
          <w:color w:val="auto"/>
          <w:sz w:val="24"/>
        </w:rPr>
        <w:t xml:space="preserve"> and the corresponding flow </w:t>
      </w:r>
      <w:r w:rsidR="00415777">
        <w:rPr>
          <w:color w:val="auto"/>
          <w:sz w:val="24"/>
        </w:rPr>
        <w:t>behaviour (Neuman and Wierenga, 2003)</w:t>
      </w:r>
      <w:r w:rsidR="00681259" w:rsidRPr="00415777">
        <w:rPr>
          <w:color w:val="auto"/>
          <w:sz w:val="24"/>
        </w:rPr>
        <w:t>.</w:t>
      </w:r>
      <w:r w:rsidR="00E65B7B">
        <w:rPr>
          <w:color w:val="auto"/>
          <w:sz w:val="24"/>
        </w:rPr>
        <w:t xml:space="preserve"> </w:t>
      </w:r>
      <w:r w:rsidR="00116DDF">
        <w:rPr>
          <w:color w:val="auto"/>
          <w:sz w:val="24"/>
        </w:rPr>
        <w:t>Unfortunately, for most</w:t>
      </w:r>
      <w:r w:rsidR="00BA0C6A" w:rsidRPr="00BA0C6A">
        <w:rPr>
          <w:color w:val="auto"/>
          <w:sz w:val="24"/>
        </w:rPr>
        <w:t xml:space="preserve"> </w:t>
      </w:r>
      <w:r w:rsidR="00116DDF">
        <w:rPr>
          <w:color w:val="auto"/>
          <w:sz w:val="24"/>
        </w:rPr>
        <w:t xml:space="preserve">modelling applications involving </w:t>
      </w:r>
      <w:r w:rsidR="00BA0C6A" w:rsidRPr="00BA0C6A">
        <w:rPr>
          <w:color w:val="auto"/>
          <w:sz w:val="24"/>
        </w:rPr>
        <w:t>scenario analyses using simple models (not limited to this study)</w:t>
      </w:r>
      <w:r w:rsidR="00116DDF">
        <w:rPr>
          <w:color w:val="auto"/>
          <w:sz w:val="24"/>
        </w:rPr>
        <w:t>,</w:t>
      </w:r>
      <w:r w:rsidR="00BA0C6A" w:rsidRPr="00BA0C6A">
        <w:rPr>
          <w:color w:val="auto"/>
          <w:sz w:val="24"/>
        </w:rPr>
        <w:t xml:space="preserve"> the validation data </w:t>
      </w:r>
      <w:r w:rsidR="00116DDF">
        <w:rPr>
          <w:color w:val="auto"/>
          <w:sz w:val="24"/>
        </w:rPr>
        <w:t xml:space="preserve">to test “whether the simpler model still reflects </w:t>
      </w:r>
      <w:r w:rsidR="007953AB">
        <w:rPr>
          <w:color w:val="auto"/>
          <w:sz w:val="24"/>
        </w:rPr>
        <w:t xml:space="preserve">adequately the underlying hydrogeologic structure of the system and </w:t>
      </w:r>
      <w:r w:rsidR="00116DDF">
        <w:rPr>
          <w:color w:val="auto"/>
          <w:sz w:val="24"/>
        </w:rPr>
        <w:t xml:space="preserve">the corresponding flow behaviour” </w:t>
      </w:r>
      <w:r w:rsidR="00BA0C6A" w:rsidRPr="00BA0C6A">
        <w:rPr>
          <w:color w:val="auto"/>
          <w:sz w:val="24"/>
        </w:rPr>
        <w:t xml:space="preserve">simply will never be available. What is key then is </w:t>
      </w:r>
      <w:r w:rsidR="00116DDF">
        <w:rPr>
          <w:color w:val="auto"/>
          <w:sz w:val="24"/>
        </w:rPr>
        <w:t xml:space="preserve">for the modeller </w:t>
      </w:r>
      <w:r w:rsidR="00BA0C6A" w:rsidRPr="00BA0C6A">
        <w:rPr>
          <w:color w:val="auto"/>
          <w:sz w:val="24"/>
        </w:rPr>
        <w:t xml:space="preserve">to demonstrate </w:t>
      </w:r>
      <w:r w:rsidR="00116DDF">
        <w:rPr>
          <w:color w:val="auto"/>
          <w:sz w:val="24"/>
        </w:rPr>
        <w:t xml:space="preserve">that </w:t>
      </w:r>
      <w:r w:rsidR="00BA0C6A" w:rsidRPr="00BA0C6A">
        <w:rPr>
          <w:color w:val="auto"/>
          <w:sz w:val="24"/>
        </w:rPr>
        <w:t>the modelling approach is fit for purpose; e</w:t>
      </w:r>
      <w:r w:rsidR="00116DDF">
        <w:rPr>
          <w:color w:val="auto"/>
          <w:sz w:val="24"/>
        </w:rPr>
        <w:t>.</w:t>
      </w:r>
      <w:r w:rsidR="00BA0C6A" w:rsidRPr="00BA0C6A">
        <w:rPr>
          <w:color w:val="auto"/>
          <w:sz w:val="24"/>
        </w:rPr>
        <w:t>g</w:t>
      </w:r>
      <w:r w:rsidR="00116DDF">
        <w:rPr>
          <w:color w:val="auto"/>
          <w:sz w:val="24"/>
        </w:rPr>
        <w:t>.,</w:t>
      </w:r>
      <w:r w:rsidR="00BA0C6A" w:rsidRPr="00BA0C6A">
        <w:rPr>
          <w:color w:val="auto"/>
          <w:sz w:val="24"/>
        </w:rPr>
        <w:t xml:space="preserve"> by demonstrating the impacts are conservative (i.e.</w:t>
      </w:r>
      <w:r w:rsidR="00116DDF">
        <w:rPr>
          <w:color w:val="auto"/>
          <w:sz w:val="24"/>
        </w:rPr>
        <w:t>,</w:t>
      </w:r>
      <w:r w:rsidR="00BA0C6A" w:rsidRPr="00BA0C6A">
        <w:rPr>
          <w:color w:val="auto"/>
          <w:sz w:val="24"/>
        </w:rPr>
        <w:t xml:space="preserve"> </w:t>
      </w:r>
      <w:r w:rsidR="00116DDF">
        <w:rPr>
          <w:color w:val="auto"/>
          <w:sz w:val="24"/>
        </w:rPr>
        <w:t xml:space="preserve">they </w:t>
      </w:r>
      <w:r w:rsidR="00BA0C6A" w:rsidRPr="00BA0C6A">
        <w:rPr>
          <w:color w:val="auto"/>
          <w:sz w:val="24"/>
        </w:rPr>
        <w:t>do not underestimate the impact)</w:t>
      </w:r>
      <w:r w:rsidR="00116DDF">
        <w:rPr>
          <w:color w:val="auto"/>
          <w:sz w:val="24"/>
        </w:rPr>
        <w:t xml:space="preserve"> and statistically robust</w:t>
      </w:r>
      <w:r w:rsidR="00405C39">
        <w:rPr>
          <w:color w:val="auto"/>
          <w:sz w:val="24"/>
        </w:rPr>
        <w:t xml:space="preserve"> (Zuidema, 1994)</w:t>
      </w:r>
      <w:r w:rsidR="00BA0C6A" w:rsidRPr="00BA0C6A">
        <w:rPr>
          <w:color w:val="auto"/>
          <w:sz w:val="24"/>
        </w:rPr>
        <w:t>. Th</w:t>
      </w:r>
      <w:r w:rsidR="00116DDF">
        <w:rPr>
          <w:color w:val="auto"/>
          <w:sz w:val="24"/>
        </w:rPr>
        <w:t xml:space="preserve">e former </w:t>
      </w:r>
      <w:r w:rsidR="00BA0C6A" w:rsidRPr="00BA0C6A">
        <w:rPr>
          <w:color w:val="auto"/>
          <w:sz w:val="24"/>
        </w:rPr>
        <w:t>can be shown by a comparison with a more complicated model (</w:t>
      </w:r>
      <w:r w:rsidR="00116DDF">
        <w:rPr>
          <w:color w:val="auto"/>
          <w:sz w:val="24"/>
        </w:rPr>
        <w:t xml:space="preserve">e.g., a </w:t>
      </w:r>
      <w:r w:rsidR="00BA0C6A" w:rsidRPr="00BA0C6A">
        <w:rPr>
          <w:color w:val="auto"/>
          <w:sz w:val="24"/>
        </w:rPr>
        <w:t xml:space="preserve">model that has more processes, </w:t>
      </w:r>
      <w:r w:rsidR="00116DDF">
        <w:rPr>
          <w:color w:val="auto"/>
          <w:sz w:val="24"/>
        </w:rPr>
        <w:t xml:space="preserve">heterogeneous parameters rather than homogeneous, </w:t>
      </w:r>
      <w:r w:rsidR="00BA0C6A" w:rsidRPr="00BA0C6A">
        <w:rPr>
          <w:color w:val="auto"/>
          <w:sz w:val="24"/>
        </w:rPr>
        <w:t>finer spatial discretisation, etc</w:t>
      </w:r>
      <w:r w:rsidR="00116DDF">
        <w:rPr>
          <w:color w:val="auto"/>
          <w:sz w:val="24"/>
        </w:rPr>
        <w:t>.</w:t>
      </w:r>
      <w:r w:rsidR="00BA0C6A" w:rsidRPr="00BA0C6A">
        <w:rPr>
          <w:color w:val="auto"/>
          <w:sz w:val="24"/>
        </w:rPr>
        <w:t>).</w:t>
      </w:r>
      <w:r w:rsidR="00116DDF">
        <w:rPr>
          <w:color w:val="auto"/>
          <w:sz w:val="24"/>
        </w:rPr>
        <w:t xml:space="preserve"> </w:t>
      </w:r>
      <w:r w:rsidR="00B36940" w:rsidRPr="001766E2">
        <w:rPr>
          <w:color w:val="auto"/>
          <w:sz w:val="24"/>
        </w:rPr>
        <w:t>F</w:t>
      </w:r>
      <w:r w:rsidR="00B36940">
        <w:rPr>
          <w:color w:val="auto"/>
          <w:sz w:val="24"/>
        </w:rPr>
        <w:t>inally</w:t>
      </w:r>
      <w:r w:rsidR="00B36940" w:rsidRPr="001766E2">
        <w:rPr>
          <w:color w:val="auto"/>
          <w:sz w:val="24"/>
        </w:rPr>
        <w:t xml:space="preserve">, conservatism is not a </w:t>
      </w:r>
      <w:r w:rsidR="00B36940">
        <w:rPr>
          <w:color w:val="auto"/>
          <w:sz w:val="24"/>
        </w:rPr>
        <w:t>static concept</w:t>
      </w:r>
      <w:r w:rsidR="00B36940" w:rsidRPr="001766E2">
        <w:rPr>
          <w:color w:val="auto"/>
          <w:sz w:val="24"/>
        </w:rPr>
        <w:t>: conservative assumptions – imposed because of lack of data – can be replaced by more realistic ones when more data become available.</w:t>
      </w:r>
    </w:p>
    <w:p w14:paraId="6F29BB02" w14:textId="73A4476A" w:rsidR="00622AD7" w:rsidRDefault="00E65B7B" w:rsidP="00622AD7">
      <w:pPr>
        <w:spacing w:before="120" w:line="264" w:lineRule="auto"/>
        <w:rPr>
          <w:color w:val="auto"/>
          <w:sz w:val="24"/>
        </w:rPr>
      </w:pPr>
      <w:r>
        <w:rPr>
          <w:color w:val="auto"/>
          <w:sz w:val="24"/>
        </w:rPr>
        <w:t>When relatively simple models are embedded in a stochastic framework, they may be offering a way to deal with complex heterogeneous systems</w:t>
      </w:r>
      <w:r w:rsidR="00E133EB" w:rsidRPr="00E65B7B">
        <w:rPr>
          <w:color w:val="auto"/>
          <w:sz w:val="24"/>
        </w:rPr>
        <w:t xml:space="preserve"> (Hunt and</w:t>
      </w:r>
      <w:r>
        <w:rPr>
          <w:color w:val="auto"/>
          <w:sz w:val="24"/>
        </w:rPr>
        <w:t xml:space="preserve"> </w:t>
      </w:r>
      <w:r w:rsidR="00E133EB" w:rsidRPr="00E65B7B">
        <w:rPr>
          <w:color w:val="auto"/>
          <w:sz w:val="24"/>
        </w:rPr>
        <w:t>Zheng, 1999).</w:t>
      </w:r>
      <w:r w:rsidR="00622AD7">
        <w:rPr>
          <w:color w:val="auto"/>
          <w:sz w:val="24"/>
        </w:rPr>
        <w:t xml:space="preserve"> In a discussion on the practical use of simplicity in developing groundwater models, Hill (2006) argues that features</w:t>
      </w:r>
      <w:r w:rsidR="00622AD7" w:rsidRPr="00DE4F59">
        <w:rPr>
          <w:color w:val="auto"/>
          <w:sz w:val="24"/>
        </w:rPr>
        <w:t xml:space="preserve"> or processes that often can most advantageously be represented as deterministic</w:t>
      </w:r>
      <w:r w:rsidR="00622AD7">
        <w:rPr>
          <w:color w:val="auto"/>
          <w:sz w:val="24"/>
        </w:rPr>
        <w:t xml:space="preserve"> </w:t>
      </w:r>
      <w:r w:rsidR="00622AD7" w:rsidRPr="00DE4F59">
        <w:rPr>
          <w:color w:val="auto"/>
          <w:sz w:val="24"/>
        </w:rPr>
        <w:t>include the thicknesses and extents of hydrogeologic units,</w:t>
      </w:r>
      <w:r w:rsidR="00622AD7">
        <w:rPr>
          <w:color w:val="auto"/>
          <w:sz w:val="24"/>
        </w:rPr>
        <w:t xml:space="preserve"> while features</w:t>
      </w:r>
      <w:r w:rsidR="00622AD7" w:rsidRPr="00DE4F59">
        <w:rPr>
          <w:color w:val="auto"/>
          <w:sz w:val="24"/>
        </w:rPr>
        <w:t xml:space="preserve"> that often can most advantageously be represented as stochastic</w:t>
      </w:r>
      <w:r w:rsidR="00622AD7">
        <w:rPr>
          <w:color w:val="auto"/>
          <w:sz w:val="24"/>
        </w:rPr>
        <w:t xml:space="preserve"> </w:t>
      </w:r>
      <w:r w:rsidR="00622AD7" w:rsidRPr="00DE4F59">
        <w:rPr>
          <w:color w:val="auto"/>
          <w:sz w:val="24"/>
        </w:rPr>
        <w:t xml:space="preserve">include heterogeneity in hydraulic conductivity, storage, </w:t>
      </w:r>
      <w:r w:rsidR="00622AD7">
        <w:rPr>
          <w:color w:val="auto"/>
          <w:sz w:val="24"/>
        </w:rPr>
        <w:t xml:space="preserve">or </w:t>
      </w:r>
      <w:r w:rsidR="00622AD7" w:rsidRPr="00DE4F59">
        <w:rPr>
          <w:color w:val="auto"/>
          <w:sz w:val="24"/>
        </w:rPr>
        <w:t xml:space="preserve">recharge. </w:t>
      </w:r>
    </w:p>
    <w:p w14:paraId="19FEF8F3" w14:textId="77777777" w:rsidR="00165854" w:rsidRPr="00B0618E" w:rsidRDefault="00165854" w:rsidP="00F47AA9">
      <w:pPr>
        <w:keepNext/>
        <w:keepLines/>
        <w:numPr>
          <w:ilvl w:val="1"/>
          <w:numId w:val="13"/>
        </w:numPr>
        <w:tabs>
          <w:tab w:val="left" w:pos="1134"/>
        </w:tabs>
        <w:spacing w:before="360" w:after="240"/>
        <w:outlineLvl w:val="1"/>
        <w:rPr>
          <w:rFonts w:eastAsiaTheme="majorEastAsia" w:cstheme="majorBidi"/>
          <w:bCs/>
          <w:color w:val="00313C" w:themeColor="accent2"/>
          <w:sz w:val="32"/>
          <w:szCs w:val="26"/>
        </w:rPr>
      </w:pPr>
      <w:bookmarkStart w:id="14" w:name="_Ref483129924"/>
      <w:r w:rsidRPr="00B0618E">
        <w:rPr>
          <w:rFonts w:eastAsiaTheme="majorEastAsia" w:cstheme="majorBidi"/>
          <w:bCs/>
          <w:color w:val="00313C" w:themeColor="accent2"/>
          <w:sz w:val="32"/>
          <w:szCs w:val="26"/>
        </w:rPr>
        <w:t>Methodology</w:t>
      </w:r>
      <w:bookmarkEnd w:id="14"/>
    </w:p>
    <w:p w14:paraId="436A1743" w14:textId="7CBFAE9F" w:rsidR="00DE5255" w:rsidRDefault="00DE5255" w:rsidP="005E18F7">
      <w:pPr>
        <w:pStyle w:val="BodyText"/>
      </w:pPr>
      <w:r>
        <w:t>Th</w:t>
      </w:r>
      <w:r w:rsidR="009E56A2">
        <w:t>e</w:t>
      </w:r>
      <w:r>
        <w:t xml:space="preserve"> methodology </w:t>
      </w:r>
      <w:r w:rsidR="009E56A2">
        <w:t xml:space="preserve">presented here </w:t>
      </w:r>
      <w:r>
        <w:t>aim</w:t>
      </w:r>
      <w:r w:rsidR="009E56A2">
        <w:t>ed</w:t>
      </w:r>
      <w:r>
        <w:t xml:space="preserve"> to (i) quantify the uncertainty in four key predictions that arises from uncertainty in aquitard </w:t>
      </w:r>
      <w:r w:rsidR="001446C7" w:rsidRPr="001446C7">
        <w:rPr>
          <w:i/>
        </w:rPr>
        <w:t>K</w:t>
      </w:r>
      <w:r w:rsidR="001446C7">
        <w:t xml:space="preserve"> </w:t>
      </w:r>
      <w:r>
        <w:t xml:space="preserve">parameterisation; (ii) </w:t>
      </w:r>
      <w:r w:rsidR="001446C7">
        <w:t xml:space="preserve">to </w:t>
      </w:r>
      <w:r>
        <w:t xml:space="preserve">identify the parameters contributing most to the predictive uncertainty; and (iii) </w:t>
      </w:r>
      <w:r w:rsidR="001446C7">
        <w:t xml:space="preserve">to </w:t>
      </w:r>
      <w:r>
        <w:t>evaluate how to include measurements of aquitard hydraulic parameters in the uncertainty quantification.</w:t>
      </w:r>
    </w:p>
    <w:p w14:paraId="1639FE0B" w14:textId="7B31E1B8" w:rsidR="00374B6E" w:rsidRDefault="00374B6E" w:rsidP="005E18F7">
      <w:pPr>
        <w:pStyle w:val="BodyText"/>
      </w:pPr>
      <w:r>
        <w:t>Prior to the quantitative uncertainty analysis, a qualitative uncertainty analysis was undertaken to list key sources of uncertainty and discuss which source of uncertainty is relevance for being incorporated in the subsequent quantitative uncertainty analysis.</w:t>
      </w:r>
    </w:p>
    <w:p w14:paraId="52F43A28" w14:textId="7E67FD66" w:rsidR="00AA0E34" w:rsidRPr="00AA0E34" w:rsidRDefault="00AA0E34" w:rsidP="00AA0E34">
      <w:pPr>
        <w:pStyle w:val="Heading3"/>
      </w:pPr>
      <w:bookmarkStart w:id="15" w:name="_Ref482980245"/>
      <w:r w:rsidRPr="00AA0E34">
        <w:t>Qualitative uncertainty analysis</w:t>
      </w:r>
      <w:bookmarkEnd w:id="15"/>
    </w:p>
    <w:p w14:paraId="514B377E" w14:textId="3A86E56F" w:rsidR="00413AD2" w:rsidRDefault="000A02FE" w:rsidP="007121B2">
      <w:pPr>
        <w:spacing w:before="120" w:line="264" w:lineRule="auto"/>
        <w:rPr>
          <w:color w:val="auto"/>
          <w:sz w:val="24"/>
        </w:rPr>
      </w:pPr>
      <w:r>
        <w:rPr>
          <w:color w:val="auto"/>
          <w:sz w:val="24"/>
        </w:rPr>
        <w:t xml:space="preserve">The qualitative uncertainty analysis is the first step out a series of steps </w:t>
      </w:r>
      <w:r w:rsidR="000A23A1">
        <w:rPr>
          <w:color w:val="auto"/>
          <w:sz w:val="24"/>
        </w:rPr>
        <w:t>that are part of the s</w:t>
      </w:r>
      <w:r w:rsidRPr="000A02FE">
        <w:rPr>
          <w:color w:val="auto"/>
          <w:sz w:val="24"/>
        </w:rPr>
        <w:t xml:space="preserve">ensitivity and uncertainty analysis </w:t>
      </w:r>
      <w:r w:rsidR="000A23A1">
        <w:rPr>
          <w:color w:val="auto"/>
          <w:sz w:val="24"/>
        </w:rPr>
        <w:t xml:space="preserve">workflow </w:t>
      </w:r>
      <w:r w:rsidRPr="000A02FE">
        <w:rPr>
          <w:color w:val="auto"/>
          <w:sz w:val="24"/>
        </w:rPr>
        <w:t>adopted in this study</w:t>
      </w:r>
      <w:r>
        <w:rPr>
          <w:color w:val="auto"/>
          <w:sz w:val="24"/>
        </w:rPr>
        <w:t xml:space="preserve"> </w:t>
      </w:r>
      <w:r w:rsidR="000A23A1">
        <w:rPr>
          <w:color w:val="auto"/>
          <w:sz w:val="24"/>
        </w:rPr>
        <w:t>(</w:t>
      </w:r>
      <w:r w:rsidR="000A23A1">
        <w:rPr>
          <w:color w:val="auto"/>
          <w:sz w:val="24"/>
        </w:rPr>
        <w:fldChar w:fldCharType="begin"/>
      </w:r>
      <w:r w:rsidR="000A23A1">
        <w:rPr>
          <w:color w:val="auto"/>
          <w:sz w:val="24"/>
        </w:rPr>
        <w:instrText xml:space="preserve"> REF _Ref482020327 \h  \* MERGEFORMAT </w:instrText>
      </w:r>
      <w:r w:rsidR="000A23A1">
        <w:rPr>
          <w:color w:val="auto"/>
          <w:sz w:val="24"/>
        </w:rPr>
      </w:r>
      <w:r w:rsidR="000A23A1">
        <w:rPr>
          <w:color w:val="auto"/>
          <w:sz w:val="24"/>
        </w:rPr>
        <w:fldChar w:fldCharType="separate"/>
      </w:r>
      <w:r w:rsidR="000B6FA5" w:rsidRPr="000B6FA5">
        <w:rPr>
          <w:color w:val="auto"/>
          <w:sz w:val="24"/>
        </w:rPr>
        <w:t>Figure 1</w:t>
      </w:r>
      <w:r w:rsidR="000B6FA5" w:rsidRPr="000B6FA5">
        <w:rPr>
          <w:color w:val="auto"/>
          <w:sz w:val="24"/>
        </w:rPr>
        <w:noBreakHyphen/>
        <w:t>1</w:t>
      </w:r>
      <w:r w:rsidR="000A23A1">
        <w:rPr>
          <w:color w:val="auto"/>
          <w:sz w:val="24"/>
        </w:rPr>
        <w:fldChar w:fldCharType="end"/>
      </w:r>
      <w:r w:rsidR="000A23A1">
        <w:rPr>
          <w:color w:val="auto"/>
          <w:sz w:val="24"/>
        </w:rPr>
        <w:t xml:space="preserve">). </w:t>
      </w:r>
      <w:r w:rsidR="00413AD2">
        <w:rPr>
          <w:color w:val="auto"/>
          <w:sz w:val="24"/>
        </w:rPr>
        <w:t xml:space="preserve">Following an initial qualitative analysis of uncertainty factors, existing hydrogeological data was compiled and prior parameter distributions derived followed by model stress testing. The latter was done to ascertain the groundwater flow model would run satisfactorily (i.e., </w:t>
      </w:r>
      <w:r w:rsidR="005A3DDA">
        <w:rPr>
          <w:color w:val="auto"/>
          <w:sz w:val="24"/>
        </w:rPr>
        <w:t xml:space="preserve">test the robustness of numerical model </w:t>
      </w:r>
      <w:r w:rsidR="00413AD2">
        <w:rPr>
          <w:color w:val="auto"/>
          <w:sz w:val="24"/>
        </w:rPr>
        <w:t>converge</w:t>
      </w:r>
      <w:r w:rsidR="00F63202">
        <w:rPr>
          <w:color w:val="auto"/>
          <w:sz w:val="24"/>
        </w:rPr>
        <w:t>nce</w:t>
      </w:r>
      <w:r w:rsidR="00413AD2">
        <w:rPr>
          <w:color w:val="auto"/>
          <w:sz w:val="24"/>
        </w:rPr>
        <w:t xml:space="preserve">) for the imposed parameter range, which would typically include parameters that are considerably different from the calibration set. The next step then involved running a </w:t>
      </w:r>
      <w:r w:rsidR="005A3DDA">
        <w:rPr>
          <w:color w:val="auto"/>
          <w:sz w:val="24"/>
        </w:rPr>
        <w:t>global</w:t>
      </w:r>
      <w:r w:rsidR="00413AD2">
        <w:rPr>
          <w:color w:val="auto"/>
          <w:sz w:val="24"/>
        </w:rPr>
        <w:t xml:space="preserve"> sensitivity analysis with a large number of uncertain factors or parameters (a total of 30 hydrogeologic parameters for </w:t>
      </w:r>
      <w:r w:rsidR="005A3DDA">
        <w:rPr>
          <w:color w:val="auto"/>
          <w:sz w:val="24"/>
        </w:rPr>
        <w:t>ten hydrostratigraphic units</w:t>
      </w:r>
      <w:r w:rsidR="00F63202">
        <w:rPr>
          <w:color w:val="auto"/>
          <w:sz w:val="24"/>
        </w:rPr>
        <w:t xml:space="preserve"> was considered here</w:t>
      </w:r>
      <w:r w:rsidR="00413AD2">
        <w:rPr>
          <w:color w:val="auto"/>
          <w:sz w:val="24"/>
        </w:rPr>
        <w:t>)</w:t>
      </w:r>
      <w:r w:rsidR="005A3DDA">
        <w:rPr>
          <w:color w:val="auto"/>
          <w:sz w:val="24"/>
        </w:rPr>
        <w:t xml:space="preserve">. Only the most sensitive parameters were then included in a stochastic quantitative uncertainty analysis, considering four groundwater impact metrics. After the first iteration of the sensitivity and uncertainty analysis, an improved characterisation was undertaken for one of the most sensitive and uncertain model parameters. Based on an updated prior parameter distribution, a second iteration of the </w:t>
      </w:r>
      <w:r w:rsidR="00C514DF">
        <w:rPr>
          <w:color w:val="auto"/>
          <w:sz w:val="24"/>
        </w:rPr>
        <w:t>uncertainty analysis was undertaken which produced the final statistics for the four groundwater impact metrics.</w:t>
      </w:r>
      <w:r w:rsidR="005A3DDA">
        <w:rPr>
          <w:color w:val="auto"/>
          <w:sz w:val="24"/>
        </w:rPr>
        <w:t xml:space="preserve">  </w:t>
      </w:r>
    </w:p>
    <w:p w14:paraId="0D7BCFFA" w14:textId="77777777" w:rsidR="00085878" w:rsidRDefault="00085878" w:rsidP="00085878">
      <w:pPr>
        <w:spacing w:before="120" w:line="264" w:lineRule="auto"/>
        <w:rPr>
          <w:color w:val="auto"/>
          <w:sz w:val="24"/>
        </w:rPr>
      </w:pPr>
    </w:p>
    <w:p w14:paraId="61E65F51" w14:textId="77777777" w:rsidR="00085878" w:rsidRDefault="00085878" w:rsidP="00085878">
      <w:pPr>
        <w:spacing w:before="120" w:line="264" w:lineRule="auto"/>
        <w:rPr>
          <w:color w:val="auto"/>
          <w:sz w:val="24"/>
        </w:rPr>
      </w:pPr>
      <w:r>
        <w:rPr>
          <w:noProof/>
        </w:rPr>
        <w:drawing>
          <wp:inline distT="0" distB="0" distL="0" distR="0" wp14:anchorId="7FB61497" wp14:editId="10E13B99">
            <wp:extent cx="6120130" cy="2282190"/>
            <wp:effectExtent l="0" t="0" r="0" b="3810"/>
            <wp:docPr id="75" name="Picture 75" descr="Diagram of sensitivity and uncertainty analysis flowchart" title="Fig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20130" cy="2282190"/>
                    </a:xfrm>
                    <a:prstGeom prst="rect">
                      <a:avLst/>
                    </a:prstGeom>
                  </pic:spPr>
                </pic:pic>
              </a:graphicData>
            </a:graphic>
          </wp:inline>
        </w:drawing>
      </w:r>
    </w:p>
    <w:p w14:paraId="5DE39ACA" w14:textId="2FE3F934" w:rsidR="00085878" w:rsidRPr="00B0618E" w:rsidRDefault="00085878" w:rsidP="00085878">
      <w:pPr>
        <w:pStyle w:val="Caption"/>
        <w:rPr>
          <w:color w:val="auto"/>
          <w:sz w:val="24"/>
        </w:rPr>
      </w:pPr>
      <w:bookmarkStart w:id="16" w:name="_Ref482020327"/>
      <w:bookmarkStart w:id="17" w:name="_Toc482034898"/>
      <w:r>
        <w:t xml:space="preserve">Figure </w:t>
      </w:r>
      <w:r w:rsidR="00A2085C">
        <w:fldChar w:fldCharType="begin"/>
      </w:r>
      <w:r w:rsidR="00A2085C">
        <w:instrText xml:space="preserve"> STYLEREF 1 \s </w:instrText>
      </w:r>
      <w:r w:rsidR="00A2085C">
        <w:fldChar w:fldCharType="separate"/>
      </w:r>
      <w:r w:rsidR="000B6FA5">
        <w:rPr>
          <w:noProof/>
        </w:rPr>
        <w:t>1</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w:t>
      </w:r>
      <w:r w:rsidR="00A2085C">
        <w:rPr>
          <w:noProof/>
        </w:rPr>
        <w:fldChar w:fldCharType="end"/>
      </w:r>
      <w:bookmarkEnd w:id="16"/>
      <w:r>
        <w:t xml:space="preserve"> Sensitivity and uncertainty analysis flowchart adopted in this study.</w:t>
      </w:r>
      <w:bookmarkEnd w:id="17"/>
      <w:r>
        <w:t xml:space="preserve"> </w:t>
      </w:r>
    </w:p>
    <w:p w14:paraId="44DF4031" w14:textId="77777777" w:rsidR="00085878" w:rsidRDefault="00085878" w:rsidP="007121B2">
      <w:pPr>
        <w:spacing w:before="120" w:line="264" w:lineRule="auto"/>
        <w:rPr>
          <w:color w:val="auto"/>
          <w:sz w:val="24"/>
        </w:rPr>
      </w:pPr>
    </w:p>
    <w:p w14:paraId="464CC671" w14:textId="041E338D" w:rsidR="007121B2" w:rsidRPr="00246995" w:rsidRDefault="000A02FE" w:rsidP="007121B2">
      <w:pPr>
        <w:spacing w:before="120" w:line="264" w:lineRule="auto"/>
        <w:rPr>
          <w:color w:val="auto"/>
          <w:sz w:val="24"/>
        </w:rPr>
      </w:pPr>
      <w:r>
        <w:rPr>
          <w:color w:val="auto"/>
          <w:sz w:val="24"/>
        </w:rPr>
        <w:t xml:space="preserve">The </w:t>
      </w:r>
      <w:r w:rsidR="00C514DF">
        <w:rPr>
          <w:color w:val="auto"/>
          <w:sz w:val="24"/>
        </w:rPr>
        <w:t xml:space="preserve">qualitative uncertainty analysis considered </w:t>
      </w:r>
      <w:r w:rsidR="007121B2" w:rsidRPr="00246995">
        <w:rPr>
          <w:color w:val="auto"/>
          <w:sz w:val="24"/>
        </w:rPr>
        <w:t xml:space="preserve">a broad range of factors </w:t>
      </w:r>
      <w:r w:rsidR="007121B2">
        <w:rPr>
          <w:color w:val="auto"/>
          <w:sz w:val="24"/>
        </w:rPr>
        <w:t xml:space="preserve">(both conceptual and parametric) </w:t>
      </w:r>
      <w:r w:rsidR="00C514DF">
        <w:rPr>
          <w:color w:val="auto"/>
          <w:sz w:val="24"/>
        </w:rPr>
        <w:t>that could</w:t>
      </w:r>
      <w:r w:rsidR="007121B2" w:rsidRPr="00246995">
        <w:rPr>
          <w:color w:val="auto"/>
          <w:sz w:val="24"/>
        </w:rPr>
        <w:t xml:space="preserve"> contribute to the uncertainty of predictions produced by numerical models of CSG extraction impacts. </w:t>
      </w:r>
      <w:r w:rsidR="007121B2">
        <w:rPr>
          <w:color w:val="auto"/>
          <w:sz w:val="24"/>
        </w:rPr>
        <w:t xml:space="preserve">Potential sources of uncertainty </w:t>
      </w:r>
      <w:r w:rsidR="007121B2" w:rsidRPr="00246995">
        <w:rPr>
          <w:color w:val="auto"/>
          <w:sz w:val="24"/>
        </w:rPr>
        <w:t>include</w:t>
      </w:r>
      <w:r w:rsidR="007121B2">
        <w:rPr>
          <w:color w:val="auto"/>
          <w:sz w:val="24"/>
        </w:rPr>
        <w:t>, but are not limited to</w:t>
      </w:r>
      <w:r w:rsidR="00291358">
        <w:rPr>
          <w:color w:val="auto"/>
          <w:sz w:val="24"/>
        </w:rPr>
        <w:t xml:space="preserve"> (a more detailed discussion follows from Section </w:t>
      </w:r>
      <w:r w:rsidR="00291358">
        <w:rPr>
          <w:color w:val="auto"/>
          <w:sz w:val="24"/>
        </w:rPr>
        <w:fldChar w:fldCharType="begin"/>
      </w:r>
      <w:r w:rsidR="00291358">
        <w:rPr>
          <w:color w:val="auto"/>
          <w:sz w:val="24"/>
        </w:rPr>
        <w:instrText xml:space="preserve"> REF _Ref483144122 \r \h </w:instrText>
      </w:r>
      <w:r w:rsidR="00291358">
        <w:rPr>
          <w:color w:val="auto"/>
          <w:sz w:val="24"/>
        </w:rPr>
      </w:r>
      <w:r w:rsidR="00291358">
        <w:rPr>
          <w:color w:val="auto"/>
          <w:sz w:val="24"/>
        </w:rPr>
        <w:fldChar w:fldCharType="separate"/>
      </w:r>
      <w:r w:rsidR="000B6FA5">
        <w:rPr>
          <w:color w:val="auto"/>
          <w:sz w:val="24"/>
        </w:rPr>
        <w:t>1.4.1.1</w:t>
      </w:r>
      <w:r w:rsidR="00291358">
        <w:rPr>
          <w:color w:val="auto"/>
          <w:sz w:val="24"/>
        </w:rPr>
        <w:fldChar w:fldCharType="end"/>
      </w:r>
      <w:r w:rsidR="00291358">
        <w:rPr>
          <w:color w:val="auto"/>
          <w:sz w:val="24"/>
        </w:rPr>
        <w:t xml:space="preserve"> to Section </w:t>
      </w:r>
      <w:r w:rsidR="00291358">
        <w:rPr>
          <w:color w:val="auto"/>
          <w:sz w:val="24"/>
        </w:rPr>
        <w:fldChar w:fldCharType="begin"/>
      </w:r>
      <w:r w:rsidR="00291358">
        <w:rPr>
          <w:color w:val="auto"/>
          <w:sz w:val="24"/>
        </w:rPr>
        <w:instrText xml:space="preserve"> REF _Ref483144124 \r \h </w:instrText>
      </w:r>
      <w:r w:rsidR="00291358">
        <w:rPr>
          <w:color w:val="auto"/>
          <w:sz w:val="24"/>
        </w:rPr>
      </w:r>
      <w:r w:rsidR="00291358">
        <w:rPr>
          <w:color w:val="auto"/>
          <w:sz w:val="24"/>
        </w:rPr>
        <w:fldChar w:fldCharType="separate"/>
      </w:r>
      <w:r w:rsidR="000B6FA5">
        <w:rPr>
          <w:color w:val="auto"/>
          <w:sz w:val="24"/>
        </w:rPr>
        <w:t>1.4.1.6</w:t>
      </w:r>
      <w:r w:rsidR="00291358">
        <w:rPr>
          <w:color w:val="auto"/>
          <w:sz w:val="24"/>
        </w:rPr>
        <w:fldChar w:fldCharType="end"/>
      </w:r>
      <w:r w:rsidR="00291358">
        <w:rPr>
          <w:color w:val="auto"/>
          <w:sz w:val="24"/>
        </w:rPr>
        <w:t>)</w:t>
      </w:r>
      <w:r w:rsidR="007121B2">
        <w:rPr>
          <w:color w:val="auto"/>
          <w:sz w:val="24"/>
        </w:rPr>
        <w:t>:</w:t>
      </w:r>
    </w:p>
    <w:p w14:paraId="57947938" w14:textId="57A69F2A" w:rsidR="00C514DF" w:rsidRDefault="00C514DF" w:rsidP="00F47AA9">
      <w:pPr>
        <w:pStyle w:val="ListParagraph"/>
        <w:numPr>
          <w:ilvl w:val="0"/>
          <w:numId w:val="24"/>
        </w:numPr>
        <w:spacing w:before="120"/>
        <w:ind w:left="1077"/>
        <w:contextualSpacing w:val="0"/>
        <w:rPr>
          <w:color w:val="auto"/>
        </w:rPr>
      </w:pPr>
      <w:r>
        <w:rPr>
          <w:color w:val="auto"/>
        </w:rPr>
        <w:t>Aquifer hydraulic conductivity (</w:t>
      </w:r>
      <w:r w:rsidRPr="00C514DF">
        <w:rPr>
          <w:i/>
          <w:color w:val="auto"/>
        </w:rPr>
        <w:t>K</w:t>
      </w:r>
      <w:r>
        <w:rPr>
          <w:color w:val="auto"/>
        </w:rPr>
        <w:t>) and storativity (</w:t>
      </w:r>
      <w:r w:rsidRPr="00C514DF">
        <w:rPr>
          <w:i/>
          <w:color w:val="auto"/>
        </w:rPr>
        <w:t>S</w:t>
      </w:r>
      <w:r>
        <w:rPr>
          <w:color w:val="auto"/>
        </w:rPr>
        <w:t>),</w:t>
      </w:r>
    </w:p>
    <w:p w14:paraId="741D8E80" w14:textId="418D382A" w:rsidR="00C514DF" w:rsidRDefault="00C514DF" w:rsidP="00F47AA9">
      <w:pPr>
        <w:pStyle w:val="ListParagraph"/>
        <w:numPr>
          <w:ilvl w:val="0"/>
          <w:numId w:val="24"/>
        </w:numPr>
        <w:spacing w:before="120"/>
        <w:ind w:left="1077"/>
        <w:contextualSpacing w:val="0"/>
        <w:rPr>
          <w:color w:val="auto"/>
        </w:rPr>
      </w:pPr>
      <w:r>
        <w:rPr>
          <w:color w:val="auto"/>
        </w:rPr>
        <w:t>Aquitard hydraulic conductivity and storativity (</w:t>
      </w:r>
      <w:r w:rsidRPr="00C514DF">
        <w:rPr>
          <w:i/>
          <w:color w:val="auto"/>
        </w:rPr>
        <w:t>S</w:t>
      </w:r>
      <w:r>
        <w:rPr>
          <w:color w:val="auto"/>
        </w:rPr>
        <w:t>),</w:t>
      </w:r>
    </w:p>
    <w:p w14:paraId="18299171" w14:textId="0450AC0F" w:rsidR="00C514DF" w:rsidRDefault="00C514DF" w:rsidP="00F47AA9">
      <w:pPr>
        <w:pStyle w:val="ListParagraph"/>
        <w:numPr>
          <w:ilvl w:val="0"/>
          <w:numId w:val="24"/>
        </w:numPr>
        <w:spacing w:before="120"/>
        <w:ind w:left="1077"/>
        <w:contextualSpacing w:val="0"/>
        <w:rPr>
          <w:color w:val="auto"/>
        </w:rPr>
      </w:pPr>
      <w:r w:rsidRPr="005D5B36">
        <w:rPr>
          <w:color w:val="auto"/>
        </w:rPr>
        <w:t xml:space="preserve">Changes in rates of non-CSG </w:t>
      </w:r>
      <w:r>
        <w:rPr>
          <w:color w:val="auto"/>
        </w:rPr>
        <w:t xml:space="preserve">groundwater </w:t>
      </w:r>
      <w:r w:rsidRPr="005D5B36">
        <w:rPr>
          <w:color w:val="auto"/>
        </w:rPr>
        <w:t>extraction</w:t>
      </w:r>
      <w:r w:rsidRPr="00AA5DA7">
        <w:rPr>
          <w:color w:val="auto"/>
        </w:rPr>
        <w:t xml:space="preserve">, recharge (e.g., due to climate </w:t>
      </w:r>
      <w:r>
        <w:rPr>
          <w:color w:val="auto"/>
        </w:rPr>
        <w:t>and land use</w:t>
      </w:r>
      <w:r w:rsidRPr="00AA5DA7">
        <w:rPr>
          <w:color w:val="auto"/>
        </w:rPr>
        <w:t xml:space="preserve"> change </w:t>
      </w:r>
      <w:r>
        <w:rPr>
          <w:color w:val="auto"/>
        </w:rPr>
        <w:t>over time, particularly over decadal timescales),</w:t>
      </w:r>
    </w:p>
    <w:p w14:paraId="0A65C880" w14:textId="6F307C82" w:rsidR="007121B2" w:rsidRDefault="007121B2" w:rsidP="00F47AA9">
      <w:pPr>
        <w:pStyle w:val="ListParagraph"/>
        <w:numPr>
          <w:ilvl w:val="0"/>
          <w:numId w:val="24"/>
        </w:numPr>
        <w:spacing w:before="120"/>
        <w:ind w:left="1077"/>
        <w:contextualSpacing w:val="0"/>
        <w:rPr>
          <w:color w:val="auto"/>
        </w:rPr>
      </w:pPr>
      <w:r>
        <w:rPr>
          <w:color w:val="auto"/>
        </w:rPr>
        <w:t>Variations in the geometry (i.e., extent and/or thickness) of geological units</w:t>
      </w:r>
      <w:r w:rsidR="00C514DF">
        <w:rPr>
          <w:color w:val="auto"/>
        </w:rPr>
        <w:t>,</w:t>
      </w:r>
    </w:p>
    <w:p w14:paraId="7DC99C1B" w14:textId="77777777" w:rsidR="007121B2" w:rsidRDefault="007121B2" w:rsidP="00F47AA9">
      <w:pPr>
        <w:pStyle w:val="ListParagraph"/>
        <w:numPr>
          <w:ilvl w:val="0"/>
          <w:numId w:val="24"/>
        </w:numPr>
        <w:spacing w:before="120"/>
        <w:ind w:left="1077"/>
        <w:contextualSpacing w:val="0"/>
        <w:rPr>
          <w:color w:val="auto"/>
        </w:rPr>
      </w:pPr>
      <w:r>
        <w:rPr>
          <w:color w:val="auto"/>
        </w:rPr>
        <w:t>The translation between geological and hydrostratigraphic units; for example, the aggregation of units in a simple model, or the separation of units in a complex model;</w:t>
      </w:r>
    </w:p>
    <w:p w14:paraId="3A76AE32" w14:textId="5C9EEA6F" w:rsidR="007121B2" w:rsidRDefault="007121B2" w:rsidP="00F47AA9">
      <w:pPr>
        <w:pStyle w:val="ListParagraph"/>
        <w:numPr>
          <w:ilvl w:val="0"/>
          <w:numId w:val="24"/>
        </w:numPr>
        <w:spacing w:before="120"/>
        <w:ind w:left="1077"/>
        <w:contextualSpacing w:val="0"/>
        <w:rPr>
          <w:color w:val="auto"/>
        </w:rPr>
      </w:pPr>
      <w:r>
        <w:rPr>
          <w:color w:val="auto"/>
        </w:rPr>
        <w:t xml:space="preserve">Changes in hydraulic properties </w:t>
      </w:r>
      <w:r w:rsidR="00C514DF">
        <w:rPr>
          <w:color w:val="auto"/>
        </w:rPr>
        <w:t>of coal layers over time</w:t>
      </w:r>
      <w:r>
        <w:rPr>
          <w:color w:val="auto"/>
        </w:rPr>
        <w:t xml:space="preserve"> due to geomechanical deformation resulting from CSG extraction;</w:t>
      </w:r>
    </w:p>
    <w:p w14:paraId="5E6A48C3" w14:textId="45C1F9D1" w:rsidR="00C514DF" w:rsidRPr="0020095F" w:rsidRDefault="007121B2" w:rsidP="00F47AA9">
      <w:pPr>
        <w:pStyle w:val="ListParagraph"/>
        <w:numPr>
          <w:ilvl w:val="0"/>
          <w:numId w:val="24"/>
        </w:numPr>
        <w:spacing w:before="120"/>
        <w:ind w:left="1077"/>
        <w:contextualSpacing w:val="0"/>
        <w:rPr>
          <w:color w:val="auto"/>
        </w:rPr>
      </w:pPr>
      <w:r>
        <w:rPr>
          <w:color w:val="auto"/>
        </w:rPr>
        <w:t>The accuracy of predictions of CSG water extraction</w:t>
      </w:r>
      <w:r w:rsidR="00C514DF">
        <w:rPr>
          <w:color w:val="auto"/>
        </w:rPr>
        <w:t xml:space="preserve"> rates</w:t>
      </w:r>
      <w:r>
        <w:rPr>
          <w:color w:val="auto"/>
        </w:rPr>
        <w:t>, which have historically been fraught with difficulty (Moore et al., 2015).</w:t>
      </w:r>
    </w:p>
    <w:p w14:paraId="62D806D1" w14:textId="30817251" w:rsidR="00C266D9" w:rsidRDefault="00CB6669" w:rsidP="00C266D9">
      <w:pPr>
        <w:pStyle w:val="BodyText"/>
      </w:pPr>
      <w:r>
        <w:t xml:space="preserve">Some high-level generic insights in complex coupled systems such as coal seam-aquitard-aquifer systems may be obtained by considering simplified models. For example, </w:t>
      </w:r>
      <w:r w:rsidR="00C266D9">
        <w:t>Cook et al</w:t>
      </w:r>
      <w:r>
        <w:t>.</w:t>
      </w:r>
      <w:r w:rsidR="00C266D9">
        <w:t xml:space="preserve"> (2016) show that the flux </w:t>
      </w:r>
      <m:oMath>
        <m:r>
          <w:rPr>
            <w:rFonts w:ascii="Cambria Math" w:eastAsiaTheme="minorEastAsia" w:hAnsi="Cambria Math"/>
          </w:rPr>
          <m:t>q(t)</m:t>
        </m:r>
      </m:oMath>
      <w:r w:rsidR="00C266D9">
        <w:t xml:space="preserve"> through the bottom of an aquifer due to depressurisation of a deeper gas-bearing formation, separated by an aquitard from the aquifer, can be approximated analytically as (eq. 14 in Cook et al.</w:t>
      </w:r>
      <w:r>
        <w:t>,</w:t>
      </w:r>
      <w:r w:rsidR="00C266D9">
        <w:t xml:space="preserve"> 2016):</w:t>
      </w:r>
    </w:p>
    <w:p w14:paraId="148A7292" w14:textId="57C0921A" w:rsidR="00C266D9" w:rsidRPr="00C641BD" w:rsidRDefault="00CB6669" w:rsidP="00CB6669">
      <w:pPr>
        <w:tabs>
          <w:tab w:val="center" w:pos="4253"/>
          <w:tab w:val="right" w:pos="8789"/>
        </w:tabs>
        <w:rPr>
          <w:rFonts w:eastAsiaTheme="minorEastAsia"/>
        </w:rPr>
      </w:pPr>
      <w:r>
        <w:tab/>
      </w:r>
      <m:oMath>
        <m:r>
          <w:rPr>
            <w:rFonts w:ascii="Cambria Math" w:hAnsi="Cambria Math"/>
          </w:rPr>
          <m:t>q</m:t>
        </m:r>
        <m:d>
          <m:dPr>
            <m:ctrlPr>
              <w:rPr>
                <w:rFonts w:ascii="Cambria Math" w:hAnsi="Cambria Math"/>
                <w:i/>
              </w:rPr>
            </m:ctrlPr>
          </m:dPr>
          <m:e>
            <m:r>
              <w:rPr>
                <w:rFonts w:ascii="Cambria Math" w:hAnsi="Cambria Math"/>
              </w:rPr>
              <m:t>t</m:t>
            </m:r>
          </m:e>
        </m:d>
        <m:r>
          <w:rPr>
            <w:rFonts w:ascii="Cambria Math" w:hAnsi="Cambria Math"/>
          </w:rPr>
          <m:t>=2</m:t>
        </m:r>
        <m:r>
          <m:rPr>
            <m:sty m:val="p"/>
          </m:rPr>
          <w:rPr>
            <w:rFonts w:ascii="Cambria Math" w:hAnsi="Cambria Math"/>
          </w:rPr>
          <m:t>Δ</m:t>
        </m:r>
        <m:r>
          <w:rPr>
            <w:rFonts w:ascii="Cambria Math" w:hAnsi="Cambria Math"/>
          </w:rPr>
          <m:t>H</m:t>
        </m:r>
        <m:rad>
          <m:radPr>
            <m:degHide m:val="1"/>
            <m:ctrlPr>
              <w:rPr>
                <w:rFonts w:ascii="Cambria Math" w:hAnsi="Cambria Math"/>
                <w:i/>
              </w:rPr>
            </m:ctrlPr>
          </m:radPr>
          <m:deg/>
          <m:e>
            <m:f>
              <m:fPr>
                <m:ctrlPr>
                  <w:rPr>
                    <w:rFonts w:ascii="Cambria Math" w:hAnsi="Cambria Math"/>
                    <w:i/>
                  </w:rPr>
                </m:ctrlPr>
              </m:fPr>
              <m:num>
                <m:r>
                  <w:rPr>
                    <w:rFonts w:ascii="Cambria Math" w:hAnsi="Cambria Math"/>
                  </w:rPr>
                  <m:t>KS</m:t>
                </m:r>
              </m:num>
              <m:den>
                <m:r>
                  <w:rPr>
                    <w:rFonts w:ascii="Cambria Math" w:hAnsi="Cambria Math"/>
                  </w:rPr>
                  <m:t>πt</m:t>
                </m:r>
              </m:den>
            </m:f>
          </m:e>
        </m:rad>
        <m:func>
          <m:funcPr>
            <m:ctrlPr>
              <w:rPr>
                <w:rFonts w:ascii="Cambria Math" w:hAnsi="Cambria Math"/>
                <w:i/>
              </w:rPr>
            </m:ctrlPr>
          </m:funcPr>
          <m:fName>
            <m:r>
              <m:rPr>
                <m:sty m:val="p"/>
              </m:rPr>
              <w:rPr>
                <w:rFonts w:ascii="Cambria Math" w:hAnsi="Cambria Math"/>
              </w:rPr>
              <m:t>exp</m:t>
            </m:r>
          </m:fName>
          <m:e>
            <m:d>
              <m:dPr>
                <m:ctrlPr>
                  <w:rPr>
                    <w:rFonts w:ascii="Cambria Math" w:hAnsi="Cambria Math"/>
                    <w:i/>
                  </w:rPr>
                </m:ctrlPr>
              </m:dPr>
              <m:e>
                <m:f>
                  <m:fPr>
                    <m:ctrlPr>
                      <w:rPr>
                        <w:rFonts w:ascii="Cambria Math" w:hAnsi="Cambria Math"/>
                        <w:i/>
                      </w:rPr>
                    </m:ctrlPr>
                  </m:fPr>
                  <m:num>
                    <m:r>
                      <w:rPr>
                        <w:rFonts w:ascii="Cambria Math" w:hAnsi="Cambria Math"/>
                      </w:rPr>
                      <m:t>-</m:t>
                    </m:r>
                    <m:sSup>
                      <m:sSupPr>
                        <m:ctrlPr>
                          <w:rPr>
                            <w:rFonts w:ascii="Cambria Math" w:hAnsi="Cambria Math"/>
                            <w:i/>
                          </w:rPr>
                        </m:ctrlPr>
                      </m:sSupPr>
                      <m:e>
                        <m:r>
                          <w:rPr>
                            <w:rFonts w:ascii="Cambria Math" w:hAnsi="Cambria Math"/>
                          </w:rPr>
                          <m:t>L</m:t>
                        </m:r>
                      </m:e>
                      <m:sup>
                        <m:r>
                          <w:rPr>
                            <w:rFonts w:ascii="Cambria Math" w:hAnsi="Cambria Math"/>
                          </w:rPr>
                          <m:t>2</m:t>
                        </m:r>
                      </m:sup>
                    </m:sSup>
                    <m:r>
                      <w:rPr>
                        <w:rFonts w:ascii="Cambria Math" w:hAnsi="Cambria Math"/>
                      </w:rPr>
                      <m:t>S</m:t>
                    </m:r>
                  </m:num>
                  <m:den>
                    <m:r>
                      <w:rPr>
                        <w:rFonts w:ascii="Cambria Math" w:hAnsi="Cambria Math"/>
                      </w:rPr>
                      <m:t>4Kt</m:t>
                    </m:r>
                  </m:den>
                </m:f>
              </m:e>
            </m:d>
          </m:e>
        </m:func>
      </m:oMath>
      <w:r>
        <w:tab/>
      </w:r>
      <w:r>
        <w:rPr>
          <w:rFonts w:eastAsiaTheme="minorEastAsia"/>
        </w:rPr>
        <w:t>(1)</w:t>
      </w:r>
    </w:p>
    <w:p w14:paraId="1E59FB12" w14:textId="77777777" w:rsidR="00C266D9" w:rsidRDefault="00C266D9" w:rsidP="00C266D9">
      <w:pPr>
        <w:pStyle w:val="BodyText"/>
      </w:pPr>
      <w:r>
        <w:t xml:space="preserve">where </w:t>
      </w:r>
      <m:oMath>
        <m:r>
          <m:rPr>
            <m:sty m:val="p"/>
          </m:rPr>
          <w:rPr>
            <w:rFonts w:ascii="Cambria Math" w:hAnsi="Cambria Math"/>
          </w:rPr>
          <m:t>Δ</m:t>
        </m:r>
        <m:r>
          <w:rPr>
            <w:rFonts w:ascii="Cambria Math" w:hAnsi="Cambria Math"/>
          </w:rPr>
          <m:t>H</m:t>
        </m:r>
      </m:oMath>
      <w:r>
        <w:t xml:space="preserve"> [L] is the change in groundwater head in the gas-bearing formation due to coal seam gas depressurisation, </w:t>
      </w:r>
      <m:oMath>
        <m:r>
          <w:rPr>
            <w:rFonts w:ascii="Cambria Math" w:hAnsi="Cambria Math"/>
          </w:rPr>
          <m:t>K [</m:t>
        </m:r>
        <m:f>
          <m:fPr>
            <m:type m:val="lin"/>
            <m:ctrlPr>
              <w:rPr>
                <w:rFonts w:ascii="Cambria Math" w:hAnsi="Cambria Math"/>
                <w:i/>
              </w:rPr>
            </m:ctrlPr>
          </m:fPr>
          <m:num>
            <m:r>
              <w:rPr>
                <w:rFonts w:ascii="Cambria Math" w:hAnsi="Cambria Math"/>
              </w:rPr>
              <m:t>L</m:t>
            </m:r>
          </m:num>
          <m:den>
            <m:r>
              <w:rPr>
                <w:rFonts w:ascii="Cambria Math" w:hAnsi="Cambria Math"/>
              </w:rPr>
              <m:t>T</m:t>
            </m:r>
          </m:den>
        </m:f>
        <m:r>
          <w:rPr>
            <w:rFonts w:ascii="Cambria Math" w:hAnsi="Cambria Math"/>
          </w:rPr>
          <m:t>]</m:t>
        </m:r>
      </m:oMath>
      <w:r>
        <w:t xml:space="preserve"> is the vertical hydraulic conductivity of the aquitard, </w:t>
      </w:r>
      <m:oMath>
        <m:r>
          <w:rPr>
            <w:rFonts w:ascii="Cambria Math" w:hAnsi="Cambria Math"/>
          </w:rPr>
          <m:t xml:space="preserve">S </m:t>
        </m:r>
        <m:d>
          <m:dPr>
            <m:begChr m:val="["/>
            <m:endChr m:val="]"/>
            <m:ctrlPr>
              <w:rPr>
                <w:rFonts w:ascii="Cambria Math" w:hAnsi="Cambria Math"/>
                <w:i/>
              </w:rPr>
            </m:ctrlPr>
          </m:dPr>
          <m:e>
            <m:r>
              <w:rPr>
                <w:rFonts w:ascii="Cambria Math" w:hAnsi="Cambria Math"/>
              </w:rPr>
              <m:t>–</m:t>
            </m:r>
          </m:e>
        </m:d>
      </m:oMath>
      <w:r>
        <w:t xml:space="preserve"> is the storage of the aquitard, </w:t>
      </w:r>
      <m:oMath>
        <m:r>
          <w:rPr>
            <w:rFonts w:ascii="Cambria Math" w:hAnsi="Cambria Math"/>
          </w:rPr>
          <m:t>L [L]</m:t>
        </m:r>
      </m:oMath>
      <w:r>
        <w:t xml:space="preserve"> is the thickness of the aquitard and </w:t>
      </w:r>
      <m:oMath>
        <m:r>
          <w:rPr>
            <w:rFonts w:ascii="Cambria Math" w:hAnsi="Cambria Math"/>
          </w:rPr>
          <m:t>t [T]</m:t>
        </m:r>
      </m:oMath>
      <w:r>
        <w:t xml:space="preserve"> is the time since coal seam gas depressurisation commenced.</w:t>
      </w:r>
    </w:p>
    <w:p w14:paraId="11A93007" w14:textId="3CE981E2" w:rsidR="00BF1602" w:rsidRDefault="00C266D9" w:rsidP="00BF1602">
      <w:pPr>
        <w:pStyle w:val="BodyText"/>
      </w:pPr>
      <w:r>
        <w:t xml:space="preserve">From equation </w:t>
      </w:r>
      <w:r w:rsidR="00CB6669">
        <w:t xml:space="preserve">(1) </w:t>
      </w:r>
      <w:r>
        <w:t xml:space="preserve">it is clear that the flux is proportional to the change in groundwater head in the gas-bearing formation, i.e. a doubling of </w:t>
      </w:r>
      <m:oMath>
        <m:r>
          <m:rPr>
            <m:sty m:val="p"/>
          </m:rPr>
          <w:rPr>
            <w:rFonts w:ascii="Cambria Math" w:hAnsi="Cambria Math"/>
          </w:rPr>
          <m:t>Δ</m:t>
        </m:r>
        <m:r>
          <w:rPr>
            <w:rFonts w:ascii="Cambria Math" w:hAnsi="Cambria Math"/>
          </w:rPr>
          <m:t>H</m:t>
        </m:r>
      </m:oMath>
      <w:r>
        <w:t xml:space="preserve"> will result in a doubling of the flux through the bottom of the aqui</w:t>
      </w:r>
      <w:r w:rsidR="00CB6669">
        <w:t>fer</w:t>
      </w:r>
      <w:r>
        <w:t xml:space="preserve">. </w:t>
      </w:r>
      <w:r w:rsidR="00CB6669">
        <w:t>As equation (1) also shows, t</w:t>
      </w:r>
      <w:r>
        <w:t>he effect of the aquitard properties</w:t>
      </w:r>
      <w:r w:rsidR="00E36E2D">
        <w:t xml:space="preserve"> on the flux</w:t>
      </w:r>
      <w:r w:rsidR="00CB6669">
        <w:t xml:space="preserve"> (</w:t>
      </w:r>
      <w:r>
        <w:t>cond</w:t>
      </w:r>
      <w:r w:rsidR="00CB6669">
        <w:t>uctivity, storage and thickness)</w:t>
      </w:r>
      <w:r>
        <w:t xml:space="preserve"> is </w:t>
      </w:r>
      <w:r w:rsidR="00CB6669">
        <w:t>non-</w:t>
      </w:r>
      <w:r>
        <w:t>linear</w:t>
      </w:r>
      <w:r w:rsidR="0020095F">
        <w:t>, and therefore detailed a</w:t>
      </w:r>
      <w:r w:rsidR="00F63202">
        <w:t>nalyse</w:t>
      </w:r>
      <w:r w:rsidR="0020095F">
        <w:t xml:space="preserve">s are required to evaluate for a specific geology and </w:t>
      </w:r>
      <w:r w:rsidR="00E36E2D">
        <w:t xml:space="preserve">specific </w:t>
      </w:r>
      <w:r w:rsidR="0020095F">
        <w:t>flow conditions and for specific management questions, how sensitive such a coupled system is to the aquitard properties</w:t>
      </w:r>
      <w:r>
        <w:t xml:space="preserve">. </w:t>
      </w:r>
    </w:p>
    <w:p w14:paraId="7FC8D8B2" w14:textId="7138E551" w:rsidR="00BF1602" w:rsidRDefault="0020095F" w:rsidP="00BF1602">
      <w:pPr>
        <w:pStyle w:val="BodyText"/>
      </w:pPr>
      <w:r>
        <w:t xml:space="preserve">In the subsequent sections the different sources of uncertainty are briefly discussed. </w:t>
      </w:r>
      <w:r w:rsidR="00BF1602">
        <w:t>Several of the uncertainty factors will not be taken into consideration in the current study</w:t>
      </w:r>
      <w:r w:rsidR="00071EB2">
        <w:t>; therefore, the current study does not present a comprehensive uncertainty analysis</w:t>
      </w:r>
      <w:r w:rsidR="00BF1602">
        <w:t>. A fully comprehensive assessment of model predictive uncertainty would simultaneously assess the sensitivity of predictions to a range of model parameters, boundary conditions and initial conditions. Such analysis is carried out as part of the Bioregional Assessments Programme in this region (Janardhanan et al., 201</w:t>
      </w:r>
      <w:r w:rsidR="00D646E1">
        <w:t>8</w:t>
      </w:r>
      <w:r w:rsidR="00BF1602">
        <w:t xml:space="preserve">). </w:t>
      </w:r>
    </w:p>
    <w:p w14:paraId="26731589" w14:textId="347010E5" w:rsidR="000960C3" w:rsidRDefault="000960C3" w:rsidP="00F47AA9">
      <w:pPr>
        <w:pStyle w:val="Heading3"/>
        <w:numPr>
          <w:ilvl w:val="3"/>
          <w:numId w:val="13"/>
        </w:numPr>
      </w:pPr>
      <w:bookmarkStart w:id="18" w:name="_Ref483144122"/>
      <w:r>
        <w:t>Uncertainty due to a</w:t>
      </w:r>
      <w:r w:rsidR="00912FB7" w:rsidRPr="00912FB7">
        <w:t>quifer hydraulic conductivity and storativity</w:t>
      </w:r>
      <w:bookmarkEnd w:id="18"/>
    </w:p>
    <w:p w14:paraId="3A6F1C4D" w14:textId="280DEB62" w:rsidR="00912FB7" w:rsidRDefault="00E36E2D" w:rsidP="00C514DF">
      <w:pPr>
        <w:pStyle w:val="BodyText"/>
      </w:pPr>
      <w:r>
        <w:t>As the groundwater impact metrics are calculated for the key aquifer</w:t>
      </w:r>
      <w:r w:rsidR="00CD16E2">
        <w:t xml:space="preserve"> of this study</w:t>
      </w:r>
      <w:r>
        <w:t>, the parameters that determine propagation of drawdown in th</w:t>
      </w:r>
      <w:r w:rsidR="00CD16E2">
        <w:t>is</w:t>
      </w:r>
      <w:r>
        <w:t xml:space="preserve"> aquifer will need to be considered. Therefore, a</w:t>
      </w:r>
      <w:r w:rsidR="00277658">
        <w:t xml:space="preserve">ll key aquifers </w:t>
      </w:r>
      <w:r>
        <w:t xml:space="preserve">and their hydrogeologic parameters </w:t>
      </w:r>
      <w:r w:rsidRPr="00E36E2D">
        <w:rPr>
          <w:i/>
        </w:rPr>
        <w:t>K</w:t>
      </w:r>
      <w:r>
        <w:t xml:space="preserve"> and </w:t>
      </w:r>
      <w:r w:rsidRPr="00E36E2D">
        <w:rPr>
          <w:i/>
        </w:rPr>
        <w:t>S</w:t>
      </w:r>
      <w:r>
        <w:t xml:space="preserve"> </w:t>
      </w:r>
      <w:r w:rsidR="00277658">
        <w:t xml:space="preserve">were included </w:t>
      </w:r>
      <w:r>
        <w:t>in the initial sensitivity analysis</w:t>
      </w:r>
      <w:r w:rsidR="00CD16E2">
        <w:t xml:space="preserve"> (see discussion in Section </w:t>
      </w:r>
      <w:r w:rsidR="00CD16E2">
        <w:fldChar w:fldCharType="begin"/>
      </w:r>
      <w:r w:rsidR="00CD16E2">
        <w:instrText xml:space="preserve"> REF _Ref482028046 \r \h </w:instrText>
      </w:r>
      <w:r w:rsidR="00CD16E2">
        <w:fldChar w:fldCharType="separate"/>
      </w:r>
      <w:r w:rsidR="000B6FA5">
        <w:t>3.2</w:t>
      </w:r>
      <w:r w:rsidR="00CD16E2">
        <w:fldChar w:fldCharType="end"/>
      </w:r>
      <w:r w:rsidR="00CD16E2">
        <w:t>)</w:t>
      </w:r>
      <w:r>
        <w:t>.</w:t>
      </w:r>
    </w:p>
    <w:p w14:paraId="7271EA6D" w14:textId="138B6C7E" w:rsidR="000960C3" w:rsidRPr="000960C3" w:rsidRDefault="000960C3" w:rsidP="00F47AA9">
      <w:pPr>
        <w:pStyle w:val="Heading3"/>
        <w:numPr>
          <w:ilvl w:val="3"/>
          <w:numId w:val="13"/>
        </w:numPr>
      </w:pPr>
      <w:r>
        <w:t>Uncertainty due to a</w:t>
      </w:r>
      <w:r w:rsidR="00912FB7" w:rsidRPr="000960C3">
        <w:t>quitard hydraulic conductivity and storativity</w:t>
      </w:r>
    </w:p>
    <w:p w14:paraId="3BE39FB7" w14:textId="5AE9221D" w:rsidR="000960C3" w:rsidRPr="00C514DF" w:rsidRDefault="00CD16E2" w:rsidP="000960C3">
      <w:pPr>
        <w:pStyle w:val="BodyText"/>
      </w:pPr>
      <w:r>
        <w:t xml:space="preserve">As shown through Equation (1), the </w:t>
      </w:r>
      <w:r w:rsidR="008D07D6">
        <w:t xml:space="preserve">hydraulic properties of </w:t>
      </w:r>
      <w:r>
        <w:t>an</w:t>
      </w:r>
      <w:r w:rsidR="008D07D6">
        <w:t xml:space="preserve"> aquitard </w:t>
      </w:r>
      <w:r>
        <w:t xml:space="preserve">constitute important parameters in determining the water flux </w:t>
      </w:r>
      <w:r w:rsidRPr="00CD16E2">
        <w:rPr>
          <w:i/>
        </w:rPr>
        <w:t>q</w:t>
      </w:r>
      <w:r>
        <w:t>.</w:t>
      </w:r>
      <w:r w:rsidR="008D07D6">
        <w:t xml:space="preserve"> The non-linear nature of the analytic solution warrants exploring its effect through global sensitivity analysis techniques based on stochastic analysis of a regional groundwater model. </w:t>
      </w:r>
      <w:r>
        <w:t xml:space="preserve">All aquitards considered in this study had not been the subject of detailed investigations, making their hydrogeologic parameters highly uncertain (see discussion in Section </w:t>
      </w:r>
      <w:r>
        <w:fldChar w:fldCharType="begin"/>
      </w:r>
      <w:r>
        <w:instrText xml:space="preserve"> REF _Ref482028011 \r \h </w:instrText>
      </w:r>
      <w:r>
        <w:fldChar w:fldCharType="separate"/>
      </w:r>
      <w:r w:rsidR="000B6FA5">
        <w:t>4.1</w:t>
      </w:r>
      <w:r>
        <w:fldChar w:fldCharType="end"/>
      </w:r>
      <w:r>
        <w:t xml:space="preserve">). </w:t>
      </w:r>
      <w:r w:rsidR="000960C3" w:rsidRPr="00C514DF">
        <w:t xml:space="preserve">The uncertainties associated with aquitard hydraulic properties were represented through multiple realisations of a 3-D hydraulic conductivity model. Realisations were constrained by hard data including field measurements of hydraulic properties (i.e. </w:t>
      </w:r>
      <w:r w:rsidR="000960C3" w:rsidRPr="00C514DF">
        <w:rPr>
          <w:i/>
        </w:rPr>
        <w:t>K</w:t>
      </w:r>
      <w:r w:rsidR="000960C3" w:rsidRPr="00C514DF">
        <w:t xml:space="preserve">). </w:t>
      </w:r>
    </w:p>
    <w:p w14:paraId="5E53095C" w14:textId="1A00A960" w:rsidR="000960C3" w:rsidRPr="000960C3" w:rsidRDefault="000960C3" w:rsidP="00F47AA9">
      <w:pPr>
        <w:pStyle w:val="Heading3"/>
        <w:numPr>
          <w:ilvl w:val="3"/>
          <w:numId w:val="13"/>
        </w:numPr>
      </w:pPr>
      <w:r>
        <w:t>Uncertainty due to g</w:t>
      </w:r>
      <w:r w:rsidR="00912FB7" w:rsidRPr="000960C3">
        <w:t>roundwater Recharge</w:t>
      </w:r>
    </w:p>
    <w:p w14:paraId="39622723" w14:textId="4812F7E8" w:rsidR="002D322D" w:rsidRPr="00753E3E" w:rsidRDefault="002C041E" w:rsidP="002D322D">
      <w:pPr>
        <w:pStyle w:val="BodyText"/>
      </w:pPr>
      <w:r w:rsidRPr="002C041E">
        <w:t xml:space="preserve">Groundwater recharge </w:t>
      </w:r>
      <w:r w:rsidR="007152E6">
        <w:t xml:space="preserve">is expected to </w:t>
      </w:r>
      <w:r w:rsidRPr="002C041E">
        <w:t xml:space="preserve">affect the groundwater balance of aquifers. The calibrated groundwater that was used in this study </w:t>
      </w:r>
      <w:r w:rsidR="008974B5">
        <w:t xml:space="preserve">was not suitable to have recharge as part of a sensitivity and uncertainty analysis because of the way the recharge was calibrated. </w:t>
      </w:r>
      <w:r w:rsidR="00753E3E">
        <w:t xml:space="preserve">The standard calibration </w:t>
      </w:r>
      <w:r w:rsidR="00753E3E" w:rsidRPr="00753E3E">
        <w:t xml:space="preserve">approach </w:t>
      </w:r>
      <w:r w:rsidR="00753E3E">
        <w:t>is</w:t>
      </w:r>
      <w:r w:rsidR="00753E3E" w:rsidRPr="00753E3E">
        <w:t xml:space="preserve"> to match the simulated hydraulic head in a groundwater model to the observ</w:t>
      </w:r>
      <w:r w:rsidR="00753E3E">
        <w:t>ed</w:t>
      </w:r>
      <w:r w:rsidR="00753E3E" w:rsidRPr="00753E3E">
        <w:t xml:space="preserve"> water table elevation</w:t>
      </w:r>
      <w:r w:rsidR="00753E3E">
        <w:t xml:space="preserve"> by iteratively updating the hydrogeological properties. </w:t>
      </w:r>
      <w:r w:rsidR="00F45B30">
        <w:t xml:space="preserve">For the Namoi Alluvium, </w:t>
      </w:r>
      <w:r w:rsidR="00753E3E">
        <w:t xml:space="preserve">CDM Smith (2016) used an alternative approach which </w:t>
      </w:r>
      <w:r w:rsidR="00753E3E" w:rsidRPr="00753E3E">
        <w:t xml:space="preserve">does not require the hydrogeological properties of the model to be changed; </w:t>
      </w:r>
      <w:r w:rsidR="00F45B30">
        <w:t>recharge outside the Namoi Alluvium was based on average rates of regional rainfall and outcrop/subcrop geology (CDM Smith 2016). T</w:t>
      </w:r>
      <w:r w:rsidR="00753E3E">
        <w:t xml:space="preserve">he approach </w:t>
      </w:r>
      <w:r w:rsidR="00F45B30">
        <w:t xml:space="preserve">for the Namoi Alluvium </w:t>
      </w:r>
      <w:r w:rsidR="00753E3E">
        <w:t>involved optimising</w:t>
      </w:r>
      <w:r w:rsidR="00753E3E" w:rsidRPr="00753E3E">
        <w:t xml:space="preserve"> the recharge fluxes at the water table </w:t>
      </w:r>
      <w:r w:rsidR="00753E3E">
        <w:t>until a good match between observed and calculated heads was obtained.</w:t>
      </w:r>
      <w:r w:rsidR="002D322D">
        <w:t xml:space="preserve"> </w:t>
      </w:r>
      <w:r w:rsidR="003E7CA7">
        <w:t>The approach also combined r</w:t>
      </w:r>
      <w:r w:rsidR="002D322D" w:rsidRPr="00753E3E">
        <w:t xml:space="preserve">ainfall and flood recharge, irrigation returns, groundwater pumping and evapotranspiration </w:t>
      </w:r>
      <w:r w:rsidR="003E7CA7">
        <w:t>in</w:t>
      </w:r>
      <w:r w:rsidR="002D322D" w:rsidRPr="00753E3E">
        <w:t>to a single estimate of net flux, and therefore these processes are not individually represented in the modelling</w:t>
      </w:r>
      <w:r w:rsidR="002D322D">
        <w:t>.</w:t>
      </w:r>
      <w:r w:rsidR="003E7CA7">
        <w:t xml:space="preserve"> </w:t>
      </w:r>
      <w:r w:rsidR="00F45B30">
        <w:t xml:space="preserve">Note that this approach was only applied within the Namoi Alluvium. </w:t>
      </w:r>
      <w:r w:rsidR="003E7CA7">
        <w:t>For these reasons, groundwater recharge was not included in the uncertainty analysis.</w:t>
      </w:r>
      <w:r w:rsidR="002D322D" w:rsidRPr="00753E3E">
        <w:t xml:space="preserve"> </w:t>
      </w:r>
    </w:p>
    <w:p w14:paraId="5850B0A2" w14:textId="77777777" w:rsidR="000960C3" w:rsidRPr="000960C3" w:rsidRDefault="00912FB7" w:rsidP="00F47AA9">
      <w:pPr>
        <w:pStyle w:val="Heading3"/>
        <w:numPr>
          <w:ilvl w:val="3"/>
          <w:numId w:val="13"/>
        </w:numPr>
      </w:pPr>
      <w:r w:rsidRPr="000960C3">
        <w:t xml:space="preserve">Geologic </w:t>
      </w:r>
      <w:r w:rsidR="008D07D6" w:rsidRPr="000960C3">
        <w:t>un</w:t>
      </w:r>
      <w:r w:rsidR="003E7CA7" w:rsidRPr="000960C3">
        <w:t>certainty</w:t>
      </w:r>
    </w:p>
    <w:p w14:paraId="66C3EB14" w14:textId="4C63D51F" w:rsidR="008D07D6" w:rsidRDefault="008D07D6" w:rsidP="008D07D6">
      <w:pPr>
        <w:pStyle w:val="BodyText"/>
      </w:pPr>
      <w:r w:rsidRPr="00246995">
        <w:t>For the purposes of the present study, it was assumed that the conceptualisation and parameterisation of</w:t>
      </w:r>
      <w:r>
        <w:t xml:space="preserve"> the Gunnedah </w:t>
      </w:r>
      <w:r w:rsidR="003E7CA7">
        <w:t>and Surat b</w:t>
      </w:r>
      <w:r>
        <w:t>asin</w:t>
      </w:r>
      <w:r w:rsidR="003E7CA7">
        <w:t>s</w:t>
      </w:r>
      <w:r>
        <w:t xml:space="preserve"> groundwater flow system was adequate, with the exception of the parameterisation of aquitard hydraulic properties. The geological model </w:t>
      </w:r>
      <w:r w:rsidRPr="00C34A5B">
        <w:t>was constructed using Leapfrog Hydro (v. 1.7)</w:t>
      </w:r>
      <w:r>
        <w:rPr>
          <w:rStyle w:val="FootnoteReference"/>
          <w:color w:val="auto"/>
        </w:rPr>
        <w:footnoteReference w:id="1"/>
      </w:r>
      <w:r w:rsidRPr="00C34A5B">
        <w:t xml:space="preserve"> and </w:t>
      </w:r>
      <w:r>
        <w:t>wa</w:t>
      </w:r>
      <w:r w:rsidRPr="00C34A5B">
        <w:t xml:space="preserve">s based on a combination of geological datasets, including drilling logs, stratigraphic surfaces, outcrop geology, and ground surface. </w:t>
      </w:r>
      <w:r>
        <w:t>The t</w:t>
      </w:r>
      <w:r w:rsidRPr="00C34A5B">
        <w:t xml:space="preserve">wenty-nine stratigraphic units present within the assessment area </w:t>
      </w:r>
      <w:r>
        <w:t>were</w:t>
      </w:r>
      <w:r w:rsidRPr="00C34A5B">
        <w:t xml:space="preserve"> represented by 13 </w:t>
      </w:r>
      <w:r>
        <w:t xml:space="preserve">model </w:t>
      </w:r>
      <w:r w:rsidRPr="00C34A5B">
        <w:t>layers (</w:t>
      </w:r>
      <w:r>
        <w:t>CDM Smith, 2016</w:t>
      </w:r>
      <w:r w:rsidRPr="00C34A5B">
        <w:t>)</w:t>
      </w:r>
      <w:r>
        <w:t>.</w:t>
      </w:r>
      <w:r w:rsidR="00034C74">
        <w:t xml:space="preserve"> Because the focus of this study was on aquitards, conceptual geological uncertainty was deemed less critical compared to parametric uncertainty. There are several reasons that support this approach for aquitards: (1) aquitards are geologically more homogeneous than aquifers or coal layers, especially when formed under low-energy depositional environments, (2) the larger-scale heterogeneity can be captured by means of sufficient hydraulic conductivity measurements, and (3) low-permeable aquitards are naturally less sensitive to geological or hydraulic heterogeneity (provided the hydraulic conductivity is low enough). </w:t>
      </w:r>
      <w:r w:rsidR="00F0223C">
        <w:t xml:space="preserve">As mentioned above, </w:t>
      </w:r>
      <w:r w:rsidR="00F0223C" w:rsidRPr="00F0223C">
        <w:t xml:space="preserve">the </w:t>
      </w:r>
      <w:r w:rsidR="00F0223C">
        <w:t xml:space="preserve">relative importance of conceptual geological uncertainty is </w:t>
      </w:r>
      <w:r w:rsidR="00F0223C" w:rsidRPr="00F0223C">
        <w:t>site-specific</w:t>
      </w:r>
      <w:r w:rsidR="00F0223C" w:rsidRPr="00F0223C">
        <w:rPr>
          <w:color w:val="auto"/>
        </w:rPr>
        <w:t xml:space="preserve"> </w:t>
      </w:r>
      <w:r w:rsidR="00F0223C">
        <w:rPr>
          <w:color w:val="auto"/>
        </w:rPr>
        <w:t xml:space="preserve">and depending on the specific management question being addressed. It is therefore recommended to explore its likely contribution to the overall uncertainty first in a qualitative manner, before undertaking a quantitative study. </w:t>
      </w:r>
      <w:r w:rsidR="00F0223C">
        <w:t xml:space="preserve">Indeed, </w:t>
      </w:r>
      <w:r w:rsidR="00F0223C" w:rsidRPr="00F0223C">
        <w:t>any uncertainty analysis should try to be as comprehensive as possible, but this does not mean that all possible parameters</w:t>
      </w:r>
      <w:r w:rsidR="00F0223C">
        <w:t>, boundary conditions, etc.</w:t>
      </w:r>
      <w:r w:rsidR="00F0223C" w:rsidRPr="00F0223C">
        <w:t xml:space="preserve"> need to be included in a quantitative analysis.</w:t>
      </w:r>
    </w:p>
    <w:p w14:paraId="600A8CE3" w14:textId="5B734596" w:rsidR="008D07D6" w:rsidRPr="000960C3" w:rsidRDefault="000960C3" w:rsidP="00F47AA9">
      <w:pPr>
        <w:pStyle w:val="Heading3"/>
        <w:numPr>
          <w:ilvl w:val="3"/>
          <w:numId w:val="13"/>
        </w:numPr>
      </w:pPr>
      <w:r>
        <w:t>Uncertainty due to d</w:t>
      </w:r>
      <w:r w:rsidR="008D07D6" w:rsidRPr="000960C3">
        <w:t>ynamic behaviour of coal layer hydraulic properties</w:t>
      </w:r>
    </w:p>
    <w:p w14:paraId="28FB0680" w14:textId="13F0F4A9" w:rsidR="00EE3D60" w:rsidRPr="00EE3D60" w:rsidRDefault="00EE3D60" w:rsidP="00EE3D60">
      <w:pPr>
        <w:pStyle w:val="BodyText"/>
      </w:pPr>
      <w:r>
        <w:t xml:space="preserve">Permeability in coal is controlled by the magnitude of net stress in the hydrocarbon reservoir. This can vary across the field, in different coal seams, and also change over time with production. Production influences permeability in two opposing ways. First, a decrease in permeability may occur due to cleat compaction. Secondly, an increase in permeability may happen due to coal matrix shrinkage as gas desorbs. </w:t>
      </w:r>
      <w:r w:rsidRPr="00EE3D60">
        <w:t xml:space="preserve">If the </w:t>
      </w:r>
      <w:r>
        <w:t xml:space="preserve">matrix </w:t>
      </w:r>
      <w:r w:rsidRPr="00EE3D60">
        <w:t xml:space="preserve">shrinkage is </w:t>
      </w:r>
      <w:r>
        <w:t>large</w:t>
      </w:r>
      <w:r w:rsidRPr="00EE3D60">
        <w:t xml:space="preserve"> enough, then this could counteract any</w:t>
      </w:r>
      <w:r>
        <w:t xml:space="preserve"> </w:t>
      </w:r>
      <w:r w:rsidRPr="00EE3D60">
        <w:t>decrease in permeability from the loss of pore pressure and cleat closure</w:t>
      </w:r>
      <w:r>
        <w:t xml:space="preserve"> (Moore, 2012). The dynamic behaviour of coal layer permeability </w:t>
      </w:r>
      <w:r w:rsidR="005C17D1">
        <w:t xml:space="preserve">is not normally accounted for in reservoir models. If deemed important, its uncertainty would need to be part of the calculation of the water production rates. </w:t>
      </w:r>
    </w:p>
    <w:p w14:paraId="3888FF93" w14:textId="54D6645A" w:rsidR="000960C3" w:rsidRPr="000960C3" w:rsidRDefault="000960C3" w:rsidP="00F47AA9">
      <w:pPr>
        <w:pStyle w:val="Heading3"/>
        <w:numPr>
          <w:ilvl w:val="3"/>
          <w:numId w:val="13"/>
        </w:numPr>
      </w:pPr>
      <w:bookmarkStart w:id="19" w:name="_Ref483144124"/>
      <w:r>
        <w:t>Uncertainty due to w</w:t>
      </w:r>
      <w:r w:rsidR="008D07D6" w:rsidRPr="000960C3">
        <w:t>ater production rates</w:t>
      </w:r>
      <w:bookmarkEnd w:id="19"/>
    </w:p>
    <w:p w14:paraId="41C4C8A2" w14:textId="6BB35EF0" w:rsidR="008D07D6" w:rsidRDefault="00034C74" w:rsidP="008D07D6">
      <w:pPr>
        <w:pStyle w:val="BodyText"/>
      </w:pPr>
      <w:r w:rsidRPr="00034C74">
        <w:t xml:space="preserve">Potentially </w:t>
      </w:r>
      <w:r>
        <w:t>o</w:t>
      </w:r>
      <w:r w:rsidR="008D07D6">
        <w:t xml:space="preserve">ne of the largest sources of uncertainty to estimate impacts of coal seam gas depressurisation in shallow aquifers </w:t>
      </w:r>
      <w:r>
        <w:t xml:space="preserve">are the water production rates. </w:t>
      </w:r>
      <w:r w:rsidR="008D07D6">
        <w:t xml:space="preserve">Detailed reservoir simulation by coal seam gas proponents produces </w:t>
      </w:r>
      <w:r>
        <w:t>such</w:t>
      </w:r>
      <w:r w:rsidR="008D07D6">
        <w:t xml:space="preserve"> drawdown estimates as part of their assessment of the water production rates required to sufficiently depressurise for methane to desorb. Most proponents recognize that there is considerable uncertainty in the water production rates (and hence drawdowns), not only due to uncertainty in the geological characterisation of the </w:t>
      </w:r>
      <w:r>
        <w:t xml:space="preserve">coal </w:t>
      </w:r>
      <w:r w:rsidR="008D07D6">
        <w:t>formation</w:t>
      </w:r>
      <w:r>
        <w:t>s</w:t>
      </w:r>
      <w:r w:rsidR="008D07D6">
        <w:t xml:space="preserve"> but also due to uncertainty in the planned production schedule, and </w:t>
      </w:r>
      <w:r>
        <w:t xml:space="preserve">typically </w:t>
      </w:r>
      <w:r w:rsidR="008D07D6">
        <w:t>provide an ensemble of water production rates based on stochastic analysis (</w:t>
      </w:r>
      <w:r>
        <w:t>CDM Smith, 2016</w:t>
      </w:r>
      <w:r w:rsidR="008D07D6">
        <w:t>).</w:t>
      </w:r>
    </w:p>
    <w:p w14:paraId="3551C7F1" w14:textId="69030AFF" w:rsidR="008D07D6" w:rsidRDefault="008D07D6" w:rsidP="008D07D6">
      <w:pPr>
        <w:pStyle w:val="BodyText"/>
      </w:pPr>
      <w:r>
        <w:t xml:space="preserve">The water production rates from reservoir simulation </w:t>
      </w:r>
      <w:r w:rsidR="00034C74">
        <w:t xml:space="preserve">modelling </w:t>
      </w:r>
      <w:r>
        <w:t>are often used in regional groundwater models as either a direct boundary condition (prescribed flux) or as a constraint on the water production rate if depressurisation is implemented as a specified drawdown boundary condition. The work of Herckenrath et al</w:t>
      </w:r>
      <w:r w:rsidR="00034C74">
        <w:t>.</w:t>
      </w:r>
      <w:r>
        <w:t xml:space="preserve"> (2015) and Moore and Doherty (2015) point out some of the major issues related to simulating coal seam gas extraction in regional scale groundwater models, such as the single phase versus dual phase flow and the upscaling of the hydraulic properties of the gas bearing formations. They show that many of the simplifying assumptions in regional groundwater flow modelling, such as uniform properties and single phase flow, lead to overestimates of drawdown in the gas bearing formations.</w:t>
      </w:r>
    </w:p>
    <w:p w14:paraId="1AB91A55" w14:textId="1F7EF435" w:rsidR="008D07D6" w:rsidRPr="00034C74" w:rsidRDefault="00034C74" w:rsidP="00C514DF">
      <w:pPr>
        <w:pStyle w:val="BodyText"/>
      </w:pPr>
      <w:r w:rsidRPr="00034C74">
        <w:t xml:space="preserve">Available water production rates for the current case study </w:t>
      </w:r>
      <w:r>
        <w:t xml:space="preserve">area </w:t>
      </w:r>
      <w:r w:rsidRPr="00034C74">
        <w:t xml:space="preserve">demonstrate a relatively small uncertainty, based on the available model simulations </w:t>
      </w:r>
      <w:r w:rsidR="000960C3">
        <w:t xml:space="preserve">for the deepest of two coal formations </w:t>
      </w:r>
      <w:r w:rsidRPr="00034C74">
        <w:t>(</w:t>
      </w:r>
      <w:r>
        <w:t>CDM Smith, 2016</w:t>
      </w:r>
      <w:r w:rsidRPr="00034C74">
        <w:t>).</w:t>
      </w:r>
      <w:r>
        <w:t xml:space="preserve"> Indeed, </w:t>
      </w:r>
      <w:r w:rsidRPr="00034C74">
        <w:t>the water production volumes for the Low Case</w:t>
      </w:r>
      <w:r>
        <w:t xml:space="preserve"> (</w:t>
      </w:r>
      <w:r w:rsidRPr="00034C74">
        <w:t>P90 exceedance probability</w:t>
      </w:r>
      <w:r>
        <w:t>)</w:t>
      </w:r>
      <w:r w:rsidRPr="00034C74">
        <w:t xml:space="preserve">, Base Case </w:t>
      </w:r>
      <w:r>
        <w:t>(</w:t>
      </w:r>
      <w:r w:rsidRPr="00034C74">
        <w:t>P50 exceedance probability</w:t>
      </w:r>
      <w:r>
        <w:t xml:space="preserve">) </w:t>
      </w:r>
      <w:r w:rsidRPr="00034C74">
        <w:t xml:space="preserve">and High Case </w:t>
      </w:r>
      <w:r>
        <w:t>(</w:t>
      </w:r>
      <w:r w:rsidRPr="00034C74">
        <w:t>P10 exceedance probability</w:t>
      </w:r>
      <w:r>
        <w:t xml:space="preserve">) </w:t>
      </w:r>
      <w:r w:rsidRPr="00034C74">
        <w:t>realisations are 72.3 GL, 83.8 GL and 98.3 GL, respectively</w:t>
      </w:r>
      <w:r>
        <w:t>. The</w:t>
      </w:r>
      <w:r w:rsidRPr="00034C74">
        <w:t xml:space="preserve"> difference between the Low and High Cases</w:t>
      </w:r>
      <w:r>
        <w:t xml:space="preserve"> is </w:t>
      </w:r>
      <w:r w:rsidRPr="00034C74">
        <w:t>26 GL</w:t>
      </w:r>
      <w:r>
        <w:t xml:space="preserve"> (</w:t>
      </w:r>
      <w:r w:rsidRPr="00034C74">
        <w:t>31% variation of the Base Case</w:t>
      </w:r>
      <w:r>
        <w:t>)</w:t>
      </w:r>
      <w:r w:rsidRPr="00034C74">
        <w:t xml:space="preserve">. The </w:t>
      </w:r>
      <w:r>
        <w:t>High Case is 14.5 GL higher than the Base Case, or 17%. The Base Case was used in the current study.</w:t>
      </w:r>
      <w:r w:rsidR="000960C3" w:rsidRPr="000960C3">
        <w:t xml:space="preserve"> </w:t>
      </w:r>
      <w:r w:rsidR="000960C3" w:rsidRPr="00034C74">
        <w:t xml:space="preserve">There </w:t>
      </w:r>
      <w:r w:rsidR="000960C3">
        <w:t>were</w:t>
      </w:r>
      <w:r w:rsidR="000960C3" w:rsidRPr="00034C74">
        <w:t xml:space="preserve"> no stochastic variation</w:t>
      </w:r>
      <w:r w:rsidR="000960C3">
        <w:t>s available</w:t>
      </w:r>
      <w:r w:rsidR="000960C3" w:rsidRPr="00034C74">
        <w:t xml:space="preserve"> of the estimates of water production from the </w:t>
      </w:r>
      <w:r w:rsidR="000960C3">
        <w:t>shallower coal formations. Although not generally recommended, this study did not include water production as an uncertain factor due to lack of data for the shallowest coal layers and due to a relatively small uncertainty for the deepest coal layers.</w:t>
      </w:r>
      <w:r w:rsidR="003D734A">
        <w:t xml:space="preserve"> </w:t>
      </w:r>
      <w:r w:rsidR="003D734A" w:rsidRPr="003D734A">
        <w:t>As data becomes available</w:t>
      </w:r>
      <w:r w:rsidR="003D734A">
        <w:t>, the initially calculated water production rates</w:t>
      </w:r>
      <w:r w:rsidR="003D734A" w:rsidRPr="003D734A">
        <w:t xml:space="preserve"> can be updated </w:t>
      </w:r>
      <w:r w:rsidR="003D734A">
        <w:t xml:space="preserve">and the uncertainty analysis repeated </w:t>
      </w:r>
      <w:r w:rsidR="003D734A" w:rsidRPr="003D734A">
        <w:t>if observed data shows a much larger variability</w:t>
      </w:r>
      <w:r w:rsidR="003D734A">
        <w:t xml:space="preserve"> than the initial estimate</w:t>
      </w:r>
      <w:r w:rsidR="003D734A" w:rsidRPr="003D734A">
        <w:t>.</w:t>
      </w:r>
      <w:r w:rsidR="003D734A">
        <w:t xml:space="preserve"> </w:t>
      </w:r>
    </w:p>
    <w:p w14:paraId="6F31C4B1" w14:textId="63539B08" w:rsidR="00AA0E34" w:rsidRDefault="00AA0E34" w:rsidP="00AA0E34">
      <w:pPr>
        <w:pStyle w:val="Heading3"/>
      </w:pPr>
      <w:r>
        <w:t>Quantitative uncertainty analysis</w:t>
      </w:r>
    </w:p>
    <w:p w14:paraId="057C9DAF" w14:textId="77777777" w:rsidR="00CA61B1" w:rsidRDefault="005E18F7" w:rsidP="00CA61B1">
      <w:pPr>
        <w:pStyle w:val="BodyText"/>
      </w:pPr>
      <w:r w:rsidRPr="00B0618E">
        <w:t xml:space="preserve">Global sensitivity analysis methods were used to characterise the uncertainty of four predictions </w:t>
      </w:r>
      <w:r w:rsidR="00480CEB" w:rsidRPr="00B0618E">
        <w:t xml:space="preserve">(i.e., groundwater impact metrics) </w:t>
      </w:r>
      <w:r w:rsidRPr="00B0618E">
        <w:t xml:space="preserve">of interest. </w:t>
      </w:r>
      <w:r w:rsidR="00881183" w:rsidRPr="00B0618E">
        <w:t xml:space="preserve">The </w:t>
      </w:r>
      <w:r w:rsidR="00480CEB" w:rsidRPr="00B0618E">
        <w:t xml:space="preserve">initial prior </w:t>
      </w:r>
      <w:r w:rsidR="00881183" w:rsidRPr="00B0618E">
        <w:t xml:space="preserve">statistical distributions of 30 model parameters were defined using </w:t>
      </w:r>
      <w:r w:rsidR="00776AA8">
        <w:t>log-</w:t>
      </w:r>
      <w:r w:rsidR="00881183" w:rsidRPr="00B0618E">
        <w:t>uniform distributions</w:t>
      </w:r>
      <w:r w:rsidR="00480CEB" w:rsidRPr="00B0618E">
        <w:t xml:space="preserve"> (</w:t>
      </w:r>
      <w:r w:rsidR="001E1B94" w:rsidRPr="00B0618E">
        <w:fldChar w:fldCharType="begin"/>
      </w:r>
      <w:r w:rsidR="001E1B94" w:rsidRPr="00B0618E">
        <w:instrText xml:space="preserve"> REF _Ref476903541 \h  \* MERGEFORMAT </w:instrText>
      </w:r>
      <w:r w:rsidR="001E1B94" w:rsidRPr="00B0618E">
        <w:fldChar w:fldCharType="separate"/>
      </w:r>
      <w:r w:rsidR="000B6FA5" w:rsidRPr="00B0618E">
        <w:t xml:space="preserve">Figure </w:t>
      </w:r>
      <w:r w:rsidR="000B6FA5">
        <w:rPr>
          <w:noProof/>
        </w:rPr>
        <w:t>1</w:t>
      </w:r>
      <w:r w:rsidR="000B6FA5">
        <w:rPr>
          <w:noProof/>
        </w:rPr>
        <w:noBreakHyphen/>
        <w:t>2</w:t>
      </w:r>
      <w:r w:rsidR="001E1B94" w:rsidRPr="00B0618E">
        <w:fldChar w:fldCharType="end"/>
      </w:r>
      <w:r w:rsidR="00480CEB" w:rsidRPr="00B0618E">
        <w:t>)</w:t>
      </w:r>
      <w:r w:rsidR="00881183" w:rsidRPr="00B0618E">
        <w:t xml:space="preserve">. </w:t>
      </w:r>
      <w:r w:rsidR="009F0AAE" w:rsidRPr="00B0618E">
        <w:t xml:space="preserve">The use of uniform </w:t>
      </w:r>
      <w:r w:rsidR="00776AA8" w:rsidRPr="00B0618E">
        <w:t xml:space="preserve">distributions </w:t>
      </w:r>
      <w:r w:rsidR="009F0AAE" w:rsidRPr="00B0618E">
        <w:t>(or log-uniform</w:t>
      </w:r>
      <w:r w:rsidR="00CD4A98" w:rsidRPr="00B0618E">
        <w:t xml:space="preserve"> </w:t>
      </w:r>
      <w:r w:rsidR="00776AA8" w:rsidRPr="00B0618E">
        <w:t xml:space="preserve">distributions </w:t>
      </w:r>
      <w:r w:rsidR="00CD4A98" w:rsidRPr="00B0618E">
        <w:t xml:space="preserve">if </w:t>
      </w:r>
      <w:r w:rsidR="00776AA8">
        <w:t xml:space="preserve">values span </w:t>
      </w:r>
      <w:r w:rsidR="00CD4A98" w:rsidRPr="00B0618E">
        <w:t>several orders of magnitude</w:t>
      </w:r>
      <w:r w:rsidR="009F0AAE" w:rsidRPr="00B0618E">
        <w:t xml:space="preserve">) is recommended when very little is known about the true </w:t>
      </w:r>
      <w:r w:rsidR="00776AA8">
        <w:t xml:space="preserve">parameter </w:t>
      </w:r>
      <w:r w:rsidR="009F0AAE" w:rsidRPr="00B0618E">
        <w:t xml:space="preserve">distribution </w:t>
      </w:r>
      <w:r w:rsidR="00776AA8">
        <w:t>due</w:t>
      </w:r>
      <w:r w:rsidR="00776AA8" w:rsidRPr="00B0618E">
        <w:t xml:space="preserve"> </w:t>
      </w:r>
      <w:r w:rsidR="009F0AAE" w:rsidRPr="00B0618E">
        <w:t>to a lack of data</w:t>
      </w:r>
      <w:r w:rsidR="00CD4A98" w:rsidRPr="00B0618E">
        <w:t xml:space="preserve"> (i.e., when one is unable to decide which values within a given range are more likely than others) (Mallants et al., 2003)</w:t>
      </w:r>
      <w:r w:rsidR="009F0AAE" w:rsidRPr="00B0618E">
        <w:t xml:space="preserve">. </w:t>
      </w:r>
    </w:p>
    <w:p w14:paraId="6A2DAF49" w14:textId="4FB058EC" w:rsidR="00FD5B55" w:rsidRPr="00B0618E" w:rsidRDefault="00B64D91" w:rsidP="00B64D91">
      <w:pPr>
        <w:spacing w:before="120" w:line="264" w:lineRule="auto"/>
        <w:jc w:val="center"/>
        <w:rPr>
          <w:color w:val="FF0000"/>
          <w:sz w:val="24"/>
        </w:rPr>
      </w:pPr>
      <w:r w:rsidRPr="00B0618E">
        <w:rPr>
          <w:noProof/>
          <w:color w:val="FF0000"/>
          <w:sz w:val="24"/>
        </w:rPr>
        <w:drawing>
          <wp:inline distT="0" distB="0" distL="0" distR="0" wp14:anchorId="3B50454E" wp14:editId="003EF7CC">
            <wp:extent cx="5414680" cy="7106856"/>
            <wp:effectExtent l="0" t="0" r="0" b="0"/>
            <wp:docPr id="5" name="Picture 5" descr="Diagram of workflow employed in this study" title="Fig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A_UA_methodology_flowchart_v04_230217.png"/>
                    <pic:cNvPicPr/>
                  </pic:nvPicPr>
                  <pic:blipFill>
                    <a:blip r:embed="rId23">
                      <a:extLst>
                        <a:ext uri="{28A0092B-C50C-407E-A947-70E740481C1C}">
                          <a14:useLocalDpi xmlns:a14="http://schemas.microsoft.com/office/drawing/2010/main" val="0"/>
                        </a:ext>
                      </a:extLst>
                    </a:blip>
                    <a:stretch>
                      <a:fillRect/>
                    </a:stretch>
                  </pic:blipFill>
                  <pic:spPr>
                    <a:xfrm>
                      <a:off x="0" y="0"/>
                      <a:ext cx="5416118" cy="7108743"/>
                    </a:xfrm>
                    <a:prstGeom prst="rect">
                      <a:avLst/>
                    </a:prstGeom>
                  </pic:spPr>
                </pic:pic>
              </a:graphicData>
            </a:graphic>
          </wp:inline>
        </w:drawing>
      </w:r>
    </w:p>
    <w:p w14:paraId="75AA813F" w14:textId="203264FB" w:rsidR="00FD5B55" w:rsidRPr="00B0618E" w:rsidRDefault="00FD5B55" w:rsidP="00FD5B55">
      <w:pPr>
        <w:pStyle w:val="Caption"/>
        <w:rPr>
          <w:color w:val="FF0000"/>
          <w:sz w:val="24"/>
        </w:rPr>
      </w:pPr>
      <w:bookmarkStart w:id="20" w:name="_Ref476903541"/>
      <w:bookmarkStart w:id="21" w:name="_Toc482034899"/>
      <w:r w:rsidRPr="00B0618E">
        <w:t xml:space="preserve">Figure </w:t>
      </w:r>
      <w:r w:rsidR="00A2085C">
        <w:fldChar w:fldCharType="begin"/>
      </w:r>
      <w:r w:rsidR="00A2085C">
        <w:instrText xml:space="preserve"> STYLEREF 1 \s </w:instrText>
      </w:r>
      <w:r w:rsidR="00A2085C">
        <w:fldChar w:fldCharType="separate"/>
      </w:r>
      <w:r w:rsidR="000B6FA5">
        <w:rPr>
          <w:noProof/>
        </w:rPr>
        <w:t>1</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2</w:t>
      </w:r>
      <w:r w:rsidR="00A2085C">
        <w:rPr>
          <w:noProof/>
        </w:rPr>
        <w:fldChar w:fldCharType="end"/>
      </w:r>
      <w:bookmarkEnd w:id="20"/>
      <w:r w:rsidRPr="00B0618E">
        <w:t>. Flowchart of the workflow employed in th</w:t>
      </w:r>
      <w:r w:rsidR="00B4568F" w:rsidRPr="00B0618E">
        <w:t>is</w:t>
      </w:r>
      <w:r w:rsidRPr="00B0618E">
        <w:t xml:space="preserve"> study to assess the effects of improved aquitard characterisation </w:t>
      </w:r>
      <w:r w:rsidR="00B4568F" w:rsidRPr="00B0618E">
        <w:t xml:space="preserve">(red triangular distributions) </w:t>
      </w:r>
      <w:r w:rsidRPr="00B0618E">
        <w:t xml:space="preserve">on parameter sensitivity </w:t>
      </w:r>
      <w:r w:rsidR="00B4568F" w:rsidRPr="00B0618E">
        <w:t xml:space="preserve">(not shown) </w:t>
      </w:r>
      <w:r w:rsidRPr="00B0618E">
        <w:t>and prediction uncertainty</w:t>
      </w:r>
      <w:r w:rsidR="00B4568F" w:rsidRPr="00B0618E">
        <w:t xml:space="preserve"> (one hypothetical flow metric shown)</w:t>
      </w:r>
      <w:r w:rsidRPr="00B0618E">
        <w:t>.</w:t>
      </w:r>
      <w:bookmarkEnd w:id="21"/>
    </w:p>
    <w:p w14:paraId="40BABF0E" w14:textId="77777777" w:rsidR="00B64D91" w:rsidRPr="00B0618E" w:rsidRDefault="00B64D91" w:rsidP="00B64D91">
      <w:pPr>
        <w:pStyle w:val="BodyText"/>
      </w:pPr>
    </w:p>
    <w:p w14:paraId="4C66F9DD" w14:textId="62667322" w:rsidR="00CA61B1" w:rsidRDefault="00CA61B1" w:rsidP="00CA61B1">
      <w:pPr>
        <w:pStyle w:val="BodyText"/>
        <w:rPr>
          <w:color w:val="auto"/>
        </w:rPr>
      </w:pPr>
      <w:r w:rsidRPr="00B0618E">
        <w:rPr>
          <w:color w:val="auto"/>
        </w:rPr>
        <w:t xml:space="preserve">In order to provide a more rigorous basis for the representation of these aquitard sequences, laboratory porosity-permeability measurements were undertaken and relationships between these two parameters were established for key hydrogeological formations. Borehole wireline </w:t>
      </w:r>
      <w:r>
        <w:rPr>
          <w:color w:val="auto"/>
        </w:rPr>
        <w:t xml:space="preserve">log </w:t>
      </w:r>
      <w:r w:rsidRPr="00B0618E">
        <w:rPr>
          <w:color w:val="auto"/>
        </w:rPr>
        <w:t xml:space="preserve">data were then used to generate continuous porosity profiles, which were subsequently transformed into permeability profiles based on the </w:t>
      </w:r>
      <w:r>
        <w:rPr>
          <w:color w:val="auto"/>
        </w:rPr>
        <w:t>derived</w:t>
      </w:r>
      <w:r w:rsidRPr="00B0618E">
        <w:rPr>
          <w:color w:val="auto"/>
        </w:rPr>
        <w:t xml:space="preserve"> porosity-permeability relationships. </w:t>
      </w:r>
      <w:r>
        <w:rPr>
          <w:color w:val="auto"/>
        </w:rPr>
        <w:t>H</w:t>
      </w:r>
      <w:r w:rsidRPr="00B0618E">
        <w:rPr>
          <w:color w:val="auto"/>
        </w:rPr>
        <w:t xml:space="preserve">igh-resolution permeability profiles were upscaled to aquitard formation </w:t>
      </w:r>
      <w:r>
        <w:rPr>
          <w:color w:val="auto"/>
        </w:rPr>
        <w:t xml:space="preserve">scale </w:t>
      </w:r>
      <w:r w:rsidRPr="00B0618E">
        <w:rPr>
          <w:color w:val="auto"/>
        </w:rPr>
        <w:t>prior to inclusion in the groundwater flow model (Turnadge et al., 201</w:t>
      </w:r>
      <w:r w:rsidR="00D646E1">
        <w:rPr>
          <w:color w:val="auto"/>
        </w:rPr>
        <w:t>8</w:t>
      </w:r>
      <w:r>
        <w:rPr>
          <w:color w:val="auto"/>
        </w:rPr>
        <w:t>a</w:t>
      </w:r>
      <w:r w:rsidRPr="00B0618E">
        <w:rPr>
          <w:color w:val="auto"/>
        </w:rPr>
        <w:t xml:space="preserve">). </w:t>
      </w:r>
    </w:p>
    <w:p w14:paraId="5AB450B1" w14:textId="609AFD86" w:rsidR="00B64D91" w:rsidRPr="00B0618E" w:rsidRDefault="00B64D91" w:rsidP="00B64D91">
      <w:pPr>
        <w:pStyle w:val="BodyText"/>
      </w:pPr>
      <w:r w:rsidRPr="00B0618E">
        <w:t xml:space="preserve">The ranges of these distributions were specified arbitrarily using </w:t>
      </w:r>
      <w:r w:rsidR="00045A85">
        <w:t>CDM Smith (2016)</w:t>
      </w:r>
      <w:r w:rsidRPr="00B0618E">
        <w:t xml:space="preserve"> </w:t>
      </w:r>
      <w:r w:rsidR="008C4B12">
        <w:t xml:space="preserve">model </w:t>
      </w:r>
      <w:r w:rsidRPr="00B0618E">
        <w:t xml:space="preserve">parameter values ± one order of magnitude. These ranges are consistent with the variability ascribed to aquitard hydraulic properties by modelling studies prior to that of </w:t>
      </w:r>
      <w:r w:rsidR="00045A85">
        <w:t>CDM Smith (2016)</w:t>
      </w:r>
      <w:r w:rsidRPr="00B0618E">
        <w:t xml:space="preserve">. The combinations of parameter values sampled from these distributions represented groundwater flow models that were assumed to be equally likely (i.e., with likelihood functions equal to unity). Furthermore, the models generated from these prior distributions were not constrained by observations of system states, such as hydraulic heads or groundwater discharge fluxes; e.g., as often undertaken in a traditional calibration-based approach. </w:t>
      </w:r>
    </w:p>
    <w:p w14:paraId="7690C786" w14:textId="12A9EE8E" w:rsidR="00B64D91" w:rsidRPr="00B0618E" w:rsidRDefault="00B64D91" w:rsidP="00B64D91">
      <w:pPr>
        <w:pStyle w:val="BodyText"/>
      </w:pPr>
      <w:r w:rsidRPr="00B0618E">
        <w:t>Following an initial estimation of prediction uncertainties based on initial model parameter values (</w:t>
      </w:r>
      <w:r w:rsidRPr="00B0618E">
        <w:fldChar w:fldCharType="begin"/>
      </w:r>
      <w:r w:rsidRPr="00B0618E">
        <w:instrText xml:space="preserve"> REF _Ref476903541 \h </w:instrText>
      </w:r>
      <w:r w:rsidR="00B0618E">
        <w:instrText xml:space="preserve"> \* MERGEFORMAT </w:instrText>
      </w:r>
      <w:r w:rsidRPr="00B0618E">
        <w:fldChar w:fldCharType="separate"/>
      </w:r>
      <w:r w:rsidR="000B6FA5" w:rsidRPr="00B0618E">
        <w:t xml:space="preserve">Figure </w:t>
      </w:r>
      <w:r w:rsidR="000B6FA5">
        <w:rPr>
          <w:noProof/>
        </w:rPr>
        <w:t>1</w:t>
      </w:r>
      <w:r w:rsidR="000B6FA5">
        <w:rPr>
          <w:noProof/>
        </w:rPr>
        <w:noBreakHyphen/>
        <w:t>2</w:t>
      </w:r>
      <w:r w:rsidRPr="00B0618E">
        <w:fldChar w:fldCharType="end"/>
      </w:r>
      <w:r w:rsidRPr="00B0618E">
        <w:t>), the prior parameter distributions for two aquitard sequences were updated on the basis of upscaled aquitard vertical hydraulic conductivity values using a combination of core measurements and geophysical wireline logging data from around 100 deep exploration wells (Turnadge et al., 201</w:t>
      </w:r>
      <w:r w:rsidR="00D646E1">
        <w:t>8</w:t>
      </w:r>
      <w:r w:rsidR="009833F3">
        <w:t>b</w:t>
      </w:r>
      <w:r w:rsidRPr="00B0618E">
        <w:t>). A second global sensitivity analysis was then performed using these updated prior parameter distributions (</w:t>
      </w:r>
      <w:r w:rsidRPr="00B0618E">
        <w:fldChar w:fldCharType="begin"/>
      </w:r>
      <w:r w:rsidRPr="00B0618E">
        <w:instrText xml:space="preserve"> REF _Ref476903541 \h </w:instrText>
      </w:r>
      <w:r w:rsidR="00B0618E">
        <w:instrText xml:space="preserve"> \* MERGEFORMAT </w:instrText>
      </w:r>
      <w:r w:rsidRPr="00B0618E">
        <w:fldChar w:fldCharType="separate"/>
      </w:r>
      <w:r w:rsidR="000B6FA5" w:rsidRPr="00B0618E">
        <w:t xml:space="preserve">Figure </w:t>
      </w:r>
      <w:r w:rsidR="000B6FA5">
        <w:rPr>
          <w:noProof/>
        </w:rPr>
        <w:t>1</w:t>
      </w:r>
      <w:r w:rsidR="000B6FA5">
        <w:rPr>
          <w:noProof/>
        </w:rPr>
        <w:noBreakHyphen/>
        <w:t>2</w:t>
      </w:r>
      <w:r w:rsidRPr="00B0618E">
        <w:fldChar w:fldCharType="end"/>
      </w:r>
      <w:r w:rsidRPr="00B0618E">
        <w:t>). The uncertainties of the four predictions of interest were again estimated and subsequently compared to initial results.</w:t>
      </w:r>
    </w:p>
    <w:p w14:paraId="33529923" w14:textId="389C80D8" w:rsidR="0040258D" w:rsidRDefault="0040258D" w:rsidP="0040258D">
      <w:pPr>
        <w:pStyle w:val="BodyText"/>
      </w:pPr>
      <w:r w:rsidRPr="00B0618E">
        <w:t>An important source of uncertainty about predicted impacts originates from imperfect conceptual models (Gupta et al</w:t>
      </w:r>
      <w:r w:rsidR="002B4927">
        <w:t>.</w:t>
      </w:r>
      <w:r w:rsidRPr="00B0618E">
        <w:t>, 2012; Rojas et al., 2010). To address conceptual model uncertainty we include, as part of the broader uncertainty analysis, a</w:t>
      </w:r>
      <w:r w:rsidR="00C367C5" w:rsidRPr="00B0618E">
        <w:t xml:space="preserve"> more complex</w:t>
      </w:r>
      <w:r w:rsidRPr="00B0618E">
        <w:t xml:space="preserve"> conceptual model that differs in its representation of hydraulic conductivity heterogeneity within aquitard formations. </w:t>
      </w:r>
    </w:p>
    <w:p w14:paraId="4188878C" w14:textId="0B784BBB" w:rsidR="009B7348" w:rsidRDefault="004D2CD7" w:rsidP="0040258D">
      <w:pPr>
        <w:pStyle w:val="BodyText"/>
      </w:pPr>
      <w:r>
        <w:t xml:space="preserve">It is </w:t>
      </w:r>
      <w:r w:rsidR="009B7348">
        <w:t xml:space="preserve">of further </w:t>
      </w:r>
      <w:r>
        <w:t>importan</w:t>
      </w:r>
      <w:r w:rsidR="009B7348">
        <w:t>ce</w:t>
      </w:r>
      <w:r>
        <w:t xml:space="preserve"> to </w:t>
      </w:r>
      <w:r w:rsidR="00DE5255">
        <w:t>note</w:t>
      </w:r>
      <w:r>
        <w:t xml:space="preserve"> that </w:t>
      </w:r>
      <w:r w:rsidR="00DE5255">
        <w:t>t</w:t>
      </w:r>
      <w:r>
        <w:t xml:space="preserve">he </w:t>
      </w:r>
      <w:r w:rsidR="00DE5255">
        <w:t xml:space="preserve">stochastic approach adhered to in this project is consistent with </w:t>
      </w:r>
      <w:r w:rsidR="001446C7">
        <w:t xml:space="preserve">the </w:t>
      </w:r>
      <w:r w:rsidR="00DE5255">
        <w:t>Bayesian paradigm, in which prior beliefs and estimates of parameters and conceptualisation are iteratively updated when new data and information becomes available. In this study no effort is invested in constraining</w:t>
      </w:r>
      <w:r w:rsidR="00FE2EC3">
        <w:t xml:space="preserve"> parameters by observations of state variables, a process referred to </w:t>
      </w:r>
      <w:r w:rsidR="009B7348">
        <w:t xml:space="preserve">variously </w:t>
      </w:r>
      <w:r w:rsidR="00FE2EC3">
        <w:t>as calibration, history matching or inverse modelling</w:t>
      </w:r>
      <w:r w:rsidR="00DE5255">
        <w:t xml:space="preserve"> </w:t>
      </w:r>
      <w:r w:rsidR="00FE2EC3">
        <w:t>(Carrera et al</w:t>
      </w:r>
      <w:r w:rsidR="001446C7">
        <w:t>.,</w:t>
      </w:r>
      <w:r w:rsidR="00FE2EC3">
        <w:t xml:space="preserve"> 2005). The calibration process assumes that a parameter set that minimises the mismatch between observed and simulated heads will result in more accurate predictions. White et al. (2014) </w:t>
      </w:r>
      <w:r w:rsidR="009B7348">
        <w:t>demonstrated that,</w:t>
      </w:r>
      <w:r w:rsidR="00FE2EC3">
        <w:t xml:space="preserve"> in many instances</w:t>
      </w:r>
      <w:r w:rsidR="009B7348">
        <w:t>,</w:t>
      </w:r>
      <w:r w:rsidR="00FE2EC3">
        <w:t xml:space="preserve"> this assumption is not valid</w:t>
      </w:r>
      <w:r w:rsidR="002C3525">
        <w:t xml:space="preserve"> and that calibration can </w:t>
      </w:r>
      <w:r w:rsidR="001446C7">
        <w:t xml:space="preserve">even </w:t>
      </w:r>
      <w:r w:rsidR="002C3525">
        <w:t>lead to bias in predictions</w:t>
      </w:r>
      <w:r w:rsidR="00FE2EC3">
        <w:t xml:space="preserve">. </w:t>
      </w:r>
      <w:r w:rsidR="00DB5A25">
        <w:t xml:space="preserve">Another example where </w:t>
      </w:r>
      <w:r w:rsidR="00DB5A25" w:rsidRPr="00DB5A25">
        <w:t xml:space="preserve">a well-calibrated model </w:t>
      </w:r>
      <w:r w:rsidR="00DB5A25">
        <w:t>provided in</w:t>
      </w:r>
      <w:r w:rsidR="00DB5A25" w:rsidRPr="00DB5A25">
        <w:t>accurate predictions</w:t>
      </w:r>
      <w:r w:rsidR="00DB5A25">
        <w:t xml:space="preserve"> was reported by </w:t>
      </w:r>
      <w:r w:rsidR="00DB5A25" w:rsidRPr="00DB5A25">
        <w:t>Moore and Doherty (2006)</w:t>
      </w:r>
      <w:r w:rsidR="00DB5A25">
        <w:t>. They</w:t>
      </w:r>
      <w:r w:rsidR="00DB5A25" w:rsidRPr="00DB5A25">
        <w:t xml:space="preserve"> demonstrate</w:t>
      </w:r>
      <w:r w:rsidR="00DB5A25">
        <w:t>d</w:t>
      </w:r>
      <w:r w:rsidR="00DB5A25" w:rsidRPr="00DB5A25">
        <w:t xml:space="preserve"> that transport predictions</w:t>
      </w:r>
      <w:r w:rsidR="00DB5A25">
        <w:t xml:space="preserve"> made by a model that calibrated</w:t>
      </w:r>
      <w:r w:rsidR="00DB5A25" w:rsidRPr="00DB5A25">
        <w:t xml:space="preserve"> perfectly to</w:t>
      </w:r>
      <w:r w:rsidR="00DB5A25">
        <w:t xml:space="preserve"> </w:t>
      </w:r>
      <w:r w:rsidR="00DB5A25" w:rsidRPr="00DB5A25">
        <w:t>ground water elevation data can be 100% wrong as a consequence of the simplifications required to achieve a unique calibration.</w:t>
      </w:r>
      <w:r w:rsidR="00DB5A25">
        <w:t xml:space="preserve"> </w:t>
      </w:r>
      <w:r w:rsidR="00681259">
        <w:t xml:space="preserve">Furthermore, the stochastic uncertainty quantification undertaken in this study involves a future scenario of how a groundwater system may evolve under a given stress (i.e., depressurisation). As the stress will only eventuate in the future, there are currently no head or flux data available for model calibration. </w:t>
      </w:r>
      <w:r w:rsidR="009B7348">
        <w:t>It should also be noted that in unconstrained Bayesian approaches, such as presented here, the ensemble of models generated will typically include a model featuring parameters that would otherwise be estimated through calibration to observations. Therefore, the range of prediction uncertainty explored through such Bayesian approaches can be considered comparatively more robust.</w:t>
      </w:r>
    </w:p>
    <w:p w14:paraId="3D99B60F" w14:textId="3C8E4F2D" w:rsidR="004D2CD7" w:rsidRPr="00B0618E" w:rsidRDefault="004C4116" w:rsidP="0040258D">
      <w:pPr>
        <w:pStyle w:val="BodyText"/>
      </w:pPr>
      <w:r>
        <w:t xml:space="preserve">Furthermore, calibration-based approaches also assume that the information content of available observations is suitable and relevant to the parameters estimated through model inversion. </w:t>
      </w:r>
      <w:r w:rsidR="00FE2EC3">
        <w:t>In the context of propagation of depressurisation due to CSG extraction, the theoretical analysis of Co</w:t>
      </w:r>
      <w:r w:rsidR="002C3525">
        <w:t>ok</w:t>
      </w:r>
      <w:r w:rsidR="00FE2EC3">
        <w:t xml:space="preserve"> et al</w:t>
      </w:r>
      <w:r w:rsidR="001446C7">
        <w:t>.</w:t>
      </w:r>
      <w:r w:rsidR="00FE2EC3">
        <w:t xml:space="preserve"> (2016) indicate</w:t>
      </w:r>
      <w:r w:rsidR="008C4B12">
        <w:t>d</w:t>
      </w:r>
      <w:r w:rsidR="00FE2EC3">
        <w:t xml:space="preserve"> that the current set of predevelopment groundwater level and flux observations in the Gunnedah </w:t>
      </w:r>
      <w:r w:rsidR="008C4B12">
        <w:t xml:space="preserve">and Surat basins </w:t>
      </w:r>
      <w:r w:rsidR="00FE2EC3">
        <w:t xml:space="preserve">are </w:t>
      </w:r>
      <w:r w:rsidR="008C4B12">
        <w:t>highly</w:t>
      </w:r>
      <w:r w:rsidR="00FE2EC3">
        <w:t xml:space="preserve"> unlikely to yield</w:t>
      </w:r>
      <w:r w:rsidR="002C3525">
        <w:t xml:space="preserve"> information on the salient hydrogeological parameters as they are mostly controlled by external driving forces such as pumping, groundwater surface water interactions and recharge (Giambastani et al.</w:t>
      </w:r>
      <w:r w:rsidR="00190BC1">
        <w:t>,</w:t>
      </w:r>
      <w:r w:rsidR="002C3525">
        <w:t xml:space="preserve"> 2009)</w:t>
      </w:r>
      <w:r w:rsidR="001015EF">
        <w:t>.</w:t>
      </w:r>
    </w:p>
    <w:p w14:paraId="786672F1" w14:textId="77777777" w:rsidR="00165854" w:rsidRPr="00B0618E" w:rsidRDefault="00165854" w:rsidP="00F47AA9">
      <w:pPr>
        <w:keepNext/>
        <w:keepLines/>
        <w:numPr>
          <w:ilvl w:val="1"/>
          <w:numId w:val="13"/>
        </w:numPr>
        <w:tabs>
          <w:tab w:val="left" w:pos="1134"/>
        </w:tabs>
        <w:spacing w:before="360" w:after="240"/>
        <w:outlineLvl w:val="1"/>
        <w:rPr>
          <w:rFonts w:eastAsiaTheme="majorEastAsia" w:cstheme="majorBidi"/>
          <w:bCs/>
          <w:color w:val="00313C" w:themeColor="accent2"/>
          <w:sz w:val="32"/>
          <w:szCs w:val="26"/>
        </w:rPr>
      </w:pPr>
      <w:r w:rsidRPr="00B0618E">
        <w:rPr>
          <w:rFonts w:eastAsiaTheme="majorEastAsia" w:cstheme="majorBidi"/>
          <w:bCs/>
          <w:color w:val="00313C" w:themeColor="accent2"/>
          <w:sz w:val="32"/>
          <w:szCs w:val="26"/>
        </w:rPr>
        <w:t>Workflow</w:t>
      </w:r>
    </w:p>
    <w:p w14:paraId="0D547759" w14:textId="34FCEFF2" w:rsidR="005E18F7" w:rsidRPr="00B0618E" w:rsidRDefault="00045A85" w:rsidP="005E18F7">
      <w:pPr>
        <w:spacing w:before="120" w:line="264" w:lineRule="auto"/>
        <w:rPr>
          <w:color w:val="auto"/>
          <w:sz w:val="24"/>
        </w:rPr>
      </w:pPr>
      <w:r>
        <w:rPr>
          <w:color w:val="auto"/>
          <w:sz w:val="24"/>
        </w:rPr>
        <w:t>CDM Smith (2016)</w:t>
      </w:r>
      <w:r w:rsidR="005E18F7" w:rsidRPr="00B0618E">
        <w:rPr>
          <w:color w:val="auto"/>
          <w:sz w:val="24"/>
        </w:rPr>
        <w:t xml:space="preserve"> developed a transient model of the Gunnedah</w:t>
      </w:r>
      <w:r>
        <w:rPr>
          <w:color w:val="auto"/>
          <w:sz w:val="24"/>
        </w:rPr>
        <w:t>-Surat</w:t>
      </w:r>
      <w:r w:rsidR="005E18F7" w:rsidRPr="00B0618E">
        <w:rPr>
          <w:color w:val="auto"/>
          <w:sz w:val="24"/>
        </w:rPr>
        <w:t xml:space="preserve"> </w:t>
      </w:r>
      <w:r w:rsidR="008C4B12">
        <w:rPr>
          <w:color w:val="auto"/>
          <w:sz w:val="24"/>
        </w:rPr>
        <w:t>b</w:t>
      </w:r>
      <w:r w:rsidR="005E18F7" w:rsidRPr="00B0618E">
        <w:rPr>
          <w:color w:val="auto"/>
          <w:sz w:val="24"/>
        </w:rPr>
        <w:t>asin</w:t>
      </w:r>
      <w:r w:rsidR="008C4B12">
        <w:rPr>
          <w:color w:val="auto"/>
          <w:sz w:val="24"/>
        </w:rPr>
        <w:t>s</w:t>
      </w:r>
      <w:r w:rsidR="005E18F7" w:rsidRPr="00B0618E">
        <w:rPr>
          <w:color w:val="auto"/>
          <w:sz w:val="24"/>
        </w:rPr>
        <w:t xml:space="preserve"> groundwater flow system as part of Environmental Impact Assessment requirements for the Santos Narrabri Gas Project, to be located near Narrabri, NSW. The model was developed using the </w:t>
      </w:r>
      <w:r w:rsidR="00343E98" w:rsidRPr="00B0618E">
        <w:rPr>
          <w:color w:val="auto"/>
          <w:sz w:val="24"/>
        </w:rPr>
        <w:t xml:space="preserve">MODFLOW-SURFACT </w:t>
      </w:r>
      <w:r w:rsidR="005E18F7" w:rsidRPr="00B0618E">
        <w:rPr>
          <w:color w:val="auto"/>
          <w:sz w:val="24"/>
        </w:rPr>
        <w:t>simulator</w:t>
      </w:r>
      <w:r w:rsidR="00CB4A65" w:rsidRPr="00B0618E">
        <w:rPr>
          <w:color w:val="auto"/>
          <w:sz w:val="24"/>
        </w:rPr>
        <w:t xml:space="preserve"> (HydroGeoLogic, 1996)</w:t>
      </w:r>
      <w:r w:rsidR="005E18F7" w:rsidRPr="00B0618E">
        <w:rPr>
          <w:color w:val="auto"/>
          <w:sz w:val="24"/>
        </w:rPr>
        <w:t>, which is a proprietary version of the widely</w:t>
      </w:r>
      <w:r w:rsidR="00343E98" w:rsidRPr="00B0618E">
        <w:rPr>
          <w:color w:val="auto"/>
          <w:sz w:val="24"/>
        </w:rPr>
        <w:t xml:space="preserve"> </w:t>
      </w:r>
      <w:r w:rsidR="005E18F7" w:rsidRPr="00B0618E">
        <w:rPr>
          <w:color w:val="auto"/>
          <w:sz w:val="24"/>
        </w:rPr>
        <w:t xml:space="preserve">used </w:t>
      </w:r>
      <w:r w:rsidR="00343E98" w:rsidRPr="00B0618E">
        <w:rPr>
          <w:color w:val="auto"/>
          <w:sz w:val="24"/>
        </w:rPr>
        <w:t xml:space="preserve">MODFLOW </w:t>
      </w:r>
      <w:r w:rsidR="005E18F7" w:rsidRPr="00B0618E">
        <w:rPr>
          <w:color w:val="auto"/>
          <w:sz w:val="24"/>
        </w:rPr>
        <w:t>groundwater flow simulator</w:t>
      </w:r>
      <w:r w:rsidR="00CB4A65" w:rsidRPr="00B0618E">
        <w:rPr>
          <w:color w:val="auto"/>
          <w:sz w:val="24"/>
        </w:rPr>
        <w:t xml:space="preserve"> (Harbaugh, 2005)</w:t>
      </w:r>
      <w:r w:rsidR="005E18F7" w:rsidRPr="00B0618E">
        <w:rPr>
          <w:color w:val="auto"/>
          <w:sz w:val="24"/>
        </w:rPr>
        <w:t>. This determin</w:t>
      </w:r>
      <w:r w:rsidR="00CB4A65" w:rsidRPr="00B0618E">
        <w:rPr>
          <w:color w:val="auto"/>
          <w:sz w:val="24"/>
        </w:rPr>
        <w:t>i</w:t>
      </w:r>
      <w:r w:rsidR="005E18F7" w:rsidRPr="00B0618E">
        <w:rPr>
          <w:color w:val="auto"/>
          <w:sz w:val="24"/>
        </w:rPr>
        <w:t xml:space="preserve">stic model featured spatially uniform values for each hydrostratigraphic unit represented. Two aquitard sequences were represented in the model, both of which occur between the primary CSG target unit (the Maules Creek Formation coal </w:t>
      </w:r>
      <w:r w:rsidR="00302E4E" w:rsidRPr="00B0618E">
        <w:rPr>
          <w:color w:val="auto"/>
          <w:sz w:val="24"/>
        </w:rPr>
        <w:t>seams</w:t>
      </w:r>
      <w:r w:rsidR="005E18F7" w:rsidRPr="00B0618E">
        <w:rPr>
          <w:color w:val="auto"/>
          <w:sz w:val="24"/>
        </w:rPr>
        <w:t xml:space="preserve">) and the key confined aquifer in the region (the Pilliga Sandstone aquifer). </w:t>
      </w:r>
    </w:p>
    <w:p w14:paraId="7C73451B" w14:textId="5A865F06" w:rsidR="005E18F7" w:rsidRPr="00B0618E" w:rsidRDefault="005E18F7" w:rsidP="005E18F7">
      <w:pPr>
        <w:spacing w:before="120" w:line="264" w:lineRule="auto"/>
        <w:rPr>
          <w:color w:val="auto"/>
          <w:sz w:val="24"/>
        </w:rPr>
      </w:pPr>
      <w:r w:rsidRPr="00B0618E">
        <w:rPr>
          <w:color w:val="auto"/>
          <w:sz w:val="24"/>
        </w:rPr>
        <w:t>For the purposes of the present study, four</w:t>
      </w:r>
      <w:r w:rsidR="00480CEB" w:rsidRPr="00B0618E">
        <w:rPr>
          <w:color w:val="auto"/>
          <w:sz w:val="24"/>
        </w:rPr>
        <w:t xml:space="preserve"> </w:t>
      </w:r>
      <w:r w:rsidR="008F7D88" w:rsidRPr="00B0618E">
        <w:rPr>
          <w:color w:val="auto"/>
          <w:sz w:val="24"/>
        </w:rPr>
        <w:t xml:space="preserve">simulation metrics were defined for the assessment of prediction uncertainty, based on </w:t>
      </w:r>
      <w:r w:rsidR="00480CEB" w:rsidRPr="00B0618E">
        <w:rPr>
          <w:color w:val="auto"/>
          <w:sz w:val="24"/>
        </w:rPr>
        <w:t>groundwater flow</w:t>
      </w:r>
      <w:r w:rsidRPr="00B0618E">
        <w:rPr>
          <w:color w:val="auto"/>
          <w:sz w:val="24"/>
        </w:rPr>
        <w:t xml:space="preserve"> predictions relating </w:t>
      </w:r>
      <w:r w:rsidR="000F3FBD" w:rsidRPr="00B0618E">
        <w:rPr>
          <w:color w:val="auto"/>
          <w:sz w:val="24"/>
        </w:rPr>
        <w:t xml:space="preserve">specifically </w:t>
      </w:r>
      <w:r w:rsidRPr="00B0618E">
        <w:rPr>
          <w:color w:val="auto"/>
          <w:sz w:val="24"/>
        </w:rPr>
        <w:t xml:space="preserve">to the Pilliga Sandstone </w:t>
      </w:r>
      <w:r w:rsidR="0028010B" w:rsidRPr="00B0618E">
        <w:rPr>
          <w:color w:val="auto"/>
          <w:sz w:val="24"/>
        </w:rPr>
        <w:t>aquifer</w:t>
      </w:r>
      <w:r w:rsidRPr="00B0618E">
        <w:rPr>
          <w:color w:val="auto"/>
          <w:sz w:val="24"/>
        </w:rPr>
        <w:t xml:space="preserve">: </w:t>
      </w:r>
    </w:p>
    <w:p w14:paraId="6D2F0A5A" w14:textId="0734E046" w:rsidR="005E18F7" w:rsidRPr="00B0618E" w:rsidRDefault="005E18F7" w:rsidP="00224D6F">
      <w:pPr>
        <w:spacing w:before="120" w:line="264" w:lineRule="auto"/>
        <w:ind w:left="624" w:hanging="340"/>
        <w:rPr>
          <w:color w:val="auto"/>
          <w:sz w:val="24"/>
        </w:rPr>
      </w:pPr>
      <w:r w:rsidRPr="00B0618E">
        <w:rPr>
          <w:color w:val="auto"/>
          <w:sz w:val="24"/>
        </w:rPr>
        <w:t xml:space="preserve">(1) the maximum hydraulic head </w:t>
      </w:r>
      <w:r w:rsidR="00C367C5" w:rsidRPr="00B0618E">
        <w:rPr>
          <w:color w:val="auto"/>
          <w:sz w:val="24"/>
        </w:rPr>
        <w:t>reduction</w:t>
      </w:r>
      <w:r w:rsidRPr="00B0618E">
        <w:rPr>
          <w:color w:val="auto"/>
          <w:sz w:val="24"/>
        </w:rPr>
        <w:t xml:space="preserve"> </w:t>
      </w:r>
      <w:r w:rsidR="000F3FBD" w:rsidRPr="00B0618E">
        <w:rPr>
          <w:color w:val="auto"/>
          <w:sz w:val="24"/>
        </w:rPr>
        <w:t xml:space="preserve">in the Pilliga Sandstone aquifer </w:t>
      </w:r>
      <w:r w:rsidRPr="00B0618E">
        <w:rPr>
          <w:color w:val="auto"/>
          <w:sz w:val="24"/>
        </w:rPr>
        <w:t>with respect to pre-production conditions (i.e.</w:t>
      </w:r>
      <w:r w:rsidR="00343E98" w:rsidRPr="00B0618E">
        <w:rPr>
          <w:color w:val="auto"/>
          <w:sz w:val="24"/>
        </w:rPr>
        <w:t>,</w:t>
      </w:r>
      <w:r w:rsidRPr="00B0618E">
        <w:rPr>
          <w:color w:val="auto"/>
          <w:sz w:val="24"/>
        </w:rPr>
        <w:t xml:space="preserve"> drawdown); </w:t>
      </w:r>
    </w:p>
    <w:p w14:paraId="40AD0E1D" w14:textId="77777777" w:rsidR="005E18F7" w:rsidRPr="00B0618E" w:rsidRDefault="005E18F7" w:rsidP="00224D6F">
      <w:pPr>
        <w:spacing w:before="120" w:line="264" w:lineRule="auto"/>
        <w:ind w:left="624" w:hanging="340"/>
        <w:rPr>
          <w:color w:val="auto"/>
          <w:sz w:val="24"/>
        </w:rPr>
      </w:pPr>
      <w:r w:rsidRPr="00B0618E">
        <w:rPr>
          <w:color w:val="auto"/>
          <w:sz w:val="24"/>
        </w:rPr>
        <w:t xml:space="preserve">(2) the total time elapsed </w:t>
      </w:r>
      <w:r w:rsidR="000F3FBD" w:rsidRPr="00B0618E">
        <w:rPr>
          <w:color w:val="auto"/>
          <w:sz w:val="24"/>
        </w:rPr>
        <w:t xml:space="preserve">after the cessation of CSG extraction </w:t>
      </w:r>
      <w:r w:rsidR="00D4206D" w:rsidRPr="00B0618E">
        <w:rPr>
          <w:color w:val="auto"/>
          <w:sz w:val="24"/>
        </w:rPr>
        <w:t>at which</w:t>
      </w:r>
      <w:r w:rsidRPr="00B0618E">
        <w:rPr>
          <w:color w:val="auto"/>
          <w:sz w:val="24"/>
        </w:rPr>
        <w:t xml:space="preserve"> maximum drawdown conditions occur</w:t>
      </w:r>
      <w:r w:rsidR="000F3FBD" w:rsidRPr="00B0618E">
        <w:rPr>
          <w:color w:val="auto"/>
          <w:sz w:val="24"/>
        </w:rPr>
        <w:t xml:space="preserve"> in the Pilliga Sandstone aquifer</w:t>
      </w:r>
      <w:r w:rsidRPr="00B0618E">
        <w:rPr>
          <w:color w:val="auto"/>
          <w:sz w:val="24"/>
        </w:rPr>
        <w:t xml:space="preserve">; </w:t>
      </w:r>
    </w:p>
    <w:p w14:paraId="4A034C45" w14:textId="77777777" w:rsidR="005E18F7" w:rsidRPr="00B0618E" w:rsidRDefault="005E18F7" w:rsidP="00224D6F">
      <w:pPr>
        <w:spacing w:before="120" w:line="264" w:lineRule="auto"/>
        <w:ind w:left="624" w:hanging="340"/>
        <w:rPr>
          <w:color w:val="auto"/>
          <w:sz w:val="24"/>
        </w:rPr>
      </w:pPr>
      <w:r w:rsidRPr="00B0618E">
        <w:rPr>
          <w:color w:val="auto"/>
          <w:sz w:val="24"/>
        </w:rPr>
        <w:t>(</w:t>
      </w:r>
      <w:r w:rsidR="00D4206D" w:rsidRPr="00B0618E">
        <w:rPr>
          <w:color w:val="auto"/>
          <w:sz w:val="24"/>
        </w:rPr>
        <w:t>3</w:t>
      </w:r>
      <w:r w:rsidRPr="00B0618E">
        <w:rPr>
          <w:color w:val="auto"/>
          <w:sz w:val="24"/>
        </w:rPr>
        <w:t xml:space="preserve">) the number of model cells </w:t>
      </w:r>
      <w:r w:rsidR="000F3FBD" w:rsidRPr="00B0618E">
        <w:rPr>
          <w:color w:val="auto"/>
          <w:sz w:val="24"/>
        </w:rPr>
        <w:t xml:space="preserve">in the Pilliga Sandstone aquifer </w:t>
      </w:r>
      <w:r w:rsidRPr="00B0618E">
        <w:rPr>
          <w:color w:val="auto"/>
          <w:sz w:val="24"/>
        </w:rPr>
        <w:t>with d</w:t>
      </w:r>
      <w:r w:rsidR="00D4206D" w:rsidRPr="00B0618E">
        <w:rPr>
          <w:color w:val="auto"/>
          <w:sz w:val="24"/>
        </w:rPr>
        <w:t>rawdown greater than or equal to two metres; and,</w:t>
      </w:r>
    </w:p>
    <w:p w14:paraId="7B91D5D2" w14:textId="77777777" w:rsidR="00D4206D" w:rsidRPr="00B0618E" w:rsidRDefault="00D4206D" w:rsidP="00224D6F">
      <w:pPr>
        <w:spacing w:before="120" w:line="264" w:lineRule="auto"/>
        <w:ind w:left="624" w:hanging="340"/>
        <w:rPr>
          <w:color w:val="auto"/>
          <w:sz w:val="24"/>
        </w:rPr>
      </w:pPr>
      <w:r w:rsidRPr="00B0618E">
        <w:rPr>
          <w:color w:val="auto"/>
          <w:sz w:val="24"/>
        </w:rPr>
        <w:t>(4) the maximum vertical flux across the low hydraulic conductivity formations that separate the Pilliga Sandstone aquifer from underlying CSG target formations.</w:t>
      </w:r>
    </w:p>
    <w:p w14:paraId="24C4C291" w14:textId="5BD9FBA5" w:rsidR="005E18F7" w:rsidRPr="001446C7" w:rsidRDefault="00FA74CE" w:rsidP="005E18F7">
      <w:pPr>
        <w:spacing w:before="120" w:line="264" w:lineRule="auto"/>
        <w:rPr>
          <w:rStyle w:val="BodyTextChar"/>
        </w:rPr>
      </w:pPr>
      <w:r w:rsidRPr="00B0618E">
        <w:rPr>
          <w:color w:val="auto"/>
          <w:sz w:val="24"/>
        </w:rPr>
        <w:t>With respect to predict</w:t>
      </w:r>
      <w:r w:rsidR="003C63BE" w:rsidRPr="00B0618E">
        <w:rPr>
          <w:color w:val="auto"/>
          <w:sz w:val="24"/>
        </w:rPr>
        <w:t>ion</w:t>
      </w:r>
      <w:r w:rsidRPr="00B0618E">
        <w:rPr>
          <w:color w:val="auto"/>
          <w:sz w:val="24"/>
        </w:rPr>
        <w:t xml:space="preserve"> (</w:t>
      </w:r>
      <w:r w:rsidR="00D4206D" w:rsidRPr="00B0618E">
        <w:rPr>
          <w:color w:val="auto"/>
          <w:sz w:val="24"/>
        </w:rPr>
        <w:t>3</w:t>
      </w:r>
      <w:r w:rsidRPr="00B0618E">
        <w:rPr>
          <w:color w:val="auto"/>
          <w:sz w:val="24"/>
        </w:rPr>
        <w:t>), a nominal drawdown value of two metres was selected</w:t>
      </w:r>
      <w:r w:rsidR="008C4B12">
        <w:rPr>
          <w:color w:val="auto"/>
          <w:sz w:val="24"/>
        </w:rPr>
        <w:t>,</w:t>
      </w:r>
      <w:r w:rsidRPr="00B0618E">
        <w:rPr>
          <w:color w:val="auto"/>
          <w:sz w:val="24"/>
        </w:rPr>
        <w:t xml:space="preserve"> </w:t>
      </w:r>
      <w:r w:rsidR="008C4B12">
        <w:rPr>
          <w:color w:val="auto"/>
          <w:sz w:val="24"/>
        </w:rPr>
        <w:t>which</w:t>
      </w:r>
      <w:r w:rsidRPr="00B0618E">
        <w:rPr>
          <w:color w:val="auto"/>
          <w:sz w:val="24"/>
        </w:rPr>
        <w:t xml:space="preserve"> is consistent with </w:t>
      </w:r>
      <w:r w:rsidR="003C63BE" w:rsidRPr="00B0618E">
        <w:rPr>
          <w:color w:val="auto"/>
          <w:sz w:val="24"/>
        </w:rPr>
        <w:t xml:space="preserve">trigger-level </w:t>
      </w:r>
      <w:r w:rsidRPr="00B0618E">
        <w:rPr>
          <w:color w:val="auto"/>
          <w:sz w:val="24"/>
        </w:rPr>
        <w:t>threshold</w:t>
      </w:r>
      <w:r w:rsidR="003C63BE" w:rsidRPr="00B0618E">
        <w:rPr>
          <w:color w:val="auto"/>
          <w:sz w:val="24"/>
        </w:rPr>
        <w:t>s</w:t>
      </w:r>
      <w:r w:rsidRPr="00B0618E">
        <w:rPr>
          <w:color w:val="auto"/>
          <w:sz w:val="24"/>
        </w:rPr>
        <w:t xml:space="preserve"> specified by the NSW Aquifer Interference Policy (</w:t>
      </w:r>
      <w:r w:rsidR="00AD2BD2" w:rsidRPr="00B0618E">
        <w:rPr>
          <w:color w:val="auto"/>
          <w:sz w:val="24"/>
        </w:rPr>
        <w:t xml:space="preserve">NSW DPI OW, </w:t>
      </w:r>
      <w:r w:rsidRPr="00B0618E">
        <w:rPr>
          <w:color w:val="auto"/>
          <w:sz w:val="24"/>
        </w:rPr>
        <w:t>2012)</w:t>
      </w:r>
      <w:r w:rsidR="003C63BE" w:rsidRPr="00B0618E">
        <w:rPr>
          <w:color w:val="auto"/>
          <w:sz w:val="24"/>
        </w:rPr>
        <w:t>. I</w:t>
      </w:r>
      <w:r w:rsidRPr="00B0618E">
        <w:rPr>
          <w:color w:val="auto"/>
          <w:sz w:val="24"/>
        </w:rPr>
        <w:t xml:space="preserve">n many cases, when drawdowns </w:t>
      </w:r>
      <w:r w:rsidR="003C63BE" w:rsidRPr="00B0618E">
        <w:rPr>
          <w:color w:val="auto"/>
          <w:sz w:val="24"/>
        </w:rPr>
        <w:t xml:space="preserve">induced by groundwater extraction </w:t>
      </w:r>
      <w:r w:rsidRPr="00B0618E">
        <w:rPr>
          <w:color w:val="auto"/>
          <w:sz w:val="24"/>
        </w:rPr>
        <w:t>exceed two metres</w:t>
      </w:r>
      <w:r w:rsidR="003C63BE" w:rsidRPr="00B0618E">
        <w:rPr>
          <w:color w:val="auto"/>
          <w:sz w:val="24"/>
        </w:rPr>
        <w:t xml:space="preserve">, “make-good” provisions </w:t>
      </w:r>
      <w:r w:rsidR="004C67BF">
        <w:rPr>
          <w:color w:val="auto"/>
          <w:sz w:val="24"/>
        </w:rPr>
        <w:t>are enacted</w:t>
      </w:r>
      <w:r w:rsidR="003C63BE" w:rsidRPr="00B0618E">
        <w:rPr>
          <w:color w:val="auto"/>
          <w:sz w:val="24"/>
        </w:rPr>
        <w:t>.</w:t>
      </w:r>
      <w:r w:rsidRPr="00B0618E">
        <w:rPr>
          <w:color w:val="auto"/>
          <w:sz w:val="24"/>
        </w:rPr>
        <w:t xml:space="preserve"> </w:t>
      </w:r>
      <w:r w:rsidR="005E18F7" w:rsidRPr="00B0618E">
        <w:rPr>
          <w:color w:val="auto"/>
          <w:sz w:val="24"/>
        </w:rPr>
        <w:t>The sensitivities of these</w:t>
      </w:r>
      <w:r w:rsidR="000F3FBD" w:rsidRPr="00B0618E">
        <w:rPr>
          <w:color w:val="auto"/>
          <w:sz w:val="24"/>
        </w:rPr>
        <w:t xml:space="preserve"> four</w:t>
      </w:r>
      <w:r w:rsidR="005E18F7" w:rsidRPr="00B0618E">
        <w:rPr>
          <w:color w:val="auto"/>
          <w:sz w:val="24"/>
        </w:rPr>
        <w:t xml:space="preserve"> </w:t>
      </w:r>
      <w:r w:rsidR="008C4B12">
        <w:rPr>
          <w:color w:val="auto"/>
          <w:sz w:val="24"/>
        </w:rPr>
        <w:t>predictions</w:t>
      </w:r>
      <w:r w:rsidR="00DB5810" w:rsidRPr="00B0618E">
        <w:rPr>
          <w:color w:val="auto"/>
          <w:sz w:val="24"/>
        </w:rPr>
        <w:t xml:space="preserve"> </w:t>
      </w:r>
      <w:r w:rsidR="005E18F7" w:rsidRPr="00B0618E">
        <w:rPr>
          <w:color w:val="auto"/>
          <w:sz w:val="24"/>
        </w:rPr>
        <w:t xml:space="preserve">to 30 model parameters were tested. These parameters included the horizontal </w:t>
      </w:r>
      <w:r w:rsidR="000F3FBD" w:rsidRPr="00B0618E">
        <w:rPr>
          <w:color w:val="auto"/>
          <w:sz w:val="24"/>
        </w:rPr>
        <w:t xml:space="preserve">and vertical </w:t>
      </w:r>
      <w:r w:rsidR="005E18F7" w:rsidRPr="00B0618E">
        <w:rPr>
          <w:color w:val="auto"/>
          <w:sz w:val="24"/>
        </w:rPr>
        <w:t xml:space="preserve">hydraulic conductivities </w:t>
      </w:r>
      <w:r w:rsidR="000F3FBD" w:rsidRPr="00B0618E">
        <w:rPr>
          <w:color w:val="auto"/>
          <w:sz w:val="24"/>
        </w:rPr>
        <w:t>(</w:t>
      </w:r>
      <w:r w:rsidR="000F3FBD" w:rsidRPr="00B0618E">
        <w:rPr>
          <w:i/>
          <w:color w:val="auto"/>
          <w:sz w:val="24"/>
        </w:rPr>
        <w:t>K</w:t>
      </w:r>
      <w:r w:rsidR="00890954" w:rsidRPr="00B0618E">
        <w:rPr>
          <w:i/>
          <w:color w:val="auto"/>
          <w:sz w:val="24"/>
          <w:vertAlign w:val="subscript"/>
        </w:rPr>
        <w:t>H</w:t>
      </w:r>
      <w:r w:rsidR="000F3FBD" w:rsidRPr="00B0618E">
        <w:rPr>
          <w:color w:val="auto"/>
          <w:sz w:val="24"/>
        </w:rPr>
        <w:t xml:space="preserve">, </w:t>
      </w:r>
      <w:r w:rsidR="00890954" w:rsidRPr="00B0618E">
        <w:rPr>
          <w:i/>
        </w:rPr>
        <w:t>K</w:t>
      </w:r>
      <w:r w:rsidR="00890954" w:rsidRPr="00B0618E">
        <w:rPr>
          <w:i/>
          <w:vertAlign w:val="subscript"/>
        </w:rPr>
        <w:t>V</w:t>
      </w:r>
      <w:r w:rsidR="000F3FBD" w:rsidRPr="00B0618E">
        <w:rPr>
          <w:color w:val="auto"/>
          <w:sz w:val="24"/>
        </w:rPr>
        <w:t xml:space="preserve">) </w:t>
      </w:r>
      <w:r w:rsidR="005E18F7" w:rsidRPr="00B0618E">
        <w:rPr>
          <w:color w:val="auto"/>
          <w:sz w:val="24"/>
        </w:rPr>
        <w:t xml:space="preserve">and specific storage coefficients </w:t>
      </w:r>
      <w:r w:rsidR="000F3FBD" w:rsidRPr="00B0618E">
        <w:rPr>
          <w:color w:val="auto"/>
          <w:sz w:val="24"/>
        </w:rPr>
        <w:t>(</w:t>
      </w:r>
      <w:r w:rsidR="000F3FBD" w:rsidRPr="00B0618E">
        <w:rPr>
          <w:i/>
          <w:color w:val="auto"/>
          <w:sz w:val="24"/>
        </w:rPr>
        <w:t>S</w:t>
      </w:r>
      <w:r w:rsidR="000F3FBD" w:rsidRPr="00B0618E">
        <w:rPr>
          <w:i/>
          <w:color w:val="auto"/>
          <w:sz w:val="24"/>
          <w:vertAlign w:val="subscript"/>
        </w:rPr>
        <w:t>s</w:t>
      </w:r>
      <w:r w:rsidR="000F3FBD" w:rsidRPr="00B0618E">
        <w:rPr>
          <w:color w:val="auto"/>
          <w:sz w:val="24"/>
        </w:rPr>
        <w:t xml:space="preserve">) </w:t>
      </w:r>
      <w:r w:rsidR="005E18F7" w:rsidRPr="00B0618E">
        <w:rPr>
          <w:color w:val="auto"/>
          <w:sz w:val="24"/>
        </w:rPr>
        <w:t>of the ten hydrostratigraphic units represented in the model</w:t>
      </w:r>
      <w:r w:rsidR="00DD6630" w:rsidRPr="00B0618E">
        <w:rPr>
          <w:color w:val="auto"/>
          <w:sz w:val="24"/>
        </w:rPr>
        <w:t xml:space="preserve"> (</w:t>
      </w:r>
      <w:r w:rsidR="00AD2BD2" w:rsidRPr="00B0618E">
        <w:rPr>
          <w:color w:val="auto"/>
          <w:sz w:val="24"/>
        </w:rPr>
        <w:fldChar w:fldCharType="begin"/>
      </w:r>
      <w:r w:rsidR="00AD2BD2" w:rsidRPr="00B0618E">
        <w:rPr>
          <w:color w:val="auto"/>
          <w:sz w:val="24"/>
        </w:rPr>
        <w:instrText xml:space="preserve"> REF _Ref468449300 \h </w:instrText>
      </w:r>
      <w:r w:rsidR="00B0618E">
        <w:rPr>
          <w:color w:val="auto"/>
          <w:sz w:val="24"/>
        </w:rPr>
        <w:instrText xml:space="preserve"> \* MERGEFORMAT </w:instrText>
      </w:r>
      <w:r w:rsidR="00AD2BD2" w:rsidRPr="00B0618E">
        <w:rPr>
          <w:color w:val="auto"/>
          <w:sz w:val="24"/>
        </w:rPr>
      </w:r>
      <w:r w:rsidR="00AD2BD2" w:rsidRPr="00B0618E">
        <w:rPr>
          <w:color w:val="auto"/>
          <w:sz w:val="24"/>
        </w:rPr>
        <w:fldChar w:fldCharType="separate"/>
      </w:r>
      <w:r w:rsidR="000B6FA5">
        <w:t xml:space="preserve">Table </w:t>
      </w:r>
      <w:r w:rsidR="000B6FA5">
        <w:rPr>
          <w:noProof/>
        </w:rPr>
        <w:t>2</w:t>
      </w:r>
      <w:r w:rsidR="000B6FA5">
        <w:rPr>
          <w:noProof/>
        </w:rPr>
        <w:noBreakHyphen/>
        <w:t>1</w:t>
      </w:r>
      <w:r w:rsidR="00AD2BD2" w:rsidRPr="00B0618E">
        <w:rPr>
          <w:color w:val="auto"/>
          <w:sz w:val="24"/>
        </w:rPr>
        <w:fldChar w:fldCharType="end"/>
      </w:r>
      <w:r w:rsidR="00DD6630" w:rsidRPr="00B0618E">
        <w:rPr>
          <w:color w:val="auto"/>
          <w:sz w:val="24"/>
        </w:rPr>
        <w:t>)</w:t>
      </w:r>
      <w:r w:rsidR="005E18F7" w:rsidRPr="00B0618E">
        <w:rPr>
          <w:color w:val="auto"/>
          <w:sz w:val="24"/>
        </w:rPr>
        <w:t xml:space="preserve">. For each parameter, the value specified by </w:t>
      </w:r>
      <w:r w:rsidR="00045A85">
        <w:rPr>
          <w:color w:val="auto"/>
          <w:sz w:val="24"/>
        </w:rPr>
        <w:t>CDM Smith (2016)</w:t>
      </w:r>
      <w:r w:rsidR="005E18F7" w:rsidRPr="00B0618E">
        <w:rPr>
          <w:color w:val="auto"/>
          <w:sz w:val="24"/>
        </w:rPr>
        <w:t xml:space="preserve"> was assumed to be the mean of a </w:t>
      </w:r>
      <w:r w:rsidR="00DB5810" w:rsidRPr="00B0618E">
        <w:rPr>
          <w:color w:val="auto"/>
          <w:sz w:val="24"/>
        </w:rPr>
        <w:t>log-</w:t>
      </w:r>
      <w:r w:rsidR="005E18F7" w:rsidRPr="00B0618E">
        <w:rPr>
          <w:color w:val="auto"/>
          <w:sz w:val="24"/>
        </w:rPr>
        <w:t>uniform distribution with upper and lower bounds specif</w:t>
      </w:r>
      <w:r w:rsidR="00DB5810" w:rsidRPr="00B0618E">
        <w:rPr>
          <w:color w:val="auto"/>
          <w:sz w:val="24"/>
        </w:rPr>
        <w:t>i</w:t>
      </w:r>
      <w:r w:rsidR="005E18F7" w:rsidRPr="00B0618E">
        <w:rPr>
          <w:color w:val="auto"/>
          <w:sz w:val="24"/>
        </w:rPr>
        <w:t>ed as the mean value ± one order of magnitude. Parameter values were sampled 300 times from these prior distributions and used as model inputs. The resulting set of 300 model outputs were used to characterise the initial uncertainty (i.e.</w:t>
      </w:r>
      <w:r w:rsidR="00343E98" w:rsidRPr="00B0618E">
        <w:rPr>
          <w:color w:val="auto"/>
          <w:sz w:val="24"/>
        </w:rPr>
        <w:t>,</w:t>
      </w:r>
      <w:r w:rsidR="005E18F7" w:rsidRPr="00B0618E">
        <w:rPr>
          <w:color w:val="auto"/>
          <w:sz w:val="24"/>
        </w:rPr>
        <w:t xml:space="preserve"> unconstrained by data) in the four </w:t>
      </w:r>
      <w:r w:rsidR="00DB5810" w:rsidRPr="00B0618E">
        <w:rPr>
          <w:color w:val="auto"/>
          <w:sz w:val="24"/>
        </w:rPr>
        <w:t xml:space="preserve">metrics </w:t>
      </w:r>
      <w:r w:rsidR="005E18F7" w:rsidRPr="00B0618E">
        <w:rPr>
          <w:color w:val="auto"/>
          <w:sz w:val="24"/>
        </w:rPr>
        <w:t>of interest.</w:t>
      </w:r>
      <w:r w:rsidR="000F3FBD" w:rsidRPr="00B0618E">
        <w:rPr>
          <w:color w:val="auto"/>
          <w:sz w:val="24"/>
        </w:rPr>
        <w:t xml:space="preserve"> Statistical tests were undertaken </w:t>
      </w:r>
      <w:r w:rsidR="00DD6630" w:rsidRPr="00B0618E">
        <w:rPr>
          <w:color w:val="auto"/>
          <w:sz w:val="24"/>
        </w:rPr>
        <w:t xml:space="preserve">to confirm that this sample size was sufficiently large to </w:t>
      </w:r>
      <w:r w:rsidR="00DD6630" w:rsidRPr="001446C7">
        <w:rPr>
          <w:rStyle w:val="BodyTextChar"/>
        </w:rPr>
        <w:t>capture the full range of parameter variability (see</w:t>
      </w:r>
      <w:r w:rsidR="0015055C" w:rsidRPr="001446C7">
        <w:rPr>
          <w:rStyle w:val="BodyTextChar"/>
        </w:rPr>
        <w:t xml:space="preserve"> </w:t>
      </w:r>
      <w:r w:rsidR="0015055C" w:rsidRPr="001446C7">
        <w:rPr>
          <w:rStyle w:val="BodyTextChar"/>
        </w:rPr>
        <w:fldChar w:fldCharType="begin"/>
      </w:r>
      <w:r w:rsidR="0015055C" w:rsidRPr="001446C7">
        <w:rPr>
          <w:rStyle w:val="BodyTextChar"/>
        </w:rPr>
        <w:instrText xml:space="preserve"> REF _Ref467659101 \h </w:instrText>
      </w:r>
      <w:r w:rsidR="00B0618E" w:rsidRPr="001446C7">
        <w:rPr>
          <w:rStyle w:val="BodyTextChar"/>
        </w:rPr>
        <w:instrText xml:space="preserve"> \* MERGEFORMAT </w:instrText>
      </w:r>
      <w:r w:rsidR="0015055C" w:rsidRPr="001446C7">
        <w:rPr>
          <w:rStyle w:val="BodyTextChar"/>
        </w:rPr>
      </w:r>
      <w:r w:rsidR="0015055C" w:rsidRPr="001446C7">
        <w:rPr>
          <w:rStyle w:val="BodyTextChar"/>
        </w:rPr>
        <w:fldChar w:fldCharType="separate"/>
      </w:r>
      <w:r w:rsidR="000B6FA5" w:rsidRPr="000B6FA5">
        <w:rPr>
          <w:rStyle w:val="BodyTextChar"/>
        </w:rPr>
        <w:t>Figure 3</w:t>
      </w:r>
      <w:r w:rsidR="000B6FA5" w:rsidRPr="000B6FA5">
        <w:rPr>
          <w:rStyle w:val="BodyTextChar"/>
        </w:rPr>
        <w:noBreakHyphen/>
        <w:t>2</w:t>
      </w:r>
      <w:r w:rsidR="0015055C" w:rsidRPr="001446C7">
        <w:rPr>
          <w:rStyle w:val="BodyTextChar"/>
        </w:rPr>
        <w:fldChar w:fldCharType="end"/>
      </w:r>
      <w:r w:rsidR="00DD6630" w:rsidRPr="001446C7">
        <w:rPr>
          <w:rStyle w:val="BodyTextChar"/>
        </w:rPr>
        <w:t xml:space="preserve"> and</w:t>
      </w:r>
      <w:r w:rsidR="0015055C" w:rsidRPr="001446C7">
        <w:rPr>
          <w:rStyle w:val="BodyTextChar"/>
        </w:rPr>
        <w:t xml:space="preserve"> </w:t>
      </w:r>
      <w:r w:rsidR="0015055C" w:rsidRPr="001446C7">
        <w:rPr>
          <w:rStyle w:val="BodyTextChar"/>
        </w:rPr>
        <w:fldChar w:fldCharType="begin"/>
      </w:r>
      <w:r w:rsidR="0015055C" w:rsidRPr="001446C7">
        <w:rPr>
          <w:rStyle w:val="BodyTextChar"/>
        </w:rPr>
        <w:instrText xml:space="preserve"> REF _Ref467680132 \h </w:instrText>
      </w:r>
      <w:r w:rsidR="00B0618E" w:rsidRPr="001446C7">
        <w:rPr>
          <w:rStyle w:val="BodyTextChar"/>
        </w:rPr>
        <w:instrText xml:space="preserve"> \* MERGEFORMAT </w:instrText>
      </w:r>
      <w:r w:rsidR="0015055C" w:rsidRPr="001446C7">
        <w:rPr>
          <w:rStyle w:val="BodyTextChar"/>
        </w:rPr>
      </w:r>
      <w:r w:rsidR="0015055C" w:rsidRPr="001446C7">
        <w:rPr>
          <w:rStyle w:val="BodyTextChar"/>
        </w:rPr>
        <w:fldChar w:fldCharType="separate"/>
      </w:r>
      <w:r w:rsidR="000B6FA5" w:rsidRPr="000B6FA5">
        <w:rPr>
          <w:rStyle w:val="BodyTextChar"/>
        </w:rPr>
        <w:t>Figure 5</w:t>
      </w:r>
      <w:r w:rsidR="000B6FA5" w:rsidRPr="000B6FA5">
        <w:rPr>
          <w:rStyle w:val="BodyTextChar"/>
        </w:rPr>
        <w:noBreakHyphen/>
        <w:t>2</w:t>
      </w:r>
      <w:r w:rsidR="0015055C" w:rsidRPr="001446C7">
        <w:rPr>
          <w:rStyle w:val="BodyTextChar"/>
        </w:rPr>
        <w:fldChar w:fldCharType="end"/>
      </w:r>
      <w:r w:rsidR="00DD6630" w:rsidRPr="001446C7">
        <w:rPr>
          <w:rStyle w:val="BodyTextChar"/>
        </w:rPr>
        <w:t>).</w:t>
      </w:r>
      <w:r w:rsidR="0056325F">
        <w:rPr>
          <w:rStyle w:val="BodyTextChar"/>
        </w:rPr>
        <w:t xml:space="preserve"> </w:t>
      </w:r>
      <w:r w:rsidR="001446C7">
        <w:rPr>
          <w:rStyle w:val="BodyTextChar"/>
        </w:rPr>
        <w:t>As mentioned before, i</w:t>
      </w:r>
      <w:r w:rsidR="0056325F">
        <w:rPr>
          <w:rStyle w:val="BodyTextChar"/>
        </w:rPr>
        <w:t xml:space="preserve">t should be noted that the approach presented differs from calibration-based approaches. The </w:t>
      </w:r>
      <w:r w:rsidR="00EE7AA9">
        <w:rPr>
          <w:rStyle w:val="BodyTextChar"/>
        </w:rPr>
        <w:t xml:space="preserve">approach involved quantification of the </w:t>
      </w:r>
      <w:r w:rsidR="0056325F">
        <w:rPr>
          <w:rStyle w:val="BodyTextChar"/>
        </w:rPr>
        <w:t xml:space="preserve">uncertainty of each of the four predictions was assessed by sampling from all possible parameter combinations, each of which were considered equally likely. </w:t>
      </w:r>
    </w:p>
    <w:p w14:paraId="2B68F018" w14:textId="49DE156E" w:rsidR="005E18F7" w:rsidRPr="00B0618E" w:rsidRDefault="005E18F7" w:rsidP="005E18F7">
      <w:pPr>
        <w:spacing w:before="120" w:line="264" w:lineRule="auto"/>
        <w:rPr>
          <w:color w:val="auto"/>
          <w:sz w:val="24"/>
        </w:rPr>
      </w:pPr>
      <w:r w:rsidRPr="00B0618E">
        <w:rPr>
          <w:color w:val="auto"/>
          <w:sz w:val="24"/>
        </w:rPr>
        <w:t>As described by Turnadge et al. (201</w:t>
      </w:r>
      <w:r w:rsidR="00D646E1">
        <w:rPr>
          <w:color w:val="auto"/>
          <w:sz w:val="24"/>
        </w:rPr>
        <w:t>8</w:t>
      </w:r>
      <w:r w:rsidR="009833F3">
        <w:rPr>
          <w:color w:val="auto"/>
          <w:sz w:val="24"/>
        </w:rPr>
        <w:t>b</w:t>
      </w:r>
      <w:r w:rsidRPr="00B0618E">
        <w:rPr>
          <w:color w:val="auto"/>
          <w:sz w:val="24"/>
        </w:rPr>
        <w:t xml:space="preserve">), the laboratory testing of aquitard core samples, in conjunction with the processing of wireline </w:t>
      </w:r>
      <w:r w:rsidR="00DD6630" w:rsidRPr="00B0618E">
        <w:rPr>
          <w:color w:val="auto"/>
          <w:sz w:val="24"/>
        </w:rPr>
        <w:t xml:space="preserve">log-derived </w:t>
      </w:r>
      <w:r w:rsidRPr="00B0618E">
        <w:rPr>
          <w:color w:val="auto"/>
          <w:sz w:val="24"/>
        </w:rPr>
        <w:t xml:space="preserve">porosity </w:t>
      </w:r>
      <w:r w:rsidR="00DD6630" w:rsidRPr="00B0618E">
        <w:rPr>
          <w:color w:val="auto"/>
          <w:sz w:val="24"/>
        </w:rPr>
        <w:t>profiles</w:t>
      </w:r>
      <w:r w:rsidRPr="00B0618E">
        <w:rPr>
          <w:color w:val="auto"/>
          <w:sz w:val="24"/>
        </w:rPr>
        <w:t xml:space="preserve"> from exploration drilling, w</w:t>
      </w:r>
      <w:r w:rsidR="008C4B12">
        <w:rPr>
          <w:color w:val="auto"/>
          <w:sz w:val="24"/>
        </w:rPr>
        <w:t>ere</w:t>
      </w:r>
      <w:r w:rsidRPr="00B0618E">
        <w:rPr>
          <w:color w:val="auto"/>
          <w:sz w:val="24"/>
        </w:rPr>
        <w:t xml:space="preserve"> used to generate revised prior </w:t>
      </w:r>
      <w:r w:rsidR="00DD6630" w:rsidRPr="00B0618E">
        <w:rPr>
          <w:i/>
          <w:color w:val="auto"/>
          <w:sz w:val="24"/>
        </w:rPr>
        <w:t>K</w:t>
      </w:r>
      <w:r w:rsidR="00053FC3">
        <w:rPr>
          <w:i/>
          <w:color w:val="auto"/>
          <w:sz w:val="24"/>
          <w:vertAlign w:val="subscript"/>
        </w:rPr>
        <w:t>V</w:t>
      </w:r>
      <w:r w:rsidR="00DD6630" w:rsidRPr="00B0618E">
        <w:rPr>
          <w:color w:val="auto"/>
          <w:sz w:val="24"/>
        </w:rPr>
        <w:t xml:space="preserve"> </w:t>
      </w:r>
      <w:r w:rsidRPr="00B0618E">
        <w:rPr>
          <w:color w:val="auto"/>
          <w:sz w:val="24"/>
        </w:rPr>
        <w:t xml:space="preserve">distributions for the two aquitard sequences represented in the </w:t>
      </w:r>
      <w:r w:rsidR="00045A85">
        <w:rPr>
          <w:color w:val="auto"/>
          <w:sz w:val="24"/>
        </w:rPr>
        <w:t>CDM Smith (2016)</w:t>
      </w:r>
      <w:r w:rsidRPr="00B0618E">
        <w:rPr>
          <w:color w:val="auto"/>
          <w:sz w:val="24"/>
        </w:rPr>
        <w:t xml:space="preserve"> groundwater flow model. These revised prior distributions were used as a basis for a second set of 300 model runs that provided revised estimates of the uncertainty of the four predictions of interest</w:t>
      </w:r>
      <w:r w:rsidR="00DD6630" w:rsidRPr="00B0618E">
        <w:rPr>
          <w:color w:val="auto"/>
          <w:sz w:val="24"/>
        </w:rPr>
        <w:t xml:space="preserve"> (Section 5)</w:t>
      </w:r>
      <w:r w:rsidRPr="00B0618E">
        <w:rPr>
          <w:color w:val="auto"/>
          <w:sz w:val="24"/>
        </w:rPr>
        <w:t>.</w:t>
      </w:r>
      <w:r w:rsidR="005C76E5" w:rsidRPr="00B0618E">
        <w:rPr>
          <w:color w:val="auto"/>
          <w:sz w:val="24"/>
        </w:rPr>
        <w:t xml:space="preserve"> </w:t>
      </w:r>
      <w:r w:rsidR="004C67BF">
        <w:rPr>
          <w:color w:val="auto"/>
          <w:sz w:val="24"/>
        </w:rPr>
        <w:t xml:space="preserve">As will be shown later (Section 4), at least the </w:t>
      </w:r>
      <w:r w:rsidR="004C67BF" w:rsidRPr="00B0618E">
        <w:rPr>
          <w:i/>
          <w:color w:val="auto"/>
          <w:sz w:val="24"/>
        </w:rPr>
        <w:t>K</w:t>
      </w:r>
      <w:r w:rsidR="004C67BF" w:rsidRPr="00B0618E">
        <w:rPr>
          <w:i/>
          <w:color w:val="auto"/>
          <w:sz w:val="24"/>
          <w:vertAlign w:val="subscript"/>
        </w:rPr>
        <w:t>V</w:t>
      </w:r>
      <w:r w:rsidR="004C67BF" w:rsidRPr="00B0618E">
        <w:rPr>
          <w:color w:val="auto"/>
          <w:sz w:val="24"/>
        </w:rPr>
        <w:t xml:space="preserve"> </w:t>
      </w:r>
      <w:r w:rsidR="004C67BF">
        <w:rPr>
          <w:color w:val="auto"/>
          <w:sz w:val="24"/>
        </w:rPr>
        <w:t>of the first aquitard sequence was identified in the sensitivity analysis to be a key parameter to which three out of four groundwater impact metrics were sensitive.</w:t>
      </w:r>
    </w:p>
    <w:p w14:paraId="13DB83D2" w14:textId="35FE281A" w:rsidR="002F289C" w:rsidRDefault="00ED0A58" w:rsidP="005E18F7">
      <w:pPr>
        <w:spacing w:before="120" w:line="264" w:lineRule="auto"/>
        <w:rPr>
          <w:color w:val="auto"/>
          <w:sz w:val="24"/>
        </w:rPr>
      </w:pPr>
      <w:r>
        <w:rPr>
          <w:color w:val="auto"/>
          <w:sz w:val="24"/>
        </w:rPr>
        <w:t xml:space="preserve">In </w:t>
      </w:r>
      <w:r w:rsidR="008C4B12">
        <w:rPr>
          <w:color w:val="auto"/>
          <w:sz w:val="24"/>
        </w:rPr>
        <w:t>a</w:t>
      </w:r>
      <w:r>
        <w:rPr>
          <w:color w:val="auto"/>
          <w:sz w:val="24"/>
        </w:rPr>
        <w:t xml:space="preserve"> subsequent</w:t>
      </w:r>
      <w:r w:rsidR="004C67BF">
        <w:rPr>
          <w:color w:val="auto"/>
          <w:sz w:val="24"/>
        </w:rPr>
        <w:t xml:space="preserve"> step of the uncertainty analysis</w:t>
      </w:r>
      <w:r w:rsidR="00C367C5" w:rsidRPr="00B0618E">
        <w:rPr>
          <w:color w:val="auto"/>
          <w:sz w:val="24"/>
        </w:rPr>
        <w:t>,</w:t>
      </w:r>
      <w:r w:rsidR="002F289C" w:rsidRPr="00B0618E">
        <w:rPr>
          <w:color w:val="auto"/>
          <w:sz w:val="24"/>
        </w:rPr>
        <w:t xml:space="preserve"> </w:t>
      </w:r>
      <w:r w:rsidR="00B00B86" w:rsidRPr="00B0618E">
        <w:rPr>
          <w:color w:val="auto"/>
          <w:sz w:val="24"/>
        </w:rPr>
        <w:t xml:space="preserve">upscaled values were </w:t>
      </w:r>
      <w:r w:rsidR="002F289C" w:rsidRPr="00B0618E">
        <w:rPr>
          <w:color w:val="auto"/>
          <w:sz w:val="24"/>
        </w:rPr>
        <w:t xml:space="preserve">used to </w:t>
      </w:r>
      <w:r w:rsidR="00B00B86" w:rsidRPr="00B0618E">
        <w:rPr>
          <w:color w:val="auto"/>
          <w:sz w:val="24"/>
        </w:rPr>
        <w:t xml:space="preserve">estimate the spatial </w:t>
      </w:r>
      <w:r w:rsidR="002F289C" w:rsidRPr="00B0618E">
        <w:rPr>
          <w:color w:val="auto"/>
          <w:sz w:val="24"/>
        </w:rPr>
        <w:t xml:space="preserve">structure </w:t>
      </w:r>
      <w:r w:rsidR="00B00B86" w:rsidRPr="00B0618E">
        <w:rPr>
          <w:color w:val="auto"/>
          <w:sz w:val="24"/>
        </w:rPr>
        <w:t xml:space="preserve">of aquitard </w:t>
      </w:r>
      <w:r w:rsidR="00B00B86" w:rsidRPr="00B0618E">
        <w:rPr>
          <w:i/>
          <w:color w:val="auto"/>
          <w:sz w:val="24"/>
        </w:rPr>
        <w:t>K</w:t>
      </w:r>
      <w:r w:rsidR="00B00B86" w:rsidRPr="00B0618E">
        <w:rPr>
          <w:i/>
          <w:color w:val="auto"/>
          <w:sz w:val="24"/>
          <w:vertAlign w:val="subscript"/>
        </w:rPr>
        <w:t>V</w:t>
      </w:r>
      <w:r w:rsidR="00B00B86" w:rsidRPr="00B0618E">
        <w:rPr>
          <w:color w:val="auto"/>
          <w:sz w:val="24"/>
        </w:rPr>
        <w:t xml:space="preserve"> for </w:t>
      </w:r>
      <w:r w:rsidR="008C4B12">
        <w:rPr>
          <w:color w:val="auto"/>
          <w:sz w:val="24"/>
        </w:rPr>
        <w:t>both</w:t>
      </w:r>
      <w:r w:rsidR="00B00B86" w:rsidRPr="00B0618E">
        <w:rPr>
          <w:color w:val="auto"/>
          <w:sz w:val="24"/>
        </w:rPr>
        <w:t xml:space="preserve"> aquitard sequence. This was achieved </w:t>
      </w:r>
      <w:r w:rsidR="002F289C" w:rsidRPr="00B0618E">
        <w:rPr>
          <w:color w:val="auto"/>
          <w:sz w:val="24"/>
        </w:rPr>
        <w:t xml:space="preserve">by </w:t>
      </w:r>
      <w:r w:rsidR="00B00B86" w:rsidRPr="00B0618E">
        <w:rPr>
          <w:color w:val="auto"/>
          <w:sz w:val="24"/>
        </w:rPr>
        <w:t xml:space="preserve">estimating </w:t>
      </w:r>
      <w:r w:rsidR="002F289C" w:rsidRPr="00B0618E">
        <w:rPr>
          <w:color w:val="auto"/>
          <w:sz w:val="24"/>
        </w:rPr>
        <w:t>semi-variogram</w:t>
      </w:r>
      <w:r w:rsidR="00B00B86" w:rsidRPr="00B0618E">
        <w:rPr>
          <w:color w:val="auto"/>
          <w:sz w:val="24"/>
        </w:rPr>
        <w:t xml:space="preserve"> models</w:t>
      </w:r>
      <w:r w:rsidR="002F289C" w:rsidRPr="00B0618E">
        <w:rPr>
          <w:color w:val="auto"/>
          <w:sz w:val="24"/>
        </w:rPr>
        <w:t xml:space="preserve"> </w:t>
      </w:r>
      <w:r w:rsidR="00B00B86" w:rsidRPr="00B0618E">
        <w:rPr>
          <w:color w:val="auto"/>
          <w:sz w:val="24"/>
        </w:rPr>
        <w:t xml:space="preserve">which were </w:t>
      </w:r>
      <w:r w:rsidR="002F289C" w:rsidRPr="00B0618E">
        <w:rPr>
          <w:color w:val="auto"/>
          <w:sz w:val="24"/>
        </w:rPr>
        <w:t xml:space="preserve">subsequently </w:t>
      </w:r>
      <w:r w:rsidR="00B00B86" w:rsidRPr="00B0618E">
        <w:rPr>
          <w:color w:val="auto"/>
          <w:sz w:val="24"/>
        </w:rPr>
        <w:t xml:space="preserve">used </w:t>
      </w:r>
      <w:r w:rsidR="002F289C" w:rsidRPr="00B0618E">
        <w:rPr>
          <w:color w:val="auto"/>
          <w:sz w:val="24"/>
        </w:rPr>
        <w:t>to generate 50 stochastic random fields</w:t>
      </w:r>
      <w:r w:rsidR="00B00B86" w:rsidRPr="00B0618E">
        <w:rPr>
          <w:color w:val="auto"/>
          <w:sz w:val="24"/>
        </w:rPr>
        <w:t xml:space="preserve">. </w:t>
      </w:r>
      <w:r w:rsidR="0056325F">
        <w:rPr>
          <w:color w:val="auto"/>
          <w:sz w:val="24"/>
        </w:rPr>
        <w:t xml:space="preserve">An upper limit of 50 realisations was selected due to time limitations, as each model run typically required between 20 and 60 minutes to complete. </w:t>
      </w:r>
      <w:r w:rsidR="00B00B86" w:rsidRPr="00B0618E">
        <w:rPr>
          <w:color w:val="auto"/>
          <w:sz w:val="24"/>
        </w:rPr>
        <w:t xml:space="preserve">All realisations were considered to be equally-likely spatial distributions of heterogeneous aquitard </w:t>
      </w:r>
      <w:r w:rsidR="00B00B86" w:rsidRPr="00B0618E">
        <w:rPr>
          <w:i/>
          <w:color w:val="auto"/>
          <w:sz w:val="24"/>
        </w:rPr>
        <w:t>K</w:t>
      </w:r>
      <w:r w:rsidR="00B00B86" w:rsidRPr="00B0618E">
        <w:rPr>
          <w:i/>
          <w:color w:val="auto"/>
          <w:sz w:val="24"/>
          <w:vertAlign w:val="subscript"/>
        </w:rPr>
        <w:t>V</w:t>
      </w:r>
      <w:r w:rsidR="00B00B86" w:rsidRPr="00B0618E">
        <w:rPr>
          <w:color w:val="auto"/>
          <w:sz w:val="24"/>
        </w:rPr>
        <w:t xml:space="preserve"> values</w:t>
      </w:r>
      <w:r w:rsidR="002F289C" w:rsidRPr="00B0618E">
        <w:rPr>
          <w:color w:val="auto"/>
          <w:sz w:val="24"/>
        </w:rPr>
        <w:t xml:space="preserve">. </w:t>
      </w:r>
      <w:r w:rsidR="00B00B86" w:rsidRPr="00B0618E">
        <w:rPr>
          <w:color w:val="auto"/>
          <w:sz w:val="24"/>
        </w:rPr>
        <w:t xml:space="preserve">Predictions generated using this alternative </w:t>
      </w:r>
      <w:r w:rsidR="002F289C" w:rsidRPr="00B0618E">
        <w:rPr>
          <w:color w:val="auto"/>
          <w:sz w:val="24"/>
        </w:rPr>
        <w:t xml:space="preserve">conceptualisation </w:t>
      </w:r>
      <w:r w:rsidR="00B00B86" w:rsidRPr="00B0618E">
        <w:rPr>
          <w:color w:val="auto"/>
          <w:sz w:val="24"/>
        </w:rPr>
        <w:t xml:space="preserve">were </w:t>
      </w:r>
      <w:r w:rsidR="002F289C" w:rsidRPr="00B0618E">
        <w:rPr>
          <w:color w:val="auto"/>
          <w:sz w:val="24"/>
        </w:rPr>
        <w:t xml:space="preserve">compared </w:t>
      </w:r>
      <w:r w:rsidR="004C67BF">
        <w:rPr>
          <w:color w:val="auto"/>
          <w:sz w:val="24"/>
        </w:rPr>
        <w:t xml:space="preserve">to </w:t>
      </w:r>
      <w:r w:rsidR="00B00B86" w:rsidRPr="00B0618E">
        <w:rPr>
          <w:color w:val="auto"/>
          <w:sz w:val="24"/>
        </w:rPr>
        <w:t xml:space="preserve">those generated using </w:t>
      </w:r>
      <w:r w:rsidR="002F289C" w:rsidRPr="00B0618E">
        <w:rPr>
          <w:color w:val="auto"/>
          <w:sz w:val="24"/>
        </w:rPr>
        <w:t xml:space="preserve">the </w:t>
      </w:r>
      <w:r w:rsidR="008C4B12">
        <w:rPr>
          <w:color w:val="auto"/>
          <w:sz w:val="24"/>
        </w:rPr>
        <w:t xml:space="preserve">spatially </w:t>
      </w:r>
      <w:r w:rsidR="002F289C" w:rsidRPr="00B0618E">
        <w:rPr>
          <w:color w:val="auto"/>
          <w:sz w:val="24"/>
        </w:rPr>
        <w:t xml:space="preserve">uniform </w:t>
      </w:r>
      <w:r w:rsidR="008C4B12">
        <w:rPr>
          <w:color w:val="auto"/>
          <w:sz w:val="24"/>
        </w:rPr>
        <w:t>parameterisation</w:t>
      </w:r>
      <w:r w:rsidR="00B00B86" w:rsidRPr="00B0618E">
        <w:rPr>
          <w:color w:val="auto"/>
          <w:sz w:val="24"/>
        </w:rPr>
        <w:t xml:space="preserve"> </w:t>
      </w:r>
      <w:r w:rsidR="002F289C" w:rsidRPr="00B0618E">
        <w:rPr>
          <w:color w:val="auto"/>
          <w:sz w:val="24"/>
        </w:rPr>
        <w:t>used in step</w:t>
      </w:r>
      <w:r w:rsidR="00B00B86" w:rsidRPr="00B0618E">
        <w:rPr>
          <w:color w:val="auto"/>
          <w:sz w:val="24"/>
        </w:rPr>
        <w:t>s</w:t>
      </w:r>
      <w:r w:rsidR="002F289C" w:rsidRPr="00B0618E">
        <w:rPr>
          <w:color w:val="auto"/>
          <w:sz w:val="24"/>
        </w:rPr>
        <w:t xml:space="preserve"> 1 and 2.</w:t>
      </w:r>
    </w:p>
    <w:p w14:paraId="5A733962" w14:textId="40E011D6" w:rsidR="00683D8F" w:rsidRPr="00B0618E" w:rsidRDefault="00683D8F" w:rsidP="00681259">
      <w:pPr>
        <w:pStyle w:val="BodyText"/>
        <w:rPr>
          <w:color w:val="auto"/>
        </w:rPr>
      </w:pPr>
      <w:r w:rsidRPr="0054576A">
        <w:t xml:space="preserve">The </w:t>
      </w:r>
      <w:r w:rsidR="0054576A">
        <w:t>adopted workflow involves</w:t>
      </w:r>
      <w:r w:rsidRPr="0054576A">
        <w:t xml:space="preserve"> high-resolution computational</w:t>
      </w:r>
      <w:r w:rsidR="0054576A">
        <w:t xml:space="preserve"> </w:t>
      </w:r>
      <w:r w:rsidRPr="0054576A">
        <w:t>Monte Carlo simulation</w:t>
      </w:r>
      <w:r w:rsidR="0054576A">
        <w:t>s</w:t>
      </w:r>
      <w:r w:rsidRPr="0054576A">
        <w:t xml:space="preserve"> that produce a</w:t>
      </w:r>
      <w:r w:rsidR="0054576A" w:rsidRPr="0054576A">
        <w:t xml:space="preserve"> </w:t>
      </w:r>
      <w:r w:rsidRPr="0054576A">
        <w:t xml:space="preserve">large number </w:t>
      </w:r>
      <w:r w:rsidR="0054576A">
        <w:t xml:space="preserve">(i.e., 300 for the spatially uniform model and 50 for the heterogeneous model) </w:t>
      </w:r>
      <w:r w:rsidRPr="0054576A">
        <w:t>of equally likely results. These</w:t>
      </w:r>
      <w:r w:rsidR="0054576A">
        <w:t xml:space="preserve"> </w:t>
      </w:r>
      <w:r w:rsidRPr="0054576A">
        <w:t>non</w:t>
      </w:r>
      <w:r w:rsidR="0054576A">
        <w:t>-u</w:t>
      </w:r>
      <w:r w:rsidRPr="0054576A">
        <w:t>nique results are summarized in terms</w:t>
      </w:r>
      <w:r w:rsidR="0054576A" w:rsidRPr="0054576A">
        <w:t xml:space="preserve"> </w:t>
      </w:r>
      <w:r w:rsidRPr="0054576A">
        <w:t>of sta</w:t>
      </w:r>
      <w:r w:rsidR="0054576A">
        <w:t xml:space="preserve">tistically averaged quantities and </w:t>
      </w:r>
      <w:r w:rsidRPr="0054576A">
        <w:t>sample</w:t>
      </w:r>
      <w:r w:rsidR="0054576A">
        <w:t xml:space="preserve"> </w:t>
      </w:r>
      <w:r w:rsidRPr="0054576A">
        <w:t xml:space="preserve">probability distributions. </w:t>
      </w:r>
      <w:r w:rsidR="0054576A">
        <w:t>A further advantage of the 50 stochastic random fields is that their r</w:t>
      </w:r>
      <w:r w:rsidRPr="0054576A">
        <w:t xml:space="preserve">esults </w:t>
      </w:r>
      <w:r w:rsidR="0054576A" w:rsidRPr="0054576A">
        <w:t xml:space="preserve">honour </w:t>
      </w:r>
      <w:r w:rsidRPr="0054576A">
        <w:t xml:space="preserve">measured values of </w:t>
      </w:r>
      <w:r w:rsidR="0054576A">
        <w:t>aquitard</w:t>
      </w:r>
      <w:r w:rsidRPr="0054576A">
        <w:t xml:space="preserve"> properties </w:t>
      </w:r>
      <w:r w:rsidR="0054576A">
        <w:t>(</w:t>
      </w:r>
      <w:r w:rsidR="0054576A" w:rsidRPr="00681259">
        <w:rPr>
          <w:i/>
        </w:rPr>
        <w:t>K</w:t>
      </w:r>
      <w:r w:rsidR="0054576A" w:rsidRPr="00681259">
        <w:rPr>
          <w:vertAlign w:val="subscript"/>
        </w:rPr>
        <w:t>V</w:t>
      </w:r>
      <w:r w:rsidR="0054576A">
        <w:t>)</w:t>
      </w:r>
      <w:r w:rsidR="0034738C">
        <w:t>, i.e. they</w:t>
      </w:r>
      <w:r w:rsidR="0054576A">
        <w:t xml:space="preserve"> </w:t>
      </w:r>
      <w:r w:rsidRPr="0054576A">
        <w:t>are</w:t>
      </w:r>
      <w:r w:rsidR="0054576A">
        <w:t xml:space="preserve"> </w:t>
      </w:r>
      <w:r w:rsidRPr="0054576A">
        <w:t xml:space="preserve">said to be conditioned on </w:t>
      </w:r>
      <w:r w:rsidR="0034738C">
        <w:t>observed</w:t>
      </w:r>
      <w:r w:rsidRPr="0054576A">
        <w:t xml:space="preserve"> data. </w:t>
      </w:r>
      <w:r w:rsidR="0034738C">
        <w:t xml:space="preserve">An important improvement of conditioned over unconditioned simulations is that </w:t>
      </w:r>
      <w:r w:rsidRPr="0054576A">
        <w:t>one obtains</w:t>
      </w:r>
      <w:r w:rsidR="0054576A" w:rsidRPr="0054576A">
        <w:t xml:space="preserve"> </w:t>
      </w:r>
      <w:r w:rsidRPr="0054576A">
        <w:t>(among others) conditional mean flow variables that constitute optimum</w:t>
      </w:r>
      <w:r w:rsidR="0054576A" w:rsidRPr="0054576A">
        <w:t xml:space="preserve"> </w:t>
      </w:r>
      <w:r w:rsidRPr="0054576A">
        <w:t>unbiased predictors of these unknown</w:t>
      </w:r>
      <w:r w:rsidR="0054576A">
        <w:t xml:space="preserve"> </w:t>
      </w:r>
      <w:r w:rsidRPr="0054576A">
        <w:t>random quantities</w:t>
      </w:r>
      <w:r w:rsidR="0034738C">
        <w:t xml:space="preserve"> (Neuman and Wierenga, 2003)</w:t>
      </w:r>
      <w:r w:rsidRPr="0054576A">
        <w:t xml:space="preserve">. </w:t>
      </w:r>
    </w:p>
    <w:p w14:paraId="529B23BB" w14:textId="0E5F8776" w:rsidR="004C67BF" w:rsidRPr="00B0618E" w:rsidRDefault="008C4B12" w:rsidP="004C67BF">
      <w:pPr>
        <w:pStyle w:val="BodyText"/>
      </w:pPr>
      <w:r>
        <w:rPr>
          <w:color w:val="auto"/>
        </w:rPr>
        <w:t>In</w:t>
      </w:r>
      <w:r w:rsidR="00055C1C">
        <w:rPr>
          <w:color w:val="auto"/>
        </w:rPr>
        <w:t xml:space="preserve"> a</w:t>
      </w:r>
      <w:r w:rsidR="004C67BF" w:rsidRPr="004C67BF">
        <w:rPr>
          <w:color w:val="auto"/>
        </w:rPr>
        <w:t xml:space="preserve"> </w:t>
      </w:r>
      <w:r w:rsidR="00055C1C">
        <w:rPr>
          <w:color w:val="auto"/>
        </w:rPr>
        <w:t xml:space="preserve">final </w:t>
      </w:r>
      <w:r>
        <w:rPr>
          <w:color w:val="auto"/>
        </w:rPr>
        <w:t>step,</w:t>
      </w:r>
      <w:r w:rsidR="00055C1C">
        <w:rPr>
          <w:color w:val="auto"/>
        </w:rPr>
        <w:t xml:space="preserve"> the </w:t>
      </w:r>
      <w:r w:rsidR="004C67BF" w:rsidRPr="00B0618E">
        <w:t>robust</w:t>
      </w:r>
      <w:r w:rsidR="00055C1C">
        <w:t>ness of</w:t>
      </w:r>
      <w:r w:rsidR="004C67BF" w:rsidRPr="00B0618E">
        <w:t xml:space="preserve"> the summary statistics (the percentiles) of the predictions are</w:t>
      </w:r>
      <w:r w:rsidR="004C67BF">
        <w:t xml:space="preserve"> </w:t>
      </w:r>
      <w:r w:rsidR="00055C1C">
        <w:t xml:space="preserve">evaluated in a simplified </w:t>
      </w:r>
      <w:r w:rsidR="004C67BF" w:rsidRPr="00B0618E">
        <w:t xml:space="preserve">data worth analysis </w:t>
      </w:r>
      <w:r w:rsidR="00055C1C">
        <w:t xml:space="preserve">using </w:t>
      </w:r>
      <w:r>
        <w:t>a</w:t>
      </w:r>
      <w:r w:rsidR="004C67BF" w:rsidRPr="00B0618E">
        <w:t xml:space="preserve"> bootstrap resampling methodology. The bootstrap resampling approach is a non-parametric </w:t>
      </w:r>
      <w:r>
        <w:t>method</w:t>
      </w:r>
      <w:r w:rsidR="004C67BF" w:rsidRPr="00B0618E">
        <w:t xml:space="preserve"> of calculating prediction confidence intervals and parameter uncertainty</w:t>
      </w:r>
      <w:r w:rsidR="00055C1C">
        <w:t>.</w:t>
      </w:r>
      <w:r w:rsidR="004C67BF">
        <w:t xml:space="preserve"> </w:t>
      </w:r>
      <w:r w:rsidR="004C67BF" w:rsidRPr="00B0618E">
        <w:t xml:space="preserve">If the uncertainty is high, the summary statistic is prone to change due to omission or inclusion of </w:t>
      </w:r>
      <w:r w:rsidR="00055C1C">
        <w:t xml:space="preserve">only </w:t>
      </w:r>
      <w:r w:rsidR="004C67BF" w:rsidRPr="00B0618E">
        <w:t>a few data points. The summary statistic can then not be considered robust and the data density is insufficient to characterise the parameter distribution according to an acceptable degree of uncertainty.</w:t>
      </w:r>
      <w:r w:rsidR="00055C1C">
        <w:t xml:space="preserve"> </w:t>
      </w:r>
    </w:p>
    <w:p w14:paraId="7FD876E7" w14:textId="01DC6A20" w:rsidR="00CE24B7" w:rsidRPr="00B0618E" w:rsidRDefault="00045A85" w:rsidP="00CE24B7">
      <w:pPr>
        <w:pStyle w:val="Heading1"/>
      </w:pPr>
      <w:bookmarkStart w:id="22" w:name="_Toc483127561"/>
      <w:r>
        <w:t>CDM Smith (2016)</w:t>
      </w:r>
      <w:r w:rsidR="006C4238" w:rsidRPr="00B0618E">
        <w:t xml:space="preserve"> </w:t>
      </w:r>
      <w:r w:rsidR="00CE24B7" w:rsidRPr="00B0618E">
        <w:t xml:space="preserve">Gunnedah </w:t>
      </w:r>
      <w:r w:rsidR="008C4B12">
        <w:t>and Surat b</w:t>
      </w:r>
      <w:r w:rsidR="00CE24B7" w:rsidRPr="00B0618E">
        <w:t>asin</w:t>
      </w:r>
      <w:r w:rsidR="008C4B12">
        <w:t>s</w:t>
      </w:r>
      <w:r w:rsidR="00CE24B7" w:rsidRPr="00B0618E">
        <w:t xml:space="preserve"> groundwater flow model</w:t>
      </w:r>
      <w:bookmarkEnd w:id="22"/>
    </w:p>
    <w:p w14:paraId="2E5671EE" w14:textId="77777777" w:rsidR="00882D65" w:rsidRPr="00B0618E" w:rsidRDefault="00882D65" w:rsidP="00882D65">
      <w:pPr>
        <w:pStyle w:val="Heading2"/>
      </w:pPr>
      <w:bookmarkStart w:id="23" w:name="_Toc483127562"/>
      <w:r w:rsidRPr="00B0618E">
        <w:t>Geographic context</w:t>
      </w:r>
      <w:bookmarkEnd w:id="23"/>
    </w:p>
    <w:p w14:paraId="455D9499" w14:textId="37AC0B88" w:rsidR="00C1243E" w:rsidRDefault="00C1243E" w:rsidP="00882D65">
      <w:pPr>
        <w:pStyle w:val="BodyText"/>
        <w:rPr>
          <w:color w:val="auto"/>
        </w:rPr>
      </w:pPr>
      <w:r w:rsidRPr="00B0618E">
        <w:rPr>
          <w:color w:val="auto"/>
        </w:rPr>
        <w:t xml:space="preserve">The Gunnedah geological basin is located </w:t>
      </w:r>
      <w:r w:rsidR="00535CCC" w:rsidRPr="00B0618E">
        <w:rPr>
          <w:color w:val="auto"/>
        </w:rPr>
        <w:t>approximately 230</w:t>
      </w:r>
      <w:r w:rsidRPr="00B0618E">
        <w:rPr>
          <w:color w:val="auto"/>
        </w:rPr>
        <w:t xml:space="preserve"> </w:t>
      </w:r>
      <w:r w:rsidR="00535CCC" w:rsidRPr="00B0618E">
        <w:rPr>
          <w:color w:val="auto"/>
        </w:rPr>
        <w:t xml:space="preserve">km </w:t>
      </w:r>
      <w:r w:rsidRPr="00B0618E">
        <w:rPr>
          <w:color w:val="auto"/>
        </w:rPr>
        <w:t xml:space="preserve">north west of Sydney and </w:t>
      </w:r>
      <w:r w:rsidR="00535CCC" w:rsidRPr="00B0618E">
        <w:rPr>
          <w:color w:val="auto"/>
        </w:rPr>
        <w:t>encompasses an area of approximately 15 000 km</w:t>
      </w:r>
      <w:r w:rsidR="00343E98" w:rsidRPr="00B0618E">
        <w:rPr>
          <w:color w:val="auto"/>
          <w:vertAlign w:val="superscript"/>
        </w:rPr>
        <w:t>2</w:t>
      </w:r>
      <w:r w:rsidR="00535CCC" w:rsidRPr="00B0618E">
        <w:rPr>
          <w:color w:val="auto"/>
        </w:rPr>
        <w:t>. The Gunnedah Basin unde</w:t>
      </w:r>
      <w:r w:rsidR="00180D18" w:rsidRPr="00B0618E">
        <w:rPr>
          <w:color w:val="auto"/>
        </w:rPr>
        <w:t>r</w:t>
      </w:r>
      <w:r w:rsidR="00535CCC" w:rsidRPr="00B0618E">
        <w:rPr>
          <w:color w:val="auto"/>
        </w:rPr>
        <w:t xml:space="preserve">lies much of </w:t>
      </w:r>
      <w:r w:rsidR="00180D18" w:rsidRPr="00B0618E">
        <w:rPr>
          <w:color w:val="auto"/>
        </w:rPr>
        <w:t>t</w:t>
      </w:r>
      <w:r w:rsidR="00535CCC" w:rsidRPr="00B0618E">
        <w:rPr>
          <w:color w:val="auto"/>
        </w:rPr>
        <w:t>he Liverpool Plains area which includes the municipalities of Dubbo, Narrabri and Gunnedah.</w:t>
      </w:r>
      <w:r w:rsidR="00615A49">
        <w:rPr>
          <w:color w:val="auto"/>
        </w:rPr>
        <w:t xml:space="preserve"> The study area is </w:t>
      </w:r>
      <w:r w:rsidR="008C4B12">
        <w:rPr>
          <w:color w:val="auto"/>
        </w:rPr>
        <w:t xml:space="preserve">located </w:t>
      </w:r>
      <w:r w:rsidR="00615A49">
        <w:rPr>
          <w:color w:val="auto"/>
        </w:rPr>
        <w:t>west of the line connecting the towns of Narrabri and Gunnedah (</w:t>
      </w:r>
      <w:r w:rsidR="00615A49">
        <w:rPr>
          <w:color w:val="auto"/>
        </w:rPr>
        <w:fldChar w:fldCharType="begin"/>
      </w:r>
      <w:r w:rsidR="00615A49">
        <w:rPr>
          <w:color w:val="auto"/>
        </w:rPr>
        <w:instrText xml:space="preserve"> REF _Ref479504351 \h </w:instrText>
      </w:r>
      <w:r w:rsidR="00615A49">
        <w:rPr>
          <w:color w:val="auto"/>
        </w:rPr>
      </w:r>
      <w:r w:rsidR="00615A49">
        <w:rPr>
          <w:color w:val="auto"/>
        </w:rPr>
        <w:fldChar w:fldCharType="separate"/>
      </w:r>
      <w:r w:rsidR="000B6FA5">
        <w:t xml:space="preserve">Figure </w:t>
      </w:r>
      <w:r w:rsidR="000B6FA5">
        <w:rPr>
          <w:noProof/>
        </w:rPr>
        <w:t>2</w:t>
      </w:r>
      <w:r w:rsidR="000B6FA5">
        <w:noBreakHyphen/>
      </w:r>
      <w:r w:rsidR="000B6FA5">
        <w:rPr>
          <w:noProof/>
        </w:rPr>
        <w:t>1</w:t>
      </w:r>
      <w:r w:rsidR="00615A49">
        <w:rPr>
          <w:color w:val="auto"/>
        </w:rPr>
        <w:fldChar w:fldCharType="end"/>
      </w:r>
      <w:r w:rsidR="00615A49">
        <w:rPr>
          <w:color w:val="auto"/>
        </w:rPr>
        <w:t xml:space="preserve">). </w:t>
      </w:r>
    </w:p>
    <w:p w14:paraId="7BD61D35" w14:textId="04B14DED" w:rsidR="00FC5FFF" w:rsidRDefault="00441F8C" w:rsidP="00FC5FFF">
      <w:pPr>
        <w:pStyle w:val="BodyText"/>
        <w:jc w:val="center"/>
        <w:rPr>
          <w:color w:val="auto"/>
        </w:rPr>
      </w:pPr>
      <w:r w:rsidRPr="00441F8C">
        <w:rPr>
          <w:noProof/>
        </w:rPr>
        <w:drawing>
          <wp:inline distT="0" distB="0" distL="0" distR="0" wp14:anchorId="420F73D1" wp14:editId="15846560">
            <wp:extent cx="5364308" cy="5619750"/>
            <wp:effectExtent l="0" t="0" r="8255" b="0"/>
            <wp:docPr id="81" name="Picture 81" descr="Diagram of the spatial extent of the study area" title="Fig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66974" cy="5622543"/>
                    </a:xfrm>
                    <a:prstGeom prst="rect">
                      <a:avLst/>
                    </a:prstGeom>
                    <a:noFill/>
                    <a:ln>
                      <a:noFill/>
                    </a:ln>
                  </pic:spPr>
                </pic:pic>
              </a:graphicData>
            </a:graphic>
          </wp:inline>
        </w:drawing>
      </w:r>
    </w:p>
    <w:p w14:paraId="17D58724" w14:textId="53B02093" w:rsidR="00CF4813" w:rsidRPr="00CF4813" w:rsidRDefault="00FC5FFF" w:rsidP="00CF4813">
      <w:pPr>
        <w:pStyle w:val="Caption"/>
      </w:pPr>
      <w:bookmarkStart w:id="24" w:name="_Ref479504351"/>
      <w:bookmarkStart w:id="25" w:name="_Toc482034900"/>
      <w:r>
        <w:t xml:space="preserve">Figure </w:t>
      </w:r>
      <w:r w:rsidR="00A2085C">
        <w:fldChar w:fldCharType="begin"/>
      </w:r>
      <w:r w:rsidR="00A2085C">
        <w:instrText xml:space="preserve"> STYLEREF 1 \s </w:instrText>
      </w:r>
      <w:r w:rsidR="00A2085C">
        <w:fldChar w:fldCharType="separate"/>
      </w:r>
      <w:r w:rsidR="000B6FA5">
        <w:rPr>
          <w:noProof/>
        </w:rPr>
        <w:t>2</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w:t>
      </w:r>
      <w:r w:rsidR="00A2085C">
        <w:rPr>
          <w:noProof/>
        </w:rPr>
        <w:fldChar w:fldCharType="end"/>
      </w:r>
      <w:bookmarkEnd w:id="24"/>
      <w:r>
        <w:t xml:space="preserve"> </w:t>
      </w:r>
      <w:r w:rsidR="00540203">
        <w:t xml:space="preserve">Spatial extent </w:t>
      </w:r>
      <w:r>
        <w:t xml:space="preserve">of Gunnedah </w:t>
      </w:r>
      <w:r w:rsidR="00540203">
        <w:t>geological b</w:t>
      </w:r>
      <w:r>
        <w:t>asin (NSW) and numerical grid of groundwater flow model.</w:t>
      </w:r>
      <w:bookmarkEnd w:id="25"/>
      <w:r w:rsidR="00CF4813">
        <w:t xml:space="preserve"> </w:t>
      </w:r>
      <w:r w:rsidR="00CF4813" w:rsidRPr="00CF4813">
        <w:t>The highlighted row (</w:t>
      </w:r>
      <w:r w:rsidR="00CF4813">
        <w:t>A-A’) and column (B-B’</w:t>
      </w:r>
      <w:r w:rsidR="00CF4813" w:rsidRPr="00CF4813">
        <w:t>) was used to display the hydrostratigraphic cross‐section.</w:t>
      </w:r>
    </w:p>
    <w:p w14:paraId="63E3FFDC" w14:textId="77777777" w:rsidR="00615A49" w:rsidRPr="00615A49" w:rsidRDefault="00615A49" w:rsidP="00615A49">
      <w:pPr>
        <w:pStyle w:val="BodyText"/>
      </w:pPr>
    </w:p>
    <w:p w14:paraId="321A82F5" w14:textId="77777777" w:rsidR="00882D65" w:rsidRPr="00B0618E" w:rsidRDefault="00882D65" w:rsidP="00882D65">
      <w:pPr>
        <w:pStyle w:val="Heading2"/>
      </w:pPr>
      <w:bookmarkStart w:id="26" w:name="_Toc483127563"/>
      <w:r w:rsidRPr="00B0618E">
        <w:t>Geology</w:t>
      </w:r>
      <w:bookmarkEnd w:id="26"/>
    </w:p>
    <w:p w14:paraId="3E1EAE85" w14:textId="64EFADA5" w:rsidR="00C1243E" w:rsidRPr="00B0618E" w:rsidRDefault="00C1243E" w:rsidP="00921DC2">
      <w:pPr>
        <w:pStyle w:val="BodyText"/>
      </w:pPr>
      <w:r w:rsidRPr="00B0618E">
        <w:t>The Permian</w:t>
      </w:r>
      <w:r w:rsidR="008C4B12">
        <w:t>-</w:t>
      </w:r>
      <w:r w:rsidRPr="00B0618E">
        <w:t xml:space="preserve">age Gunnedah </w:t>
      </w:r>
      <w:r w:rsidR="008C4B12">
        <w:t>geological b</w:t>
      </w:r>
      <w:r w:rsidRPr="00B0618E">
        <w:t xml:space="preserve">asin represents the central portion of the Sydney-Gunnedah-Bowen Basin. A narrow foreland basin, it is located between the Thomson Orogen in the west and the New England Fold Belt in the east. </w:t>
      </w:r>
      <w:r w:rsidR="00045A85">
        <w:t xml:space="preserve">The Gunnedah Basin is overlain by the </w:t>
      </w:r>
      <w:r w:rsidR="0068249A">
        <w:t>Jurassic</w:t>
      </w:r>
      <w:r w:rsidR="00045A85">
        <w:t>-Cretaceous age Surat Basin</w:t>
      </w:r>
      <w:r w:rsidR="00FA284E">
        <w:t xml:space="preserve"> (a sub-unit of the larger Great Artesian Basin)</w:t>
      </w:r>
      <w:r w:rsidR="00045A85">
        <w:t>. Collectively, t</w:t>
      </w:r>
      <w:r w:rsidRPr="00B0618E">
        <w:t>he</w:t>
      </w:r>
      <w:r w:rsidR="00045A85">
        <w:t>se two</w:t>
      </w:r>
      <w:r w:rsidRPr="00B0618E">
        <w:t xml:space="preserve"> </w:t>
      </w:r>
      <w:r w:rsidR="008C4B12">
        <w:t xml:space="preserve">geological </w:t>
      </w:r>
      <w:r w:rsidRPr="00B0618E">
        <w:t>basin</w:t>
      </w:r>
      <w:r w:rsidR="00045A85">
        <w:t>s</w:t>
      </w:r>
      <w:r w:rsidRPr="00B0618E">
        <w:t xml:space="preserve"> contain a layered sequence of marine, non-marine and volcanolithic sedimentary rocks up to 1</w:t>
      </w:r>
      <w:r w:rsidR="007B2B19">
        <w:t xml:space="preserve"> </w:t>
      </w:r>
      <w:r w:rsidRPr="00B0618E">
        <w:t>200 m thick</w:t>
      </w:r>
      <w:r w:rsidR="00994757" w:rsidRPr="00B0618E">
        <w:t xml:space="preserve"> (</w:t>
      </w:r>
      <w:r w:rsidR="00921DC2" w:rsidRPr="00B0618E">
        <w:fldChar w:fldCharType="begin"/>
      </w:r>
      <w:r w:rsidR="00921DC2" w:rsidRPr="00B0618E">
        <w:instrText xml:space="preserve"> REF _Ref468449300 \h </w:instrText>
      </w:r>
      <w:r w:rsidR="00B0618E">
        <w:instrText xml:space="preserve"> \* MERGEFORMAT </w:instrText>
      </w:r>
      <w:r w:rsidR="00921DC2" w:rsidRPr="00B0618E">
        <w:fldChar w:fldCharType="separate"/>
      </w:r>
      <w:r w:rsidR="000B6FA5">
        <w:t xml:space="preserve">Table </w:t>
      </w:r>
      <w:r w:rsidR="000B6FA5">
        <w:rPr>
          <w:noProof/>
        </w:rPr>
        <w:t>2</w:t>
      </w:r>
      <w:r w:rsidR="000B6FA5">
        <w:rPr>
          <w:noProof/>
        </w:rPr>
        <w:noBreakHyphen/>
        <w:t>1</w:t>
      </w:r>
      <w:r w:rsidR="00921DC2" w:rsidRPr="00B0618E">
        <w:fldChar w:fldCharType="end"/>
      </w:r>
      <w:r w:rsidR="00994757" w:rsidRPr="00B0618E">
        <w:t>)</w:t>
      </w:r>
      <w:r w:rsidRPr="00B0618E">
        <w:t xml:space="preserve">. </w:t>
      </w:r>
      <w:r w:rsidR="00903E81" w:rsidRPr="00B0618E">
        <w:t xml:space="preserve">Coarse-grained units include conglomerates (e.g., </w:t>
      </w:r>
      <w:r w:rsidR="00041E7E">
        <w:t>Napperby and Porcupine F</w:t>
      </w:r>
      <w:r w:rsidR="00AE7EFF" w:rsidRPr="00B0618E">
        <w:t>ormations</w:t>
      </w:r>
      <w:r w:rsidR="00903E81" w:rsidRPr="00B0618E">
        <w:t>) and sandstones (</w:t>
      </w:r>
      <w:r w:rsidR="00041E7E">
        <w:t>e.g., Mooga, Pilliga and Clare S</w:t>
      </w:r>
      <w:r w:rsidR="00903E81" w:rsidRPr="00B0618E">
        <w:t>andstones). Fine-grained units include claystones (e.g.,</w:t>
      </w:r>
      <w:r w:rsidR="00041E7E">
        <w:t xml:space="preserve"> Benelabri and Leard F</w:t>
      </w:r>
      <w:r w:rsidR="00AE7EFF" w:rsidRPr="00B0618E">
        <w:t>ormations</w:t>
      </w:r>
      <w:r w:rsidR="00041E7E">
        <w:t>) and shales (e.g., Porcupine</w:t>
      </w:r>
      <w:r w:rsidR="00903E81" w:rsidRPr="00B0618E">
        <w:t xml:space="preserve"> </w:t>
      </w:r>
      <w:r w:rsidR="00041E7E">
        <w:t>and Watermark F</w:t>
      </w:r>
      <w:r w:rsidR="00AE7EFF" w:rsidRPr="00B0618E">
        <w:t>ormations</w:t>
      </w:r>
      <w:r w:rsidR="00903E81" w:rsidRPr="00B0618E">
        <w:t>).</w:t>
      </w:r>
      <w:r w:rsidR="00AE7EFF" w:rsidRPr="00B0618E">
        <w:t xml:space="preserve"> In parts of the </w:t>
      </w:r>
      <w:r w:rsidR="00847766">
        <w:t>Gunnedah B</w:t>
      </w:r>
      <w:r w:rsidR="00AE7EFF" w:rsidRPr="00B0618E">
        <w:t>asin</w:t>
      </w:r>
      <w:r w:rsidR="00847766">
        <w:t xml:space="preserve"> area</w:t>
      </w:r>
      <w:r w:rsidR="00AE7EFF" w:rsidRPr="00B0618E">
        <w:t>, sedimentary rocks are intruded by igneous units such as the Garrawilla, Li</w:t>
      </w:r>
      <w:r w:rsidR="00041E7E">
        <w:t>verpool Range and Warrumbungle V</w:t>
      </w:r>
      <w:r w:rsidR="00AE7EFF" w:rsidRPr="00B0618E">
        <w:t xml:space="preserve">olcanics. The Gunnedah Basin also includes </w:t>
      </w:r>
      <w:r w:rsidR="00A86CB0" w:rsidRPr="00B0618E">
        <w:t xml:space="preserve">significant </w:t>
      </w:r>
      <w:r w:rsidR="00AE7EFF" w:rsidRPr="00B0618E">
        <w:t>coal-bearing units such as the Maules Creek Formation and the Hoskissons Coal.</w:t>
      </w:r>
    </w:p>
    <w:p w14:paraId="21ED25B5" w14:textId="77777777" w:rsidR="00D816C2" w:rsidRPr="00B0618E" w:rsidRDefault="00D816C2" w:rsidP="00D816C2">
      <w:pPr>
        <w:pStyle w:val="Heading2"/>
      </w:pPr>
      <w:bookmarkStart w:id="27" w:name="_Toc483127564"/>
      <w:bookmarkStart w:id="28" w:name="_Ref467658901"/>
      <w:r w:rsidRPr="00B0618E">
        <w:t>Hydrostratigraphy</w:t>
      </w:r>
      <w:bookmarkEnd w:id="27"/>
    </w:p>
    <w:p w14:paraId="3E5D961D" w14:textId="77777777" w:rsidR="00AF6396" w:rsidRPr="00CF4813" w:rsidRDefault="00D816C2" w:rsidP="00AF6396">
      <w:pPr>
        <w:pStyle w:val="BodyText"/>
      </w:pPr>
      <w:r w:rsidRPr="00B0618E">
        <w:t>The following description of the hydrostratigraphy of the Gunnedah</w:t>
      </w:r>
      <w:r w:rsidR="008C4B12">
        <w:t xml:space="preserve"> and -</w:t>
      </w:r>
      <w:r w:rsidR="00847766">
        <w:t>Surat</w:t>
      </w:r>
      <w:r w:rsidRPr="00B0618E">
        <w:t xml:space="preserve"> </w:t>
      </w:r>
      <w:r w:rsidR="00847766">
        <w:t>b</w:t>
      </w:r>
      <w:r w:rsidRPr="00B0618E">
        <w:t>asin</w:t>
      </w:r>
      <w:r w:rsidR="00847766">
        <w:t>s</w:t>
      </w:r>
      <w:r w:rsidRPr="00B0618E">
        <w:t xml:space="preserve"> follows that proposed by CDM Smith (201</w:t>
      </w:r>
      <w:r w:rsidR="002B4927">
        <w:t>6</w:t>
      </w:r>
      <w:r w:rsidRPr="00B0618E">
        <w:t xml:space="preserve">; </w:t>
      </w:r>
      <w:r w:rsidRPr="00B0618E">
        <w:fldChar w:fldCharType="begin"/>
      </w:r>
      <w:r w:rsidRPr="00B0618E">
        <w:instrText xml:space="preserve"> REF _Ref468449326 \h </w:instrText>
      </w:r>
      <w:r>
        <w:instrText xml:space="preserve"> \* MERGEFORMAT </w:instrText>
      </w:r>
      <w:r w:rsidRPr="00B0618E">
        <w:fldChar w:fldCharType="separate"/>
      </w:r>
      <w:r w:rsidR="000B6FA5" w:rsidRPr="00B0618E">
        <w:t xml:space="preserve">Table </w:t>
      </w:r>
      <w:r w:rsidR="000B6FA5">
        <w:rPr>
          <w:noProof/>
        </w:rPr>
        <w:t>2</w:t>
      </w:r>
      <w:r w:rsidR="000B6FA5">
        <w:rPr>
          <w:noProof/>
        </w:rPr>
        <w:noBreakHyphen/>
        <w:t>2</w:t>
      </w:r>
      <w:r w:rsidRPr="00B0618E">
        <w:fldChar w:fldCharType="end"/>
      </w:r>
      <w:r w:rsidRPr="00B0618E">
        <w:t xml:space="preserve">). </w:t>
      </w:r>
      <w:r w:rsidR="00847766">
        <w:t>B</w:t>
      </w:r>
      <w:r w:rsidRPr="00B0618E">
        <w:t xml:space="preserve">asement </w:t>
      </w:r>
      <w:r w:rsidR="00847766">
        <w:t xml:space="preserve">units include </w:t>
      </w:r>
      <w:r w:rsidRPr="00B0618E">
        <w:t>the Werrie Basalt</w:t>
      </w:r>
      <w:r w:rsidR="00847766">
        <w:t xml:space="preserve"> and</w:t>
      </w:r>
      <w:r w:rsidRPr="00B0618E">
        <w:t xml:space="preserve"> Boggabri Volcanics and the Goonbri and Leard formations. For the purposes of groundwater flow simulation, these units are assumed to be mostly impermeable to flow and do not interact with overlying units. The Maules Creek Formation overlies basement </w:t>
      </w:r>
      <w:r w:rsidR="00847766">
        <w:t xml:space="preserve">units </w:t>
      </w:r>
      <w:r w:rsidRPr="00B0618E">
        <w:t>and contains coal beds which were the primary target for coal seam gas development</w:t>
      </w:r>
      <w:r>
        <w:t xml:space="preserve">, with the estimated water production shown in </w:t>
      </w:r>
      <w:r>
        <w:fldChar w:fldCharType="begin"/>
      </w:r>
      <w:r>
        <w:instrText xml:space="preserve"> REF _Ref479452628 \h </w:instrText>
      </w:r>
      <w:r>
        <w:fldChar w:fldCharType="separate"/>
      </w:r>
      <w:r w:rsidR="000B6FA5" w:rsidRPr="006025C8">
        <w:t xml:space="preserve">Figure </w:t>
      </w:r>
      <w:r w:rsidR="000B6FA5">
        <w:rPr>
          <w:noProof/>
        </w:rPr>
        <w:t>2</w:t>
      </w:r>
      <w:r w:rsidR="000B6FA5">
        <w:noBreakHyphen/>
      </w:r>
      <w:r w:rsidR="000B6FA5">
        <w:rPr>
          <w:noProof/>
        </w:rPr>
        <w:t>4</w:t>
      </w:r>
      <w:r>
        <w:fldChar w:fldCharType="end"/>
      </w:r>
      <w:r w:rsidRPr="00B0618E">
        <w:t xml:space="preserve">. </w:t>
      </w:r>
      <w:r w:rsidR="00AF6396" w:rsidRPr="00CF4813">
        <w:t>The model cross‐section</w:t>
      </w:r>
      <w:r w:rsidR="00AF6396">
        <w:t>s</w:t>
      </w:r>
      <w:r w:rsidR="00AF6396" w:rsidRPr="00CF4813">
        <w:t xml:space="preserve"> in </w:t>
      </w:r>
      <w:r w:rsidR="00AF6396">
        <w:fldChar w:fldCharType="begin"/>
      </w:r>
      <w:r w:rsidR="00AF6396">
        <w:instrText xml:space="preserve"> REF _Ref483123982 \h </w:instrText>
      </w:r>
      <w:r w:rsidR="00AF6396">
        <w:fldChar w:fldCharType="separate"/>
      </w:r>
      <w:r w:rsidR="000B6FA5">
        <w:t xml:space="preserve">Figure </w:t>
      </w:r>
      <w:r w:rsidR="000B6FA5">
        <w:rPr>
          <w:noProof/>
        </w:rPr>
        <w:t>2</w:t>
      </w:r>
      <w:r w:rsidR="000B6FA5">
        <w:noBreakHyphen/>
      </w:r>
      <w:r w:rsidR="000B6FA5">
        <w:rPr>
          <w:noProof/>
        </w:rPr>
        <w:t>2</w:t>
      </w:r>
      <w:r w:rsidR="00AF6396">
        <w:fldChar w:fldCharType="end"/>
      </w:r>
      <w:r w:rsidR="00AF6396">
        <w:t xml:space="preserve"> and </w:t>
      </w:r>
      <w:r w:rsidR="00AF6396">
        <w:fldChar w:fldCharType="begin"/>
      </w:r>
      <w:r w:rsidR="00AF6396">
        <w:instrText xml:space="preserve"> REF _Ref483123983 \h </w:instrText>
      </w:r>
      <w:r w:rsidR="00AF6396">
        <w:fldChar w:fldCharType="separate"/>
      </w:r>
      <w:r w:rsidR="000B6FA5">
        <w:t xml:space="preserve">Figure </w:t>
      </w:r>
      <w:r w:rsidR="000B6FA5">
        <w:rPr>
          <w:noProof/>
        </w:rPr>
        <w:t>2</w:t>
      </w:r>
      <w:r w:rsidR="000B6FA5">
        <w:noBreakHyphen/>
      </w:r>
      <w:r w:rsidR="000B6FA5">
        <w:rPr>
          <w:noProof/>
        </w:rPr>
        <w:t>3</w:t>
      </w:r>
      <w:r w:rsidR="00AF6396">
        <w:fldChar w:fldCharType="end"/>
      </w:r>
      <w:r w:rsidR="00AF6396">
        <w:t xml:space="preserve"> are </w:t>
      </w:r>
      <w:r w:rsidR="00AF6396" w:rsidRPr="00CF4813">
        <w:t>located along the highlighted row of the model grid (</w:t>
      </w:r>
      <w:r w:rsidR="00AF6396">
        <w:fldChar w:fldCharType="begin"/>
      </w:r>
      <w:r w:rsidR="00AF6396">
        <w:instrText xml:space="preserve"> REF _Ref476903541 \h </w:instrText>
      </w:r>
      <w:r w:rsidR="00AF6396">
        <w:fldChar w:fldCharType="separate"/>
      </w:r>
      <w:r w:rsidR="000B6FA5" w:rsidRPr="00B0618E">
        <w:t xml:space="preserve">Figure </w:t>
      </w:r>
      <w:r w:rsidR="000B6FA5">
        <w:rPr>
          <w:noProof/>
        </w:rPr>
        <w:t>1</w:t>
      </w:r>
      <w:r w:rsidR="000B6FA5">
        <w:noBreakHyphen/>
      </w:r>
      <w:r w:rsidR="000B6FA5">
        <w:rPr>
          <w:noProof/>
        </w:rPr>
        <w:t>2</w:t>
      </w:r>
      <w:r w:rsidR="00AF6396">
        <w:fldChar w:fldCharType="end"/>
      </w:r>
      <w:r w:rsidR="00AF6396" w:rsidRPr="00CF4813">
        <w:t>).</w:t>
      </w:r>
    </w:p>
    <w:p w14:paraId="74706BC7" w14:textId="6E84496A" w:rsidR="00FA284E" w:rsidRDefault="00D816C2" w:rsidP="00D816C2">
      <w:pPr>
        <w:pStyle w:val="BodyText"/>
      </w:pPr>
      <w:r w:rsidRPr="00B0618E">
        <w:t xml:space="preserve">The </w:t>
      </w:r>
      <w:r w:rsidR="005D12DA">
        <w:t xml:space="preserve">hydraulic conductivity of the </w:t>
      </w:r>
      <w:r w:rsidRPr="00B0618E">
        <w:t xml:space="preserve">coal beds </w:t>
      </w:r>
      <w:r w:rsidR="005D12DA">
        <w:t xml:space="preserve">(e.g., </w:t>
      </w:r>
      <w:r w:rsidR="005D12DA" w:rsidRPr="0068249A">
        <w:rPr>
          <w:i/>
        </w:rPr>
        <w:t>K</w:t>
      </w:r>
      <w:r w:rsidR="005D12DA" w:rsidRPr="0068249A">
        <w:rPr>
          <w:i/>
          <w:vertAlign w:val="subscript"/>
        </w:rPr>
        <w:t>H</w:t>
      </w:r>
      <w:r w:rsidR="005D12DA">
        <w:t xml:space="preserve"> = 0.1 m/d) was assumed to be two orders of magnitude higher</w:t>
      </w:r>
      <w:r w:rsidRPr="00B0618E">
        <w:t xml:space="preserve"> than the remainder of the Maules Creek Formation</w:t>
      </w:r>
      <w:r w:rsidR="005D12DA" w:rsidRPr="00B0618E">
        <w:t xml:space="preserve"> </w:t>
      </w:r>
      <w:r w:rsidR="005D12DA">
        <w:t xml:space="preserve">(e.g., </w:t>
      </w:r>
      <w:r w:rsidR="005D12DA" w:rsidRPr="00111547">
        <w:rPr>
          <w:i/>
        </w:rPr>
        <w:t>K</w:t>
      </w:r>
      <w:r w:rsidR="005D12DA" w:rsidRPr="00111547">
        <w:rPr>
          <w:i/>
          <w:vertAlign w:val="subscript"/>
        </w:rPr>
        <w:t>H</w:t>
      </w:r>
      <w:r w:rsidR="005D12DA">
        <w:t xml:space="preserve"> = 0.001 m/d) and thereby consistent with that of an aquifer</w:t>
      </w:r>
      <w:r w:rsidRPr="00B0618E">
        <w:t>. The Maules Creek Formation is overlain by a thick sequence of middle to late Permian sedimentary rocks which collectively represent an aquitard unit. This is overlain by the Hoskissons Coal, which was the secondary target for coal seam gas development</w:t>
      </w:r>
      <w:r>
        <w:t xml:space="preserve"> with a much smaller estimated water production (</w:t>
      </w:r>
      <w:r>
        <w:fldChar w:fldCharType="begin"/>
      </w:r>
      <w:r>
        <w:instrText xml:space="preserve"> REF _Ref479452628 \h </w:instrText>
      </w:r>
      <w:r>
        <w:fldChar w:fldCharType="separate"/>
      </w:r>
      <w:r w:rsidR="000B6FA5" w:rsidRPr="006025C8">
        <w:t xml:space="preserve">Figure </w:t>
      </w:r>
      <w:r w:rsidR="000B6FA5">
        <w:rPr>
          <w:noProof/>
        </w:rPr>
        <w:t>2</w:t>
      </w:r>
      <w:r w:rsidR="000B6FA5">
        <w:noBreakHyphen/>
      </w:r>
      <w:r w:rsidR="000B6FA5">
        <w:rPr>
          <w:noProof/>
        </w:rPr>
        <w:t>4</w:t>
      </w:r>
      <w:r>
        <w:fldChar w:fldCharType="end"/>
      </w:r>
      <w:r>
        <w:t>)</w:t>
      </w:r>
      <w:r w:rsidRPr="00B0618E">
        <w:t xml:space="preserve">. As with the Maules Creek coal beds, the </w:t>
      </w:r>
      <w:r w:rsidR="005D12DA">
        <w:t xml:space="preserve">hydraulic conductivity of the </w:t>
      </w:r>
      <w:r w:rsidRPr="00B0618E">
        <w:t xml:space="preserve">Hoskissons Coal unit </w:t>
      </w:r>
      <w:r w:rsidR="005D12DA">
        <w:t xml:space="preserve">(e.g., </w:t>
      </w:r>
      <w:r w:rsidR="005D12DA" w:rsidRPr="00111547">
        <w:rPr>
          <w:i/>
        </w:rPr>
        <w:t>K</w:t>
      </w:r>
      <w:r w:rsidR="005D12DA" w:rsidRPr="00111547">
        <w:rPr>
          <w:i/>
          <w:vertAlign w:val="subscript"/>
        </w:rPr>
        <w:t>H</w:t>
      </w:r>
      <w:r w:rsidR="005D12DA">
        <w:t xml:space="preserve"> = 0.1 m/d) wa</w:t>
      </w:r>
      <w:r w:rsidRPr="00B0618E">
        <w:t xml:space="preserve">s assumed to </w:t>
      </w:r>
      <w:r w:rsidR="005D12DA">
        <w:t>be consistent with that of an aquifer</w:t>
      </w:r>
      <w:r w:rsidRPr="00B0618E">
        <w:t xml:space="preserve">. The Hoskissons Coal is overlain by a second thick sequence of late Permian to Jurassic sedimentary rocks which collectively represent an aquitard unit. This is overlain by </w:t>
      </w:r>
      <w:r w:rsidR="00847766">
        <w:t>a</w:t>
      </w:r>
      <w:r>
        <w:t xml:space="preserve"> key confined aquifer</w:t>
      </w:r>
      <w:r w:rsidRPr="00B0618E">
        <w:t>, the Pilliga Sandstone</w:t>
      </w:r>
      <w:r w:rsidR="00FA284E">
        <w:t>, which is t</w:t>
      </w:r>
      <w:r w:rsidR="00FA284E" w:rsidRPr="001766E2">
        <w:t>he main G</w:t>
      </w:r>
      <w:r w:rsidR="00FA284E">
        <w:t xml:space="preserve">reat </w:t>
      </w:r>
      <w:r w:rsidR="00FA284E" w:rsidRPr="001766E2">
        <w:t>A</w:t>
      </w:r>
      <w:r w:rsidR="00FA284E">
        <w:t xml:space="preserve">rtesian </w:t>
      </w:r>
      <w:r w:rsidR="00FA284E" w:rsidRPr="001766E2">
        <w:t>B</w:t>
      </w:r>
      <w:r w:rsidR="00FA284E">
        <w:t>asin</w:t>
      </w:r>
      <w:r w:rsidR="00FA284E" w:rsidRPr="001766E2">
        <w:t xml:space="preserve"> aquifer in the Namoi subregion</w:t>
      </w:r>
      <w:r w:rsidR="00FA284E">
        <w:t>.</w:t>
      </w:r>
      <w:r w:rsidR="00FA284E" w:rsidRPr="001766E2">
        <w:t xml:space="preserve"> </w:t>
      </w:r>
      <w:r w:rsidR="00FA284E">
        <w:t>I</w:t>
      </w:r>
      <w:r w:rsidR="00FA284E" w:rsidRPr="001766E2">
        <w:t xml:space="preserve">ts outcrop in the central part of the Namoi subregion </w:t>
      </w:r>
      <w:r w:rsidR="00FA284E">
        <w:t>corresponds to the boundary of the Great Artesian Basin</w:t>
      </w:r>
      <w:r w:rsidR="00FA284E" w:rsidRPr="001766E2">
        <w:t xml:space="preserve"> (CSIRO, 2012).</w:t>
      </w:r>
    </w:p>
    <w:p w14:paraId="21CC4B5A" w14:textId="55A9F6DD" w:rsidR="00D816C2" w:rsidRDefault="00D816C2" w:rsidP="00D816C2">
      <w:pPr>
        <w:pStyle w:val="BodyText"/>
      </w:pPr>
      <w:r w:rsidRPr="00B0618E">
        <w:t xml:space="preserve">The Pilliga Sandstone aquifer is overlain by a number of Cretaceous </w:t>
      </w:r>
      <w:r w:rsidR="00847766">
        <w:t xml:space="preserve">age </w:t>
      </w:r>
      <w:r w:rsidRPr="00B0618E">
        <w:t xml:space="preserve">sedimentary rocks including the Mooga Sandstone and the Orallo and Bungil formations. The Liverpool Range Volcanics are also included in this hydrostratigraphic unit, which is considered to be an aquitard. At ground surface, the Namoi </w:t>
      </w:r>
      <w:r>
        <w:t xml:space="preserve">Alluvium </w:t>
      </w:r>
      <w:r w:rsidRPr="00B0618E">
        <w:t>and Gunnedah</w:t>
      </w:r>
      <w:r>
        <w:t>-Oxley Basin</w:t>
      </w:r>
      <w:r w:rsidRPr="00B0618E">
        <w:t xml:space="preserve"> </w:t>
      </w:r>
      <w:r>
        <w:t>F</w:t>
      </w:r>
      <w:r w:rsidRPr="00B0618E">
        <w:t xml:space="preserve">ormations are present in various parts of the </w:t>
      </w:r>
      <w:r>
        <w:t>study area</w:t>
      </w:r>
      <w:r w:rsidRPr="00B0618E">
        <w:t>. The</w:t>
      </w:r>
      <w:r>
        <w:t xml:space="preserve"> </w:t>
      </w:r>
      <w:r w:rsidRPr="0057344E">
        <w:t xml:space="preserve">predominant water supply development has occurred within the </w:t>
      </w:r>
      <w:r>
        <w:t>Namoi Alluvium, with smaller developments in the Gunnedah-Oxley Basin</w:t>
      </w:r>
      <w:r w:rsidRPr="00B0618E">
        <w:t>.</w:t>
      </w:r>
    </w:p>
    <w:p w14:paraId="1A1F976F" w14:textId="77777777" w:rsidR="00441F8C" w:rsidRDefault="00441F8C" w:rsidP="00D816C2">
      <w:pPr>
        <w:pStyle w:val="BodyText"/>
      </w:pPr>
    </w:p>
    <w:p w14:paraId="72D3796B" w14:textId="3B5DF71D" w:rsidR="00F239A7" w:rsidRDefault="00F239A7" w:rsidP="00D816C2">
      <w:pPr>
        <w:pStyle w:val="BodyText"/>
      </w:pPr>
      <w:r w:rsidRPr="00F239A7">
        <w:rPr>
          <w:noProof/>
        </w:rPr>
        <w:drawing>
          <wp:inline distT="0" distB="0" distL="0" distR="0" wp14:anchorId="58ECD40D" wp14:editId="62BA0D76">
            <wp:extent cx="6120130" cy="3054273"/>
            <wp:effectExtent l="0" t="0" r="0" b="0"/>
            <wp:docPr id="83" name="Picture 83" descr="Diagram of model cross-section" title="Fig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3054273"/>
                    </a:xfrm>
                    <a:prstGeom prst="rect">
                      <a:avLst/>
                    </a:prstGeom>
                    <a:noFill/>
                    <a:ln>
                      <a:noFill/>
                    </a:ln>
                  </pic:spPr>
                </pic:pic>
              </a:graphicData>
            </a:graphic>
          </wp:inline>
        </w:drawing>
      </w:r>
    </w:p>
    <w:p w14:paraId="6547448E" w14:textId="7F8990AB" w:rsidR="00F239A7" w:rsidRDefault="00F239A7" w:rsidP="00F239A7">
      <w:pPr>
        <w:pStyle w:val="Caption"/>
      </w:pPr>
      <w:bookmarkStart w:id="29" w:name="_Ref483123982"/>
      <w:r>
        <w:t xml:space="preserve">Figure </w:t>
      </w:r>
      <w:r w:rsidR="00A2085C">
        <w:fldChar w:fldCharType="begin"/>
      </w:r>
      <w:r w:rsidR="00A2085C">
        <w:instrText xml:space="preserve"> STYLEREF 1 \s </w:instrText>
      </w:r>
      <w:r w:rsidR="00A2085C">
        <w:fldChar w:fldCharType="separate"/>
      </w:r>
      <w:r w:rsidR="000B6FA5">
        <w:rPr>
          <w:noProof/>
        </w:rPr>
        <w:t>2</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2</w:t>
      </w:r>
      <w:r w:rsidR="00A2085C">
        <w:rPr>
          <w:noProof/>
        </w:rPr>
        <w:fldChar w:fldCharType="end"/>
      </w:r>
      <w:bookmarkEnd w:id="29"/>
      <w:r>
        <w:t xml:space="preserve"> </w:t>
      </w:r>
      <w:r w:rsidRPr="00F239A7">
        <w:t xml:space="preserve">Approximately east‐west cross‐section </w:t>
      </w:r>
      <w:r w:rsidR="00CF4813">
        <w:t>(</w:t>
      </w:r>
      <w:r w:rsidR="00773192">
        <w:t xml:space="preserve">transect </w:t>
      </w:r>
      <w:r w:rsidR="00CF4813">
        <w:t>A-A’</w:t>
      </w:r>
      <w:r w:rsidR="00773192">
        <w:t xml:space="preserve"> in </w:t>
      </w:r>
      <w:r w:rsidR="00773192">
        <w:fldChar w:fldCharType="begin"/>
      </w:r>
      <w:r w:rsidR="00773192">
        <w:instrText xml:space="preserve"> REF _Ref479504351 \h </w:instrText>
      </w:r>
      <w:r w:rsidR="00773192">
        <w:fldChar w:fldCharType="separate"/>
      </w:r>
      <w:r w:rsidR="000B6FA5">
        <w:t xml:space="preserve">Figure </w:t>
      </w:r>
      <w:r w:rsidR="000B6FA5">
        <w:rPr>
          <w:noProof/>
        </w:rPr>
        <w:t>2</w:t>
      </w:r>
      <w:r w:rsidR="000B6FA5">
        <w:noBreakHyphen/>
      </w:r>
      <w:r w:rsidR="000B6FA5">
        <w:rPr>
          <w:noProof/>
        </w:rPr>
        <w:t>1</w:t>
      </w:r>
      <w:r w:rsidR="00773192">
        <w:fldChar w:fldCharType="end"/>
      </w:r>
      <w:r w:rsidR="00CF4813">
        <w:t xml:space="preserve">) </w:t>
      </w:r>
      <w:r w:rsidRPr="00F239A7">
        <w:t xml:space="preserve">with hydrostratigraphic units of the groundwater model for the </w:t>
      </w:r>
      <w:r>
        <w:t>case study area</w:t>
      </w:r>
      <w:r w:rsidRPr="00F239A7">
        <w:t xml:space="preserve">, Gunnedah </w:t>
      </w:r>
      <w:r>
        <w:t>and Surat b</w:t>
      </w:r>
      <w:r w:rsidRPr="00F239A7">
        <w:t>asin</w:t>
      </w:r>
      <w:r>
        <w:t>s</w:t>
      </w:r>
      <w:r w:rsidRPr="00F239A7">
        <w:t xml:space="preserve"> (NSW).</w:t>
      </w:r>
    </w:p>
    <w:p w14:paraId="26912972" w14:textId="77777777" w:rsidR="00CF4813" w:rsidRPr="00CF4813" w:rsidRDefault="00CF4813" w:rsidP="00AF6396">
      <w:pPr>
        <w:pStyle w:val="BodyText"/>
      </w:pPr>
    </w:p>
    <w:p w14:paraId="11CC7ADD" w14:textId="095EE010" w:rsidR="00F239A7" w:rsidRDefault="00CF4813" w:rsidP="00CF4813">
      <w:pPr>
        <w:pStyle w:val="BodyText"/>
      </w:pPr>
      <w:r w:rsidRPr="00CF4813">
        <w:rPr>
          <w:noProof/>
        </w:rPr>
        <w:drawing>
          <wp:inline distT="0" distB="0" distL="0" distR="0" wp14:anchorId="099846F6" wp14:editId="1940B706">
            <wp:extent cx="6120130" cy="3054273"/>
            <wp:effectExtent l="0" t="0" r="0" b="0"/>
            <wp:docPr id="85" name="Picture 85" descr="Diagram of model cross-section" title="Fig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130" cy="3054273"/>
                    </a:xfrm>
                    <a:prstGeom prst="rect">
                      <a:avLst/>
                    </a:prstGeom>
                    <a:noFill/>
                    <a:ln>
                      <a:noFill/>
                    </a:ln>
                  </pic:spPr>
                </pic:pic>
              </a:graphicData>
            </a:graphic>
          </wp:inline>
        </w:drawing>
      </w:r>
    </w:p>
    <w:p w14:paraId="36B2C51F" w14:textId="5B7FE72E" w:rsidR="00CF4813" w:rsidRDefault="00CF4813" w:rsidP="00CF4813">
      <w:pPr>
        <w:pStyle w:val="Caption"/>
      </w:pPr>
      <w:bookmarkStart w:id="30" w:name="_Ref483123983"/>
      <w:r>
        <w:t xml:space="preserve">Figure </w:t>
      </w:r>
      <w:r w:rsidR="00A2085C">
        <w:fldChar w:fldCharType="begin"/>
      </w:r>
      <w:r w:rsidR="00A2085C">
        <w:instrText xml:space="preserve"> STYLEREF 1 \s </w:instrText>
      </w:r>
      <w:r w:rsidR="00A2085C">
        <w:fldChar w:fldCharType="separate"/>
      </w:r>
      <w:r w:rsidR="000B6FA5">
        <w:rPr>
          <w:noProof/>
        </w:rPr>
        <w:t>2</w:t>
      </w:r>
      <w:r w:rsidR="00A2085C">
        <w:rPr>
          <w:noProof/>
        </w:rPr>
        <w:fldChar w:fldCharType="end"/>
      </w:r>
      <w:r>
        <w:noBreakHyphen/>
      </w:r>
      <w:r w:rsidR="00A2085C">
        <w:fldChar w:fldCharType="begin"/>
      </w:r>
      <w:r w:rsidR="00A2085C">
        <w:instrText xml:space="preserve"> SEQ Figure \* ARABIC \s 1 </w:instrText>
      </w:r>
      <w:r w:rsidR="00A2085C">
        <w:fldChar w:fldCharType="separate"/>
      </w:r>
      <w:r w:rsidR="000B6FA5">
        <w:rPr>
          <w:noProof/>
        </w:rPr>
        <w:t>3</w:t>
      </w:r>
      <w:r w:rsidR="00A2085C">
        <w:rPr>
          <w:noProof/>
        </w:rPr>
        <w:fldChar w:fldCharType="end"/>
      </w:r>
      <w:bookmarkEnd w:id="30"/>
      <w:r>
        <w:t xml:space="preserve"> </w:t>
      </w:r>
      <w:r w:rsidRPr="00F239A7">
        <w:t xml:space="preserve">Approximately </w:t>
      </w:r>
      <w:r>
        <w:t>north</w:t>
      </w:r>
      <w:r w:rsidRPr="00F239A7">
        <w:t>‐</w:t>
      </w:r>
      <w:r>
        <w:t>south</w:t>
      </w:r>
      <w:r w:rsidRPr="00F239A7">
        <w:t xml:space="preserve"> cross‐section </w:t>
      </w:r>
      <w:r>
        <w:t>(</w:t>
      </w:r>
      <w:r w:rsidR="00773192">
        <w:t xml:space="preserve">transect </w:t>
      </w:r>
      <w:r>
        <w:t>B-B’</w:t>
      </w:r>
      <w:r w:rsidR="00773192">
        <w:t xml:space="preserve"> in </w:t>
      </w:r>
      <w:r w:rsidR="00773192">
        <w:fldChar w:fldCharType="begin"/>
      </w:r>
      <w:r w:rsidR="00773192">
        <w:instrText xml:space="preserve"> REF _Ref479504351 \h </w:instrText>
      </w:r>
      <w:r w:rsidR="00773192">
        <w:fldChar w:fldCharType="separate"/>
      </w:r>
      <w:r w:rsidR="000B6FA5">
        <w:t xml:space="preserve">Figure </w:t>
      </w:r>
      <w:r w:rsidR="000B6FA5">
        <w:rPr>
          <w:noProof/>
        </w:rPr>
        <w:t>2</w:t>
      </w:r>
      <w:r w:rsidR="000B6FA5">
        <w:noBreakHyphen/>
      </w:r>
      <w:r w:rsidR="000B6FA5">
        <w:rPr>
          <w:noProof/>
        </w:rPr>
        <w:t>1</w:t>
      </w:r>
      <w:r w:rsidR="00773192">
        <w:fldChar w:fldCharType="end"/>
      </w:r>
      <w:r>
        <w:t xml:space="preserve">) </w:t>
      </w:r>
      <w:r w:rsidRPr="00F239A7">
        <w:t xml:space="preserve">with hydrostratigraphic units of the groundwater model for the </w:t>
      </w:r>
      <w:r>
        <w:t>case study area</w:t>
      </w:r>
      <w:r w:rsidRPr="00F239A7">
        <w:t xml:space="preserve">, Gunnedah </w:t>
      </w:r>
      <w:r>
        <w:t>and Surat b</w:t>
      </w:r>
      <w:r w:rsidRPr="00F239A7">
        <w:t>asin</w:t>
      </w:r>
      <w:r>
        <w:t>s</w:t>
      </w:r>
      <w:r w:rsidRPr="00F239A7">
        <w:t xml:space="preserve"> (NSW).</w:t>
      </w:r>
    </w:p>
    <w:p w14:paraId="0B3F299E" w14:textId="77777777" w:rsidR="00CF4813" w:rsidRPr="00F239A7" w:rsidRDefault="00CF4813" w:rsidP="00CF4813">
      <w:pPr>
        <w:pStyle w:val="BodyText"/>
      </w:pPr>
    </w:p>
    <w:p w14:paraId="3A1A0307" w14:textId="4A1B63EE" w:rsidR="00131036" w:rsidRPr="00B0618E" w:rsidRDefault="00131036" w:rsidP="00F239A7">
      <w:pPr>
        <w:autoSpaceDE w:val="0"/>
        <w:autoSpaceDN w:val="0"/>
        <w:adjustRightInd w:val="0"/>
        <w:spacing w:after="0"/>
        <w:rPr>
          <w:b/>
          <w:bCs/>
          <w:color w:val="007E9A" w:themeColor="accent1" w:themeShade="BF"/>
          <w:sz w:val="20"/>
          <w:szCs w:val="18"/>
        </w:rPr>
      </w:pPr>
      <w:r w:rsidRPr="00B0618E">
        <w:br w:type="page"/>
      </w:r>
    </w:p>
    <w:p w14:paraId="12F2EDCD" w14:textId="5AD71CEE" w:rsidR="0016147E" w:rsidRPr="00B0618E" w:rsidRDefault="00643BE4" w:rsidP="00994757">
      <w:pPr>
        <w:pStyle w:val="Caption"/>
      </w:pPr>
      <w:bookmarkStart w:id="31" w:name="_Ref468449300"/>
      <w:bookmarkStart w:id="32" w:name="_Toc503253885"/>
      <w:r>
        <w:t xml:space="preserve">Table </w:t>
      </w:r>
      <w:r w:rsidR="00A2085C">
        <w:fldChar w:fldCharType="begin"/>
      </w:r>
      <w:r w:rsidR="00A2085C">
        <w:instrText xml:space="preserve"> STYLEREF 1 \s </w:instrText>
      </w:r>
      <w:r w:rsidR="00A2085C">
        <w:fldChar w:fldCharType="separate"/>
      </w:r>
      <w:r w:rsidR="000B6FA5">
        <w:rPr>
          <w:noProof/>
        </w:rPr>
        <w:t>2</w:t>
      </w:r>
      <w:r w:rsidR="00A2085C">
        <w:rPr>
          <w:noProof/>
        </w:rPr>
        <w:fldChar w:fldCharType="end"/>
      </w:r>
      <w:r>
        <w:noBreakHyphen/>
      </w:r>
      <w:r w:rsidR="00A2085C">
        <w:fldChar w:fldCharType="begin"/>
      </w:r>
      <w:r w:rsidR="00A2085C">
        <w:instrText xml:space="preserve"> SEQ Table \* ARABIC \s 1 </w:instrText>
      </w:r>
      <w:r w:rsidR="00A2085C">
        <w:fldChar w:fldCharType="separate"/>
      </w:r>
      <w:r w:rsidR="000B6FA5">
        <w:rPr>
          <w:noProof/>
        </w:rPr>
        <w:t>1</w:t>
      </w:r>
      <w:r w:rsidR="00A2085C">
        <w:rPr>
          <w:noProof/>
        </w:rPr>
        <w:fldChar w:fldCharType="end"/>
      </w:r>
      <w:bookmarkEnd w:id="28"/>
      <w:bookmarkEnd w:id="31"/>
      <w:r w:rsidR="001869C0" w:rsidRPr="00B0618E">
        <w:t>. Stratigraph</w:t>
      </w:r>
      <w:r w:rsidR="00BB71AC" w:rsidRPr="00B0618E">
        <w:t>y of</w:t>
      </w:r>
      <w:r w:rsidR="001869C0" w:rsidRPr="00B0618E">
        <w:t xml:space="preserve"> the Gunnedah Basin (</w:t>
      </w:r>
      <w:r w:rsidR="00045A85">
        <w:t>CDM Smith, 2016</w:t>
      </w:r>
      <w:r w:rsidR="00882668" w:rsidRPr="00B0618E">
        <w:t>; Geoscience Australia, 2016</w:t>
      </w:r>
      <w:r w:rsidR="001869C0" w:rsidRPr="00B0618E">
        <w:t>).</w:t>
      </w:r>
      <w:bookmarkEnd w:id="32"/>
    </w:p>
    <w:tbl>
      <w:tblPr>
        <w:tblStyle w:val="TableCSIRO1"/>
        <w:tblW w:w="5000" w:type="pct"/>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1"/>
        <w:tblDescription w:val="Table of the stratigraphy of the Gunnedah Basin"/>
      </w:tblPr>
      <w:tblGrid>
        <w:gridCol w:w="2208"/>
        <w:gridCol w:w="2211"/>
        <w:gridCol w:w="5209"/>
      </w:tblGrid>
      <w:tr w:rsidR="00397704" w:rsidRPr="00B0618E" w14:paraId="07389CF5" w14:textId="77777777" w:rsidTr="001A582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147" w:type="pct"/>
          </w:tcPr>
          <w:p w14:paraId="0C99852D" w14:textId="77777777" w:rsidR="00397704" w:rsidRPr="00B0618E" w:rsidRDefault="00397704" w:rsidP="0066138E">
            <w:pPr>
              <w:spacing w:before="60" w:after="60" w:line="180" w:lineRule="atLeast"/>
              <w:rPr>
                <w:bCs w:val="0"/>
                <w:color w:val="FFFFFF"/>
                <w:sz w:val="18"/>
                <w:szCs w:val="18"/>
              </w:rPr>
            </w:pPr>
            <w:r w:rsidRPr="00B0618E">
              <w:rPr>
                <w:bCs w:val="0"/>
                <w:color w:val="FFFFFF"/>
                <w:sz w:val="18"/>
                <w:szCs w:val="18"/>
              </w:rPr>
              <w:t>Group</w:t>
            </w:r>
          </w:p>
        </w:tc>
        <w:tc>
          <w:tcPr>
            <w:tcW w:w="1148" w:type="pct"/>
          </w:tcPr>
          <w:p w14:paraId="7896CF8F" w14:textId="77777777" w:rsidR="00397704" w:rsidRPr="00B0618E" w:rsidRDefault="00397704" w:rsidP="0066138E">
            <w:pPr>
              <w:spacing w:before="60" w:after="60" w:line="180" w:lineRule="atLeast"/>
              <w:cnfStyle w:val="100000000000" w:firstRow="1" w:lastRow="0" w:firstColumn="0" w:lastColumn="0" w:oddVBand="0" w:evenVBand="0" w:oddHBand="0" w:evenHBand="0" w:firstRowFirstColumn="0" w:firstRowLastColumn="0" w:lastRowFirstColumn="0" w:lastRowLastColumn="0"/>
              <w:rPr>
                <w:bCs w:val="0"/>
                <w:caps/>
                <w:color w:val="FFFFFF"/>
                <w:sz w:val="18"/>
                <w:szCs w:val="18"/>
              </w:rPr>
            </w:pPr>
            <w:r w:rsidRPr="00B0618E">
              <w:rPr>
                <w:bCs w:val="0"/>
                <w:color w:val="FFFFFF"/>
                <w:sz w:val="18"/>
                <w:szCs w:val="18"/>
              </w:rPr>
              <w:t>Stratigraphic unit</w:t>
            </w:r>
          </w:p>
        </w:tc>
        <w:tc>
          <w:tcPr>
            <w:tcW w:w="2705" w:type="pct"/>
          </w:tcPr>
          <w:p w14:paraId="4CA59457" w14:textId="77777777" w:rsidR="00397704" w:rsidRPr="00B0618E" w:rsidRDefault="00397704" w:rsidP="001869C0">
            <w:pPr>
              <w:spacing w:before="60" w:after="60" w:line="180" w:lineRule="atLeast"/>
              <w:cnfStyle w:val="100000000000" w:firstRow="1" w:lastRow="0" w:firstColumn="0" w:lastColumn="0" w:oddVBand="0" w:evenVBand="0" w:oddHBand="0" w:evenHBand="0" w:firstRowFirstColumn="0" w:firstRowLastColumn="0" w:lastRowFirstColumn="0" w:lastRowLastColumn="0"/>
              <w:rPr>
                <w:bCs w:val="0"/>
                <w:color w:val="FFFFFF"/>
                <w:sz w:val="18"/>
                <w:szCs w:val="18"/>
              </w:rPr>
            </w:pPr>
            <w:r w:rsidRPr="00B0618E">
              <w:rPr>
                <w:bCs w:val="0"/>
                <w:color w:val="FFFFFF"/>
                <w:sz w:val="18"/>
                <w:szCs w:val="18"/>
              </w:rPr>
              <w:t>Lithology</w:t>
            </w:r>
          </w:p>
        </w:tc>
      </w:tr>
      <w:tr w:rsidR="00321A9C" w:rsidRPr="00B0618E" w14:paraId="083E191D"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val="restart"/>
            <w:shd w:val="clear" w:color="auto" w:fill="auto"/>
          </w:tcPr>
          <w:p w14:paraId="21EA2432" w14:textId="0B877CA7" w:rsidR="00321A9C" w:rsidRPr="00B0618E" w:rsidRDefault="008C4B12" w:rsidP="00A86CB0">
            <w:pPr>
              <w:spacing w:before="60" w:after="60"/>
              <w:rPr>
                <w:b w:val="0"/>
                <w:bCs w:val="0"/>
                <w:color w:val="FF0000"/>
                <w:sz w:val="18"/>
                <w:szCs w:val="18"/>
              </w:rPr>
            </w:pPr>
            <w:r w:rsidRPr="00702BFE">
              <w:rPr>
                <w:b w:val="0"/>
                <w:bCs w:val="0"/>
                <w:color w:val="000000" w:themeColor="text1"/>
                <w:sz w:val="18"/>
                <w:szCs w:val="18"/>
              </w:rPr>
              <w:t>N/A</w:t>
            </w:r>
          </w:p>
        </w:tc>
        <w:tc>
          <w:tcPr>
            <w:tcW w:w="1148" w:type="pct"/>
          </w:tcPr>
          <w:p w14:paraId="2E7B46B1" w14:textId="77777777" w:rsidR="00321A9C" w:rsidRPr="00B0618E" w:rsidRDefault="00321A9C" w:rsidP="0066138E">
            <w:pPr>
              <w:spacing w:before="60" w:after="60"/>
              <w:cnfStyle w:val="000000100000" w:firstRow="0" w:lastRow="0" w:firstColumn="0" w:lastColumn="0" w:oddVBand="0" w:evenVBand="0" w:oddHBand="1" w:evenHBand="0" w:firstRowFirstColumn="0" w:firstRowLastColumn="0" w:lastRowFirstColumn="0" w:lastRowLastColumn="0"/>
              <w:rPr>
                <w:bCs/>
                <w:color w:val="FF0000"/>
                <w:sz w:val="18"/>
                <w:szCs w:val="18"/>
              </w:rPr>
            </w:pPr>
            <w:r w:rsidRPr="00B0618E">
              <w:rPr>
                <w:bCs/>
                <w:color w:val="auto"/>
                <w:sz w:val="18"/>
                <w:szCs w:val="18"/>
              </w:rPr>
              <w:t>Narrabri Formation</w:t>
            </w:r>
          </w:p>
        </w:tc>
        <w:tc>
          <w:tcPr>
            <w:tcW w:w="2705" w:type="pct"/>
          </w:tcPr>
          <w:p w14:paraId="4A53B470" w14:textId="77777777" w:rsidR="00321A9C" w:rsidRPr="00B0618E" w:rsidRDefault="00321A9C" w:rsidP="0094529E">
            <w:pPr>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 xml:space="preserve">Clay, silt, sand </w:t>
            </w:r>
          </w:p>
        </w:tc>
      </w:tr>
      <w:tr w:rsidR="00321A9C" w:rsidRPr="00B0618E" w14:paraId="77C8976C" w14:textId="77777777" w:rsidTr="00321A9C">
        <w:tc>
          <w:tcPr>
            <w:cnfStyle w:val="001000000000" w:firstRow="0" w:lastRow="0" w:firstColumn="1" w:lastColumn="0" w:oddVBand="0" w:evenVBand="0" w:oddHBand="0" w:evenHBand="0" w:firstRowFirstColumn="0" w:firstRowLastColumn="0" w:lastRowFirstColumn="0" w:lastRowLastColumn="0"/>
            <w:tcW w:w="1147" w:type="pct"/>
            <w:vMerge/>
            <w:shd w:val="clear" w:color="auto" w:fill="auto"/>
          </w:tcPr>
          <w:p w14:paraId="51561AA4" w14:textId="77777777" w:rsidR="00321A9C" w:rsidRPr="00B0618E" w:rsidRDefault="00321A9C" w:rsidP="00A86CB0">
            <w:pPr>
              <w:spacing w:before="60" w:after="60"/>
              <w:rPr>
                <w:b w:val="0"/>
                <w:bCs w:val="0"/>
                <w:color w:val="FF0000"/>
                <w:sz w:val="18"/>
                <w:szCs w:val="18"/>
              </w:rPr>
            </w:pPr>
          </w:p>
        </w:tc>
        <w:tc>
          <w:tcPr>
            <w:tcW w:w="1148" w:type="pct"/>
          </w:tcPr>
          <w:p w14:paraId="6F48ECC0" w14:textId="77777777" w:rsidR="00321A9C" w:rsidRPr="00B0618E" w:rsidRDefault="00321A9C" w:rsidP="0094529E">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color w:val="auto"/>
                <w:sz w:val="18"/>
                <w:szCs w:val="18"/>
              </w:rPr>
              <w:t xml:space="preserve">Gunnedah Formation </w:t>
            </w:r>
          </w:p>
        </w:tc>
        <w:tc>
          <w:tcPr>
            <w:tcW w:w="2705" w:type="pct"/>
          </w:tcPr>
          <w:p w14:paraId="5BAF8686" w14:textId="77777777" w:rsidR="00321A9C" w:rsidRPr="00B0618E" w:rsidRDefault="00321A9C" w:rsidP="0094529E">
            <w:pPr>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 xml:space="preserve">Gravel, sand, clay </w:t>
            </w:r>
          </w:p>
        </w:tc>
      </w:tr>
      <w:tr w:rsidR="00397704" w:rsidRPr="00B0618E" w14:paraId="070938F9"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tcPr>
          <w:p w14:paraId="6565F4C8" w14:textId="77777777" w:rsidR="00397704" w:rsidRPr="00B0618E" w:rsidRDefault="0094529E" w:rsidP="0066138E">
            <w:pPr>
              <w:spacing w:before="60" w:after="60"/>
              <w:rPr>
                <w:b w:val="0"/>
                <w:bCs w:val="0"/>
                <w:sz w:val="18"/>
                <w:szCs w:val="18"/>
              </w:rPr>
            </w:pPr>
            <w:r w:rsidRPr="00B0618E">
              <w:rPr>
                <w:b w:val="0"/>
                <w:bCs w:val="0"/>
                <w:sz w:val="18"/>
                <w:szCs w:val="18"/>
              </w:rPr>
              <w:t>Liverpool Range Volcanics</w:t>
            </w:r>
          </w:p>
        </w:tc>
        <w:tc>
          <w:tcPr>
            <w:tcW w:w="1148" w:type="pct"/>
          </w:tcPr>
          <w:p w14:paraId="136C81E3" w14:textId="77777777" w:rsidR="00397704" w:rsidRPr="00B0618E" w:rsidRDefault="0094529E" w:rsidP="0066138E">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Liverpool Range Volcanics</w:t>
            </w:r>
          </w:p>
        </w:tc>
        <w:tc>
          <w:tcPr>
            <w:tcW w:w="2705" w:type="pct"/>
          </w:tcPr>
          <w:p w14:paraId="44BFA427" w14:textId="77777777" w:rsidR="00397704" w:rsidRPr="00B0618E" w:rsidRDefault="00397704" w:rsidP="0094529E">
            <w:pPr>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 xml:space="preserve">Basalt, dolerite, conglomerate, sandstone, shale, gravel, siltstone </w:t>
            </w:r>
          </w:p>
        </w:tc>
      </w:tr>
      <w:tr w:rsidR="00397704" w:rsidRPr="00B0618E" w14:paraId="09FEE221" w14:textId="77777777" w:rsidTr="0094529E">
        <w:tc>
          <w:tcPr>
            <w:cnfStyle w:val="001000000000" w:firstRow="0" w:lastRow="0" w:firstColumn="1" w:lastColumn="0" w:oddVBand="0" w:evenVBand="0" w:oddHBand="0" w:evenHBand="0" w:firstRowFirstColumn="0" w:firstRowLastColumn="0" w:lastRowFirstColumn="0" w:lastRowLastColumn="0"/>
            <w:tcW w:w="1147" w:type="pct"/>
          </w:tcPr>
          <w:p w14:paraId="07DB62E8" w14:textId="77777777" w:rsidR="00397704" w:rsidRPr="00B0618E" w:rsidRDefault="0094529E" w:rsidP="0066138E">
            <w:pPr>
              <w:spacing w:before="60" w:after="60"/>
              <w:rPr>
                <w:b w:val="0"/>
                <w:bCs w:val="0"/>
                <w:sz w:val="18"/>
                <w:szCs w:val="18"/>
              </w:rPr>
            </w:pPr>
            <w:r w:rsidRPr="00B0618E">
              <w:rPr>
                <w:b w:val="0"/>
                <w:bCs w:val="0"/>
                <w:sz w:val="18"/>
                <w:szCs w:val="18"/>
              </w:rPr>
              <w:t>Rolling Downs</w:t>
            </w:r>
          </w:p>
        </w:tc>
        <w:tc>
          <w:tcPr>
            <w:tcW w:w="1148" w:type="pct"/>
          </w:tcPr>
          <w:p w14:paraId="066E0579" w14:textId="77777777" w:rsidR="00397704" w:rsidRPr="00B0618E" w:rsidRDefault="00397704" w:rsidP="0066138E">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Wallumbilla Formation</w:t>
            </w:r>
          </w:p>
        </w:tc>
        <w:tc>
          <w:tcPr>
            <w:tcW w:w="2705" w:type="pct"/>
          </w:tcPr>
          <w:p w14:paraId="45D4A65C" w14:textId="77777777" w:rsidR="00397704" w:rsidRPr="00B0618E" w:rsidRDefault="00397704" w:rsidP="00882668">
            <w:pPr>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Mudstone, siltstone, sandstone, limestone</w:t>
            </w:r>
          </w:p>
        </w:tc>
      </w:tr>
      <w:tr w:rsidR="0094529E" w:rsidRPr="00B0618E" w14:paraId="337F4ADC"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val="restart"/>
          </w:tcPr>
          <w:p w14:paraId="1235C323" w14:textId="77777777" w:rsidR="0094529E" w:rsidRPr="00B0618E" w:rsidRDefault="0094529E" w:rsidP="0066138E">
            <w:pPr>
              <w:spacing w:before="60" w:after="60"/>
              <w:rPr>
                <w:b w:val="0"/>
                <w:bCs w:val="0"/>
                <w:sz w:val="18"/>
                <w:szCs w:val="18"/>
              </w:rPr>
            </w:pPr>
            <w:r w:rsidRPr="00B0618E">
              <w:rPr>
                <w:b w:val="0"/>
                <w:bCs w:val="0"/>
                <w:sz w:val="18"/>
                <w:szCs w:val="18"/>
              </w:rPr>
              <w:t>Blythesdale</w:t>
            </w:r>
          </w:p>
        </w:tc>
        <w:tc>
          <w:tcPr>
            <w:tcW w:w="1148" w:type="pct"/>
          </w:tcPr>
          <w:p w14:paraId="338BE391" w14:textId="77777777" w:rsidR="0094529E" w:rsidRPr="00B0618E" w:rsidRDefault="0094529E" w:rsidP="0066138E">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Bungil Formation</w:t>
            </w:r>
          </w:p>
        </w:tc>
        <w:tc>
          <w:tcPr>
            <w:tcW w:w="2705" w:type="pct"/>
          </w:tcPr>
          <w:p w14:paraId="18A600F4" w14:textId="77777777" w:rsidR="0094529E" w:rsidRPr="00B0618E" w:rsidRDefault="0094529E" w:rsidP="00882668">
            <w:pPr>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Sandstone, siltstone, mudstone, coal</w:t>
            </w:r>
          </w:p>
        </w:tc>
      </w:tr>
      <w:tr w:rsidR="0094529E" w:rsidRPr="00B0618E" w14:paraId="16EEB467" w14:textId="77777777" w:rsidTr="0094529E">
        <w:tc>
          <w:tcPr>
            <w:cnfStyle w:val="001000000000" w:firstRow="0" w:lastRow="0" w:firstColumn="1" w:lastColumn="0" w:oddVBand="0" w:evenVBand="0" w:oddHBand="0" w:evenHBand="0" w:firstRowFirstColumn="0" w:firstRowLastColumn="0" w:lastRowFirstColumn="0" w:lastRowLastColumn="0"/>
            <w:tcW w:w="1147" w:type="pct"/>
            <w:vMerge/>
          </w:tcPr>
          <w:p w14:paraId="3567B8EF" w14:textId="77777777" w:rsidR="0094529E" w:rsidRPr="00B0618E" w:rsidRDefault="0094529E" w:rsidP="0066138E">
            <w:pPr>
              <w:spacing w:before="60" w:after="60"/>
              <w:rPr>
                <w:b w:val="0"/>
                <w:bCs w:val="0"/>
                <w:sz w:val="18"/>
                <w:szCs w:val="18"/>
              </w:rPr>
            </w:pPr>
          </w:p>
        </w:tc>
        <w:tc>
          <w:tcPr>
            <w:tcW w:w="1148" w:type="pct"/>
          </w:tcPr>
          <w:p w14:paraId="672E6896" w14:textId="77777777" w:rsidR="0094529E" w:rsidRPr="00B0618E" w:rsidRDefault="0094529E" w:rsidP="0066138E">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Mooga Sandstone</w:t>
            </w:r>
          </w:p>
        </w:tc>
        <w:tc>
          <w:tcPr>
            <w:tcW w:w="2705" w:type="pct"/>
          </w:tcPr>
          <w:p w14:paraId="7A6F326F" w14:textId="77777777" w:rsidR="0094529E" w:rsidRPr="00B0618E" w:rsidRDefault="0094529E" w:rsidP="00882668">
            <w:pPr>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Sandstone, siltstone, shale, mudstone, coal</w:t>
            </w:r>
          </w:p>
        </w:tc>
      </w:tr>
      <w:tr w:rsidR="0094529E" w:rsidRPr="00B0618E" w14:paraId="16F1054D"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tcPr>
          <w:p w14:paraId="5E8B926E" w14:textId="77777777" w:rsidR="0094529E" w:rsidRPr="00B0618E" w:rsidRDefault="0094529E" w:rsidP="00882668">
            <w:pPr>
              <w:spacing w:before="60" w:after="60"/>
              <w:rPr>
                <w:b w:val="0"/>
                <w:bCs w:val="0"/>
                <w:sz w:val="18"/>
                <w:szCs w:val="18"/>
              </w:rPr>
            </w:pPr>
          </w:p>
        </w:tc>
        <w:tc>
          <w:tcPr>
            <w:tcW w:w="1148" w:type="pct"/>
          </w:tcPr>
          <w:p w14:paraId="2B7D7CF3" w14:textId="77777777" w:rsidR="0094529E" w:rsidRPr="00B0618E" w:rsidRDefault="0094529E" w:rsidP="00882668">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Orallo Formation</w:t>
            </w:r>
          </w:p>
        </w:tc>
        <w:tc>
          <w:tcPr>
            <w:tcW w:w="2705" w:type="pct"/>
          </w:tcPr>
          <w:p w14:paraId="082F3AD7" w14:textId="77777777" w:rsidR="0094529E" w:rsidRPr="00B0618E" w:rsidRDefault="0094529E" w:rsidP="00882668">
            <w:pPr>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Sandstone, siltstone, mudstone, coal</w:t>
            </w:r>
          </w:p>
        </w:tc>
      </w:tr>
      <w:tr w:rsidR="00397704" w:rsidRPr="00B0618E" w14:paraId="70F0EF59" w14:textId="77777777" w:rsidTr="001A5821">
        <w:tc>
          <w:tcPr>
            <w:cnfStyle w:val="001000000000" w:firstRow="0" w:lastRow="0" w:firstColumn="1" w:lastColumn="0" w:oddVBand="0" w:evenVBand="0" w:oddHBand="0" w:evenHBand="0" w:firstRowFirstColumn="0" w:firstRowLastColumn="0" w:lastRowFirstColumn="0" w:lastRowLastColumn="0"/>
            <w:tcW w:w="1147" w:type="pct"/>
          </w:tcPr>
          <w:p w14:paraId="3765217B" w14:textId="77777777" w:rsidR="00397704" w:rsidRPr="00B0618E" w:rsidRDefault="0094529E" w:rsidP="00882668">
            <w:pPr>
              <w:spacing w:before="60" w:after="60"/>
              <w:rPr>
                <w:b w:val="0"/>
                <w:bCs w:val="0"/>
                <w:sz w:val="18"/>
                <w:szCs w:val="18"/>
              </w:rPr>
            </w:pPr>
            <w:r w:rsidRPr="00B0618E">
              <w:rPr>
                <w:b w:val="0"/>
                <w:bCs w:val="0"/>
                <w:sz w:val="18"/>
                <w:szCs w:val="18"/>
              </w:rPr>
              <w:t>Injune Creek</w:t>
            </w:r>
          </w:p>
        </w:tc>
        <w:tc>
          <w:tcPr>
            <w:tcW w:w="1148" w:type="pct"/>
          </w:tcPr>
          <w:p w14:paraId="3DC2429A" w14:textId="77777777" w:rsidR="00397704" w:rsidRPr="00B0618E" w:rsidRDefault="00397704" w:rsidP="00882668">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Pilliga Sandstone</w:t>
            </w:r>
          </w:p>
        </w:tc>
        <w:tc>
          <w:tcPr>
            <w:tcW w:w="2705" w:type="pct"/>
          </w:tcPr>
          <w:p w14:paraId="6081DC65" w14:textId="77777777" w:rsidR="00397704" w:rsidRPr="00B0618E" w:rsidRDefault="00397704" w:rsidP="00882668">
            <w:pPr>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Sandstone, conglomerate, mudstone, siltstone, coal</w:t>
            </w:r>
          </w:p>
        </w:tc>
      </w:tr>
      <w:tr w:rsidR="00321A9C" w:rsidRPr="00B0618E" w14:paraId="2103D633"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val="restart"/>
          </w:tcPr>
          <w:p w14:paraId="661B0F4F" w14:textId="77777777" w:rsidR="00321A9C" w:rsidRPr="00B0618E" w:rsidRDefault="00321A9C" w:rsidP="00882668">
            <w:pPr>
              <w:spacing w:before="60" w:after="60"/>
              <w:rPr>
                <w:b w:val="0"/>
                <w:bCs w:val="0"/>
                <w:color w:val="FF0000"/>
                <w:sz w:val="18"/>
                <w:szCs w:val="18"/>
              </w:rPr>
            </w:pPr>
          </w:p>
        </w:tc>
        <w:tc>
          <w:tcPr>
            <w:tcW w:w="1148" w:type="pct"/>
          </w:tcPr>
          <w:p w14:paraId="37272BC8" w14:textId="77777777" w:rsidR="00321A9C" w:rsidRPr="00B0618E" w:rsidRDefault="00321A9C" w:rsidP="00882668">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Purlawaugh Formation</w:t>
            </w:r>
          </w:p>
        </w:tc>
        <w:tc>
          <w:tcPr>
            <w:tcW w:w="2705" w:type="pct"/>
          </w:tcPr>
          <w:p w14:paraId="74C76893" w14:textId="77777777" w:rsidR="00321A9C" w:rsidRPr="00B0618E" w:rsidRDefault="00321A9C" w:rsidP="00882668">
            <w:pPr>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 xml:space="preserve">Sandstone, siltstone, mudstone, coal </w:t>
            </w:r>
          </w:p>
        </w:tc>
      </w:tr>
      <w:tr w:rsidR="00321A9C" w:rsidRPr="00B0618E" w14:paraId="306E81EB" w14:textId="77777777" w:rsidTr="0094529E">
        <w:tc>
          <w:tcPr>
            <w:cnfStyle w:val="001000000000" w:firstRow="0" w:lastRow="0" w:firstColumn="1" w:lastColumn="0" w:oddVBand="0" w:evenVBand="0" w:oddHBand="0" w:evenHBand="0" w:firstRowFirstColumn="0" w:firstRowLastColumn="0" w:lastRowFirstColumn="0" w:lastRowLastColumn="0"/>
            <w:tcW w:w="1147" w:type="pct"/>
            <w:vMerge/>
          </w:tcPr>
          <w:p w14:paraId="2B3D33AD" w14:textId="77777777" w:rsidR="00321A9C" w:rsidRPr="00B0618E" w:rsidRDefault="00321A9C" w:rsidP="00882668">
            <w:pPr>
              <w:spacing w:before="60" w:after="60"/>
              <w:rPr>
                <w:b w:val="0"/>
                <w:bCs w:val="0"/>
                <w:color w:val="FF0000"/>
                <w:sz w:val="18"/>
                <w:szCs w:val="18"/>
              </w:rPr>
            </w:pPr>
          </w:p>
        </w:tc>
        <w:tc>
          <w:tcPr>
            <w:tcW w:w="1148" w:type="pct"/>
          </w:tcPr>
          <w:p w14:paraId="65F442D2" w14:textId="77777777" w:rsidR="00321A9C" w:rsidRPr="00B0618E" w:rsidRDefault="00321A9C" w:rsidP="00882668">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Garrawilla Volcanics</w:t>
            </w:r>
          </w:p>
        </w:tc>
        <w:tc>
          <w:tcPr>
            <w:tcW w:w="2705" w:type="pct"/>
          </w:tcPr>
          <w:p w14:paraId="66B45D5C" w14:textId="77777777" w:rsidR="00321A9C" w:rsidRPr="00B0618E" w:rsidRDefault="00321A9C" w:rsidP="00882668">
            <w:pPr>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Dolerite, basalt, trachyte, tuff, breccia</w:t>
            </w:r>
          </w:p>
        </w:tc>
      </w:tr>
      <w:tr w:rsidR="00321A9C" w:rsidRPr="00B0618E" w14:paraId="057CC81E"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tcPr>
          <w:p w14:paraId="1A7AD2A4" w14:textId="77777777" w:rsidR="00321A9C" w:rsidRPr="00B0618E" w:rsidRDefault="00321A9C" w:rsidP="00882668">
            <w:pPr>
              <w:spacing w:before="60" w:after="60"/>
              <w:rPr>
                <w:b w:val="0"/>
                <w:bCs w:val="0"/>
                <w:color w:val="FF0000"/>
                <w:sz w:val="18"/>
                <w:szCs w:val="18"/>
              </w:rPr>
            </w:pPr>
          </w:p>
        </w:tc>
        <w:tc>
          <w:tcPr>
            <w:tcW w:w="1148" w:type="pct"/>
          </w:tcPr>
          <w:p w14:paraId="74EF8EE1" w14:textId="77777777" w:rsidR="00321A9C" w:rsidRPr="00B0618E" w:rsidRDefault="00321A9C" w:rsidP="00882668">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 xml:space="preserve">Deriah Formation </w:t>
            </w:r>
          </w:p>
        </w:tc>
        <w:tc>
          <w:tcPr>
            <w:tcW w:w="2705" w:type="pct"/>
          </w:tcPr>
          <w:p w14:paraId="25493B83" w14:textId="77777777" w:rsidR="00321A9C" w:rsidRPr="00B0618E" w:rsidRDefault="00321A9C" w:rsidP="00882668">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B0618E">
              <w:rPr>
                <w:sz w:val="18"/>
                <w:szCs w:val="18"/>
              </w:rPr>
              <w:t>Sandstone, mudstone</w:t>
            </w:r>
          </w:p>
        </w:tc>
      </w:tr>
      <w:tr w:rsidR="00321A9C" w:rsidRPr="00B0618E" w14:paraId="56A0A580" w14:textId="77777777" w:rsidTr="0094529E">
        <w:tc>
          <w:tcPr>
            <w:cnfStyle w:val="001000000000" w:firstRow="0" w:lastRow="0" w:firstColumn="1" w:lastColumn="0" w:oddVBand="0" w:evenVBand="0" w:oddHBand="0" w:evenHBand="0" w:firstRowFirstColumn="0" w:firstRowLastColumn="0" w:lastRowFirstColumn="0" w:lastRowLastColumn="0"/>
            <w:tcW w:w="1147" w:type="pct"/>
            <w:vMerge/>
          </w:tcPr>
          <w:p w14:paraId="1F15CADE" w14:textId="77777777" w:rsidR="00321A9C" w:rsidRPr="00B0618E" w:rsidRDefault="00321A9C" w:rsidP="00882668">
            <w:pPr>
              <w:spacing w:before="60" w:after="60"/>
              <w:rPr>
                <w:b w:val="0"/>
                <w:bCs w:val="0"/>
                <w:color w:val="FF0000"/>
                <w:sz w:val="18"/>
                <w:szCs w:val="18"/>
              </w:rPr>
            </w:pPr>
          </w:p>
        </w:tc>
        <w:tc>
          <w:tcPr>
            <w:tcW w:w="1148" w:type="pct"/>
          </w:tcPr>
          <w:p w14:paraId="22146152" w14:textId="77777777" w:rsidR="00321A9C" w:rsidRPr="00B0618E" w:rsidRDefault="00321A9C" w:rsidP="00882668">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 xml:space="preserve">Napperby Formation </w:t>
            </w:r>
          </w:p>
        </w:tc>
        <w:tc>
          <w:tcPr>
            <w:tcW w:w="2705" w:type="pct"/>
          </w:tcPr>
          <w:p w14:paraId="02E642E3" w14:textId="77777777" w:rsidR="00321A9C" w:rsidRPr="00B0618E" w:rsidRDefault="00321A9C" w:rsidP="00882668">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B0618E">
              <w:rPr>
                <w:sz w:val="18"/>
                <w:szCs w:val="18"/>
              </w:rPr>
              <w:t>Sandstone, siltstone, conglomerate, shale</w:t>
            </w:r>
          </w:p>
        </w:tc>
      </w:tr>
      <w:tr w:rsidR="00321A9C" w:rsidRPr="00B0618E" w14:paraId="41E8A073"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tcPr>
          <w:p w14:paraId="6BFA11B1" w14:textId="77777777" w:rsidR="00321A9C" w:rsidRPr="00B0618E" w:rsidRDefault="00321A9C" w:rsidP="00882668">
            <w:pPr>
              <w:spacing w:before="60" w:after="60"/>
              <w:rPr>
                <w:b w:val="0"/>
                <w:bCs w:val="0"/>
                <w:color w:val="FF0000"/>
                <w:sz w:val="18"/>
                <w:szCs w:val="18"/>
              </w:rPr>
            </w:pPr>
          </w:p>
        </w:tc>
        <w:tc>
          <w:tcPr>
            <w:tcW w:w="1148" w:type="pct"/>
          </w:tcPr>
          <w:p w14:paraId="73859D3F" w14:textId="77777777" w:rsidR="00321A9C" w:rsidRPr="00B0618E" w:rsidRDefault="00321A9C" w:rsidP="00882668">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 xml:space="preserve">Digby Formation </w:t>
            </w:r>
          </w:p>
        </w:tc>
        <w:tc>
          <w:tcPr>
            <w:tcW w:w="2705" w:type="pct"/>
          </w:tcPr>
          <w:p w14:paraId="67EE7418" w14:textId="77777777" w:rsidR="00321A9C" w:rsidRPr="00B0618E" w:rsidRDefault="00321A9C" w:rsidP="00397704">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B0618E">
              <w:rPr>
                <w:sz w:val="18"/>
                <w:szCs w:val="18"/>
              </w:rPr>
              <w:t>Conglomerate, sandstone</w:t>
            </w:r>
          </w:p>
        </w:tc>
      </w:tr>
      <w:tr w:rsidR="00096F3F" w:rsidRPr="00B0618E" w14:paraId="7019CF26" w14:textId="77777777" w:rsidTr="0094529E">
        <w:tc>
          <w:tcPr>
            <w:cnfStyle w:val="001000000000" w:firstRow="0" w:lastRow="0" w:firstColumn="1" w:lastColumn="0" w:oddVBand="0" w:evenVBand="0" w:oddHBand="0" w:evenHBand="0" w:firstRowFirstColumn="0" w:firstRowLastColumn="0" w:lastRowFirstColumn="0" w:lastRowLastColumn="0"/>
            <w:tcW w:w="1147" w:type="pct"/>
            <w:vMerge w:val="restart"/>
          </w:tcPr>
          <w:p w14:paraId="14602C8E" w14:textId="77777777" w:rsidR="00096F3F" w:rsidRPr="00B0618E" w:rsidRDefault="00096F3F" w:rsidP="00882668">
            <w:pPr>
              <w:spacing w:before="60" w:after="60"/>
              <w:rPr>
                <w:b w:val="0"/>
                <w:bCs w:val="0"/>
                <w:sz w:val="18"/>
                <w:szCs w:val="18"/>
              </w:rPr>
            </w:pPr>
            <w:r w:rsidRPr="00B0618E">
              <w:rPr>
                <w:b w:val="0"/>
                <w:bCs w:val="0"/>
                <w:sz w:val="18"/>
                <w:szCs w:val="18"/>
              </w:rPr>
              <w:t>Black Jack</w:t>
            </w:r>
          </w:p>
        </w:tc>
        <w:tc>
          <w:tcPr>
            <w:tcW w:w="1148" w:type="pct"/>
          </w:tcPr>
          <w:p w14:paraId="4899EFB8" w14:textId="77777777" w:rsidR="00096F3F" w:rsidRPr="00B0618E" w:rsidRDefault="00096F3F" w:rsidP="00882668">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 xml:space="preserve">Trinkey Formation </w:t>
            </w:r>
          </w:p>
        </w:tc>
        <w:tc>
          <w:tcPr>
            <w:tcW w:w="2705" w:type="pct"/>
          </w:tcPr>
          <w:p w14:paraId="548E3F28" w14:textId="77777777" w:rsidR="00096F3F" w:rsidRPr="00B0618E" w:rsidRDefault="00096F3F" w:rsidP="00397704">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B0618E">
              <w:rPr>
                <w:sz w:val="18"/>
                <w:szCs w:val="18"/>
              </w:rPr>
              <w:t>Claystone, siltstone, sandstone, tuff, claystone, coal</w:t>
            </w:r>
          </w:p>
        </w:tc>
      </w:tr>
      <w:tr w:rsidR="00096F3F" w:rsidRPr="00B0618E" w14:paraId="35846D74"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tcPr>
          <w:p w14:paraId="292CDB0B" w14:textId="77777777" w:rsidR="00096F3F" w:rsidRPr="00B0618E" w:rsidRDefault="00096F3F" w:rsidP="00096F3F">
            <w:pPr>
              <w:spacing w:before="60" w:after="60"/>
              <w:rPr>
                <w:b w:val="0"/>
                <w:bCs w:val="0"/>
                <w:sz w:val="18"/>
                <w:szCs w:val="18"/>
              </w:rPr>
            </w:pPr>
          </w:p>
        </w:tc>
        <w:tc>
          <w:tcPr>
            <w:tcW w:w="1148" w:type="pct"/>
          </w:tcPr>
          <w:p w14:paraId="38DC00C0" w14:textId="77777777" w:rsidR="00096F3F" w:rsidRPr="00B0618E" w:rsidRDefault="00096F3F" w:rsidP="00882668">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 xml:space="preserve">Wallala Formation </w:t>
            </w:r>
          </w:p>
        </w:tc>
        <w:tc>
          <w:tcPr>
            <w:tcW w:w="2705" w:type="pct"/>
          </w:tcPr>
          <w:p w14:paraId="6B1591BA" w14:textId="77777777" w:rsidR="00096F3F" w:rsidRPr="00B0618E" w:rsidRDefault="00096F3F" w:rsidP="00882668">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B0618E">
              <w:rPr>
                <w:sz w:val="18"/>
                <w:szCs w:val="18"/>
              </w:rPr>
              <w:t xml:space="preserve">Conglomerate, sandstone, siltstone, claystone, coal </w:t>
            </w:r>
          </w:p>
        </w:tc>
      </w:tr>
      <w:tr w:rsidR="00096F3F" w:rsidRPr="00B0618E" w14:paraId="629B8E4F" w14:textId="77777777" w:rsidTr="0094529E">
        <w:tc>
          <w:tcPr>
            <w:cnfStyle w:val="001000000000" w:firstRow="0" w:lastRow="0" w:firstColumn="1" w:lastColumn="0" w:oddVBand="0" w:evenVBand="0" w:oddHBand="0" w:evenHBand="0" w:firstRowFirstColumn="0" w:firstRowLastColumn="0" w:lastRowFirstColumn="0" w:lastRowLastColumn="0"/>
            <w:tcW w:w="1147" w:type="pct"/>
            <w:vMerge/>
          </w:tcPr>
          <w:p w14:paraId="3467CFBC" w14:textId="77777777" w:rsidR="00096F3F" w:rsidRPr="00B0618E" w:rsidRDefault="00096F3F" w:rsidP="00397704"/>
        </w:tc>
        <w:tc>
          <w:tcPr>
            <w:tcW w:w="1148" w:type="pct"/>
          </w:tcPr>
          <w:p w14:paraId="0D993BE9" w14:textId="77777777" w:rsidR="00096F3F" w:rsidRPr="00B0618E" w:rsidRDefault="00096F3F" w:rsidP="00397704">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Clare Sandstone</w:t>
            </w:r>
          </w:p>
        </w:tc>
        <w:tc>
          <w:tcPr>
            <w:tcW w:w="2705" w:type="pct"/>
          </w:tcPr>
          <w:p w14:paraId="4A9C209A" w14:textId="77777777" w:rsidR="00096F3F" w:rsidRPr="00B0618E" w:rsidRDefault="00096F3F" w:rsidP="00397704">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B0618E">
              <w:rPr>
                <w:sz w:val="18"/>
                <w:szCs w:val="18"/>
              </w:rPr>
              <w:t>Sandstone, conglomerate, coal, claystone</w:t>
            </w:r>
          </w:p>
        </w:tc>
      </w:tr>
      <w:tr w:rsidR="00096F3F" w:rsidRPr="00B0618E" w14:paraId="5B64D261"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tcPr>
          <w:p w14:paraId="04AF48CA" w14:textId="77777777" w:rsidR="00096F3F" w:rsidRPr="00B0618E" w:rsidRDefault="00096F3F" w:rsidP="00397704"/>
        </w:tc>
        <w:tc>
          <w:tcPr>
            <w:tcW w:w="1148" w:type="pct"/>
          </w:tcPr>
          <w:p w14:paraId="538829ED" w14:textId="77777777" w:rsidR="00096F3F" w:rsidRPr="00B0618E" w:rsidRDefault="00096F3F" w:rsidP="00397704">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 xml:space="preserve">Benelabri Formation </w:t>
            </w:r>
          </w:p>
        </w:tc>
        <w:tc>
          <w:tcPr>
            <w:tcW w:w="2705" w:type="pct"/>
          </w:tcPr>
          <w:p w14:paraId="29BD39F2" w14:textId="77777777" w:rsidR="00096F3F" w:rsidRPr="00B0618E" w:rsidRDefault="00096F3F" w:rsidP="00397704">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B0618E">
              <w:rPr>
                <w:sz w:val="18"/>
                <w:szCs w:val="18"/>
              </w:rPr>
              <w:t>Claystone, siltstone, sandstone, coal</w:t>
            </w:r>
          </w:p>
        </w:tc>
      </w:tr>
      <w:tr w:rsidR="00096F3F" w:rsidRPr="00B0618E" w14:paraId="7DEBD06A" w14:textId="77777777" w:rsidTr="0094529E">
        <w:tc>
          <w:tcPr>
            <w:cnfStyle w:val="001000000000" w:firstRow="0" w:lastRow="0" w:firstColumn="1" w:lastColumn="0" w:oddVBand="0" w:evenVBand="0" w:oddHBand="0" w:evenHBand="0" w:firstRowFirstColumn="0" w:firstRowLastColumn="0" w:lastRowFirstColumn="0" w:lastRowLastColumn="0"/>
            <w:tcW w:w="1147" w:type="pct"/>
            <w:vMerge/>
          </w:tcPr>
          <w:p w14:paraId="45E7A86F" w14:textId="77777777" w:rsidR="00096F3F" w:rsidRPr="00B0618E" w:rsidRDefault="00096F3F" w:rsidP="00397704"/>
        </w:tc>
        <w:tc>
          <w:tcPr>
            <w:tcW w:w="1148" w:type="pct"/>
          </w:tcPr>
          <w:p w14:paraId="633571F4" w14:textId="77777777" w:rsidR="00096F3F" w:rsidRPr="00B0618E" w:rsidRDefault="00096F3F" w:rsidP="00397704">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 xml:space="preserve">Hoskissons Coal </w:t>
            </w:r>
          </w:p>
        </w:tc>
        <w:tc>
          <w:tcPr>
            <w:tcW w:w="2705" w:type="pct"/>
          </w:tcPr>
          <w:p w14:paraId="1461905C" w14:textId="77777777" w:rsidR="00096F3F" w:rsidRPr="00B0618E" w:rsidRDefault="00096F3F" w:rsidP="00397704">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B0618E">
              <w:rPr>
                <w:sz w:val="18"/>
                <w:szCs w:val="18"/>
              </w:rPr>
              <w:t>Coal, sandstone, siltstone, claystone, tuff</w:t>
            </w:r>
          </w:p>
        </w:tc>
      </w:tr>
      <w:tr w:rsidR="00096F3F" w:rsidRPr="00B0618E" w14:paraId="12D514B5"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tcPr>
          <w:p w14:paraId="5AA77F26" w14:textId="77777777" w:rsidR="00096F3F" w:rsidRPr="00B0618E" w:rsidRDefault="00096F3F" w:rsidP="00397704"/>
        </w:tc>
        <w:tc>
          <w:tcPr>
            <w:tcW w:w="1148" w:type="pct"/>
          </w:tcPr>
          <w:p w14:paraId="66C5AC65" w14:textId="77777777" w:rsidR="00096F3F" w:rsidRPr="00B0618E" w:rsidRDefault="00096F3F" w:rsidP="00397704">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 xml:space="preserve">Brigalow Formation </w:t>
            </w:r>
          </w:p>
        </w:tc>
        <w:tc>
          <w:tcPr>
            <w:tcW w:w="2705" w:type="pct"/>
          </w:tcPr>
          <w:p w14:paraId="4873857E" w14:textId="77777777" w:rsidR="00096F3F" w:rsidRPr="00B0618E" w:rsidRDefault="00096F3F" w:rsidP="00397704">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B0618E">
              <w:rPr>
                <w:sz w:val="18"/>
                <w:szCs w:val="18"/>
              </w:rPr>
              <w:t>Sandstone, siltstone</w:t>
            </w:r>
          </w:p>
        </w:tc>
      </w:tr>
      <w:tr w:rsidR="00096F3F" w:rsidRPr="00B0618E" w14:paraId="1E51A1BA" w14:textId="77777777" w:rsidTr="0094529E">
        <w:tc>
          <w:tcPr>
            <w:cnfStyle w:val="001000000000" w:firstRow="0" w:lastRow="0" w:firstColumn="1" w:lastColumn="0" w:oddVBand="0" w:evenVBand="0" w:oddHBand="0" w:evenHBand="0" w:firstRowFirstColumn="0" w:firstRowLastColumn="0" w:lastRowFirstColumn="0" w:lastRowLastColumn="0"/>
            <w:tcW w:w="1147" w:type="pct"/>
            <w:vMerge/>
          </w:tcPr>
          <w:p w14:paraId="138826BE" w14:textId="77777777" w:rsidR="00096F3F" w:rsidRPr="00B0618E" w:rsidRDefault="00096F3F" w:rsidP="00397704"/>
        </w:tc>
        <w:tc>
          <w:tcPr>
            <w:tcW w:w="1148" w:type="pct"/>
          </w:tcPr>
          <w:p w14:paraId="69430955" w14:textId="77777777" w:rsidR="00096F3F" w:rsidRPr="00B0618E" w:rsidRDefault="00096F3F" w:rsidP="00397704">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 xml:space="preserve">Arkarula Formation </w:t>
            </w:r>
          </w:p>
        </w:tc>
        <w:tc>
          <w:tcPr>
            <w:tcW w:w="2705" w:type="pct"/>
          </w:tcPr>
          <w:p w14:paraId="4BC9F891" w14:textId="77777777" w:rsidR="00096F3F" w:rsidRPr="00B0618E" w:rsidRDefault="00096F3F" w:rsidP="00397704">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B0618E">
              <w:rPr>
                <w:sz w:val="18"/>
                <w:szCs w:val="18"/>
              </w:rPr>
              <w:t>Sandstone, siltstone</w:t>
            </w:r>
          </w:p>
        </w:tc>
      </w:tr>
      <w:tr w:rsidR="00096F3F" w:rsidRPr="00B0618E" w14:paraId="35721D54"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tcPr>
          <w:p w14:paraId="3CB62840" w14:textId="77777777" w:rsidR="00096F3F" w:rsidRPr="00B0618E" w:rsidRDefault="00096F3F" w:rsidP="00397704"/>
        </w:tc>
        <w:tc>
          <w:tcPr>
            <w:tcW w:w="1148" w:type="pct"/>
          </w:tcPr>
          <w:p w14:paraId="3332E443" w14:textId="77777777" w:rsidR="00096F3F" w:rsidRPr="00B0618E" w:rsidRDefault="00096F3F" w:rsidP="00397704">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 xml:space="preserve">Pamboola Formation </w:t>
            </w:r>
          </w:p>
        </w:tc>
        <w:tc>
          <w:tcPr>
            <w:tcW w:w="2705" w:type="pct"/>
          </w:tcPr>
          <w:p w14:paraId="426B9CFB" w14:textId="77777777" w:rsidR="00096F3F" w:rsidRPr="00B0618E" w:rsidRDefault="00096F3F" w:rsidP="00397704">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B0618E">
              <w:rPr>
                <w:sz w:val="18"/>
                <w:szCs w:val="18"/>
              </w:rPr>
              <w:t>Sandstone, siltstone, claystone, conglomerate, coal</w:t>
            </w:r>
          </w:p>
        </w:tc>
      </w:tr>
      <w:tr w:rsidR="00096F3F" w:rsidRPr="00B0618E" w14:paraId="2A9D406D" w14:textId="77777777" w:rsidTr="001D5947">
        <w:tc>
          <w:tcPr>
            <w:cnfStyle w:val="001000000000" w:firstRow="0" w:lastRow="0" w:firstColumn="1" w:lastColumn="0" w:oddVBand="0" w:evenVBand="0" w:oddHBand="0" w:evenHBand="0" w:firstRowFirstColumn="0" w:firstRowLastColumn="0" w:lastRowFirstColumn="0" w:lastRowLastColumn="0"/>
            <w:tcW w:w="1147" w:type="pct"/>
            <w:vMerge w:val="restart"/>
            <w:shd w:val="clear" w:color="auto" w:fill="EAEAEA"/>
          </w:tcPr>
          <w:p w14:paraId="75DBF8AD" w14:textId="77777777" w:rsidR="00096F3F" w:rsidRPr="00B0618E" w:rsidRDefault="00096F3F" w:rsidP="00882668">
            <w:pPr>
              <w:spacing w:before="60" w:after="60"/>
              <w:rPr>
                <w:b w:val="0"/>
                <w:bCs w:val="0"/>
                <w:sz w:val="18"/>
                <w:szCs w:val="18"/>
              </w:rPr>
            </w:pPr>
            <w:r w:rsidRPr="00B0618E">
              <w:rPr>
                <w:b w:val="0"/>
                <w:bCs w:val="0"/>
                <w:sz w:val="18"/>
                <w:szCs w:val="18"/>
              </w:rPr>
              <w:t>Millie</w:t>
            </w:r>
          </w:p>
        </w:tc>
        <w:tc>
          <w:tcPr>
            <w:tcW w:w="1148" w:type="pct"/>
          </w:tcPr>
          <w:p w14:paraId="12E00AE6" w14:textId="77777777" w:rsidR="00096F3F" w:rsidRPr="00B0618E" w:rsidRDefault="00096F3F" w:rsidP="00882668">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 xml:space="preserve">Watermark Formation </w:t>
            </w:r>
          </w:p>
        </w:tc>
        <w:tc>
          <w:tcPr>
            <w:tcW w:w="2705" w:type="pct"/>
          </w:tcPr>
          <w:p w14:paraId="380ECB62" w14:textId="77777777" w:rsidR="00096F3F" w:rsidRPr="00B0618E" w:rsidRDefault="00096F3F" w:rsidP="00397704">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B0618E">
              <w:rPr>
                <w:sz w:val="18"/>
                <w:szCs w:val="18"/>
              </w:rPr>
              <w:t>Siltstone, claystone, sandstone</w:t>
            </w:r>
          </w:p>
        </w:tc>
      </w:tr>
      <w:tr w:rsidR="00096F3F" w:rsidRPr="00B0618E" w14:paraId="4C4DA536"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shd w:val="clear" w:color="auto" w:fill="EAEAEA"/>
          </w:tcPr>
          <w:p w14:paraId="6DBD568F" w14:textId="77777777" w:rsidR="00096F3F" w:rsidRPr="00B0618E" w:rsidRDefault="00096F3F" w:rsidP="00882668">
            <w:pPr>
              <w:spacing w:before="60" w:after="60"/>
              <w:rPr>
                <w:b w:val="0"/>
                <w:bCs w:val="0"/>
                <w:sz w:val="18"/>
                <w:szCs w:val="18"/>
              </w:rPr>
            </w:pPr>
          </w:p>
        </w:tc>
        <w:tc>
          <w:tcPr>
            <w:tcW w:w="1148" w:type="pct"/>
          </w:tcPr>
          <w:p w14:paraId="13AE984C" w14:textId="77777777" w:rsidR="00096F3F" w:rsidRPr="00B0618E" w:rsidRDefault="00096F3F" w:rsidP="00882668">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 xml:space="preserve">Porcupine Formation </w:t>
            </w:r>
          </w:p>
        </w:tc>
        <w:tc>
          <w:tcPr>
            <w:tcW w:w="2705" w:type="pct"/>
          </w:tcPr>
          <w:p w14:paraId="2C156843" w14:textId="77777777" w:rsidR="00096F3F" w:rsidRPr="00B0618E" w:rsidRDefault="00096F3F" w:rsidP="00397704">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B0618E">
              <w:rPr>
                <w:sz w:val="18"/>
                <w:szCs w:val="18"/>
              </w:rPr>
              <w:t>Conglomerate, sandstone, siltstone</w:t>
            </w:r>
          </w:p>
        </w:tc>
      </w:tr>
      <w:tr w:rsidR="00096F3F" w:rsidRPr="00B0618E" w14:paraId="73D3D54A" w14:textId="77777777" w:rsidTr="0094529E">
        <w:tc>
          <w:tcPr>
            <w:cnfStyle w:val="001000000000" w:firstRow="0" w:lastRow="0" w:firstColumn="1" w:lastColumn="0" w:oddVBand="0" w:evenVBand="0" w:oddHBand="0" w:evenHBand="0" w:firstRowFirstColumn="0" w:firstRowLastColumn="0" w:lastRowFirstColumn="0" w:lastRowLastColumn="0"/>
            <w:tcW w:w="1147" w:type="pct"/>
            <w:vMerge w:val="restart"/>
          </w:tcPr>
          <w:p w14:paraId="59C7DE69" w14:textId="77777777" w:rsidR="00096F3F" w:rsidRPr="00B0618E" w:rsidRDefault="00096F3F" w:rsidP="00882668">
            <w:pPr>
              <w:spacing w:before="60" w:after="60"/>
              <w:rPr>
                <w:sz w:val="18"/>
                <w:szCs w:val="18"/>
              </w:rPr>
            </w:pPr>
            <w:r w:rsidRPr="00B0618E">
              <w:rPr>
                <w:b w:val="0"/>
                <w:bCs w:val="0"/>
                <w:sz w:val="18"/>
                <w:szCs w:val="18"/>
              </w:rPr>
              <w:t>Bellata</w:t>
            </w:r>
          </w:p>
          <w:p w14:paraId="63AC3B28" w14:textId="77777777" w:rsidR="00096F3F" w:rsidRPr="00B0618E" w:rsidRDefault="00096F3F" w:rsidP="00096F3F">
            <w:pPr>
              <w:spacing w:before="60" w:after="60"/>
              <w:rPr>
                <w:b w:val="0"/>
                <w:bCs w:val="0"/>
                <w:sz w:val="18"/>
                <w:szCs w:val="18"/>
              </w:rPr>
            </w:pPr>
          </w:p>
        </w:tc>
        <w:tc>
          <w:tcPr>
            <w:tcW w:w="1148" w:type="pct"/>
          </w:tcPr>
          <w:p w14:paraId="616665A4" w14:textId="77777777" w:rsidR="00096F3F" w:rsidRPr="00B0618E" w:rsidRDefault="00096F3F" w:rsidP="00882668">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Maules Creek Formation</w:t>
            </w:r>
          </w:p>
        </w:tc>
        <w:tc>
          <w:tcPr>
            <w:tcW w:w="2705" w:type="pct"/>
          </w:tcPr>
          <w:p w14:paraId="305624F0" w14:textId="77777777" w:rsidR="00096F3F" w:rsidRPr="00B0618E" w:rsidRDefault="00096F3F" w:rsidP="00397704">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B0618E">
              <w:rPr>
                <w:sz w:val="18"/>
                <w:szCs w:val="18"/>
              </w:rPr>
              <w:t>Claystone, sandstone, coal, siltstone, conglomerate</w:t>
            </w:r>
          </w:p>
        </w:tc>
      </w:tr>
      <w:tr w:rsidR="00096F3F" w:rsidRPr="00B0618E" w14:paraId="4DE76EEC"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tcPr>
          <w:p w14:paraId="20AA6A60" w14:textId="77777777" w:rsidR="00096F3F" w:rsidRPr="00B0618E" w:rsidRDefault="00096F3F" w:rsidP="00882668">
            <w:pPr>
              <w:spacing w:before="60" w:after="60"/>
              <w:rPr>
                <w:b w:val="0"/>
                <w:bCs w:val="0"/>
                <w:sz w:val="18"/>
                <w:szCs w:val="18"/>
              </w:rPr>
            </w:pPr>
          </w:p>
        </w:tc>
        <w:tc>
          <w:tcPr>
            <w:tcW w:w="1148" w:type="pct"/>
          </w:tcPr>
          <w:p w14:paraId="44BFAD55" w14:textId="77777777" w:rsidR="00096F3F" w:rsidRPr="00B0618E" w:rsidRDefault="00096F3F" w:rsidP="00882668">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Goonbri Formation</w:t>
            </w:r>
          </w:p>
        </w:tc>
        <w:tc>
          <w:tcPr>
            <w:tcW w:w="2705" w:type="pct"/>
          </w:tcPr>
          <w:p w14:paraId="08696229" w14:textId="77777777" w:rsidR="00096F3F" w:rsidRPr="00B0618E" w:rsidRDefault="00096F3F" w:rsidP="00397704">
            <w:pPr>
              <w:spacing w:before="60" w:after="60"/>
              <w:cnfStyle w:val="000000100000" w:firstRow="0" w:lastRow="0" w:firstColumn="0" w:lastColumn="0" w:oddVBand="0" w:evenVBand="0" w:oddHBand="1" w:evenHBand="0" w:firstRowFirstColumn="0" w:firstRowLastColumn="0" w:lastRowFirstColumn="0" w:lastRowLastColumn="0"/>
              <w:rPr>
                <w:sz w:val="18"/>
                <w:szCs w:val="18"/>
              </w:rPr>
            </w:pPr>
            <w:r w:rsidRPr="00B0618E">
              <w:rPr>
                <w:sz w:val="18"/>
                <w:szCs w:val="18"/>
              </w:rPr>
              <w:t>Siltstone, coal, claystone, sandstone</w:t>
            </w:r>
          </w:p>
        </w:tc>
      </w:tr>
      <w:tr w:rsidR="00096F3F" w:rsidRPr="00B0618E" w14:paraId="0BC63449" w14:textId="77777777" w:rsidTr="001A5821">
        <w:tc>
          <w:tcPr>
            <w:cnfStyle w:val="001000000000" w:firstRow="0" w:lastRow="0" w:firstColumn="1" w:lastColumn="0" w:oddVBand="0" w:evenVBand="0" w:oddHBand="0" w:evenHBand="0" w:firstRowFirstColumn="0" w:firstRowLastColumn="0" w:lastRowFirstColumn="0" w:lastRowLastColumn="0"/>
            <w:tcW w:w="1147" w:type="pct"/>
            <w:vMerge/>
          </w:tcPr>
          <w:p w14:paraId="42973E22" w14:textId="77777777" w:rsidR="00096F3F" w:rsidRPr="00B0618E" w:rsidRDefault="00096F3F" w:rsidP="00882668">
            <w:pPr>
              <w:spacing w:before="60" w:after="60"/>
              <w:rPr>
                <w:b w:val="0"/>
                <w:bCs w:val="0"/>
                <w:sz w:val="18"/>
                <w:szCs w:val="18"/>
              </w:rPr>
            </w:pPr>
          </w:p>
        </w:tc>
        <w:tc>
          <w:tcPr>
            <w:tcW w:w="1148" w:type="pct"/>
          </w:tcPr>
          <w:p w14:paraId="3F37757E" w14:textId="77777777" w:rsidR="00096F3F" w:rsidRPr="00B0618E" w:rsidRDefault="00096F3F" w:rsidP="00882668">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Leard Formation</w:t>
            </w:r>
          </w:p>
        </w:tc>
        <w:tc>
          <w:tcPr>
            <w:tcW w:w="2705" w:type="pct"/>
          </w:tcPr>
          <w:p w14:paraId="4DA34621" w14:textId="77777777" w:rsidR="00096F3F" w:rsidRPr="00B0618E" w:rsidRDefault="00096F3F" w:rsidP="00882668">
            <w:pPr>
              <w:spacing w:before="60" w:after="60"/>
              <w:cnfStyle w:val="000000000000" w:firstRow="0" w:lastRow="0" w:firstColumn="0" w:lastColumn="0" w:oddVBand="0" w:evenVBand="0" w:oddHBand="0" w:evenHBand="0" w:firstRowFirstColumn="0" w:firstRowLastColumn="0" w:lastRowFirstColumn="0" w:lastRowLastColumn="0"/>
              <w:rPr>
                <w:sz w:val="18"/>
                <w:szCs w:val="18"/>
              </w:rPr>
            </w:pPr>
            <w:r w:rsidRPr="00B0618E">
              <w:rPr>
                <w:sz w:val="18"/>
                <w:szCs w:val="18"/>
              </w:rPr>
              <w:t>Sandstone, conglomerate, coal</w:t>
            </w:r>
          </w:p>
        </w:tc>
      </w:tr>
      <w:tr w:rsidR="00321A9C" w:rsidRPr="00B0618E" w14:paraId="186F8F79"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47" w:type="pct"/>
            <w:vMerge w:val="restart"/>
          </w:tcPr>
          <w:p w14:paraId="4DD09542" w14:textId="67C5CD43" w:rsidR="00321A9C" w:rsidRPr="00B0618E" w:rsidRDefault="008C4B12" w:rsidP="00882668">
            <w:pPr>
              <w:spacing w:before="60" w:after="60"/>
              <w:rPr>
                <w:b w:val="0"/>
                <w:bCs w:val="0"/>
                <w:color w:val="FF0000"/>
                <w:sz w:val="18"/>
                <w:szCs w:val="18"/>
              </w:rPr>
            </w:pPr>
            <w:r w:rsidRPr="001766E2">
              <w:rPr>
                <w:b w:val="0"/>
                <w:bCs w:val="0"/>
                <w:color w:val="auto"/>
                <w:sz w:val="18"/>
                <w:szCs w:val="18"/>
              </w:rPr>
              <w:t>N/A</w:t>
            </w:r>
          </w:p>
        </w:tc>
        <w:tc>
          <w:tcPr>
            <w:tcW w:w="1148" w:type="pct"/>
          </w:tcPr>
          <w:p w14:paraId="55FADC6B" w14:textId="77777777" w:rsidR="00321A9C" w:rsidRPr="00B0618E" w:rsidRDefault="00321A9C" w:rsidP="00882668">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Werrie Basalt</w:t>
            </w:r>
          </w:p>
        </w:tc>
        <w:tc>
          <w:tcPr>
            <w:tcW w:w="2705" w:type="pct"/>
          </w:tcPr>
          <w:p w14:paraId="13E6CDBD" w14:textId="77777777" w:rsidR="00321A9C" w:rsidRPr="00B0618E" w:rsidRDefault="00321A9C" w:rsidP="00882668">
            <w:pPr>
              <w:spacing w:before="60" w:after="60"/>
              <w:cnfStyle w:val="000000100000" w:firstRow="0" w:lastRow="0" w:firstColumn="0" w:lastColumn="0" w:oddVBand="0" w:evenVBand="0" w:oddHBand="1" w:evenHBand="0" w:firstRowFirstColumn="0" w:firstRowLastColumn="0" w:lastRowFirstColumn="0" w:lastRowLastColumn="0"/>
              <w:rPr>
                <w:bCs/>
                <w:sz w:val="18"/>
                <w:szCs w:val="18"/>
              </w:rPr>
            </w:pPr>
            <w:r w:rsidRPr="00B0618E">
              <w:rPr>
                <w:bCs/>
                <w:sz w:val="18"/>
                <w:szCs w:val="18"/>
              </w:rPr>
              <w:t>Basalt, tuff, coal</w:t>
            </w:r>
          </w:p>
        </w:tc>
      </w:tr>
      <w:tr w:rsidR="00321A9C" w:rsidRPr="00B0618E" w14:paraId="525995B6" w14:textId="77777777" w:rsidTr="0094529E">
        <w:tc>
          <w:tcPr>
            <w:cnfStyle w:val="001000000000" w:firstRow="0" w:lastRow="0" w:firstColumn="1" w:lastColumn="0" w:oddVBand="0" w:evenVBand="0" w:oddHBand="0" w:evenHBand="0" w:firstRowFirstColumn="0" w:firstRowLastColumn="0" w:lastRowFirstColumn="0" w:lastRowLastColumn="0"/>
            <w:tcW w:w="1147" w:type="pct"/>
            <w:vMerge/>
          </w:tcPr>
          <w:p w14:paraId="0ADFD732" w14:textId="77777777" w:rsidR="00321A9C" w:rsidRPr="00B0618E" w:rsidRDefault="00321A9C" w:rsidP="00882668">
            <w:pPr>
              <w:spacing w:before="60" w:after="60"/>
              <w:rPr>
                <w:b w:val="0"/>
                <w:bCs w:val="0"/>
                <w:color w:val="FF0000"/>
                <w:sz w:val="18"/>
                <w:szCs w:val="18"/>
              </w:rPr>
            </w:pPr>
          </w:p>
        </w:tc>
        <w:tc>
          <w:tcPr>
            <w:tcW w:w="1148" w:type="pct"/>
          </w:tcPr>
          <w:p w14:paraId="484F6285" w14:textId="77777777" w:rsidR="00321A9C" w:rsidRPr="00B0618E" w:rsidRDefault="00321A9C" w:rsidP="00882668">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Boggabri Volcanics</w:t>
            </w:r>
          </w:p>
        </w:tc>
        <w:tc>
          <w:tcPr>
            <w:tcW w:w="2705" w:type="pct"/>
          </w:tcPr>
          <w:p w14:paraId="28835B7D" w14:textId="77777777" w:rsidR="00321A9C" w:rsidRPr="00B0618E" w:rsidRDefault="00321A9C" w:rsidP="00096F3F">
            <w:pPr>
              <w:spacing w:before="60" w:after="60"/>
              <w:cnfStyle w:val="000000000000" w:firstRow="0" w:lastRow="0" w:firstColumn="0" w:lastColumn="0" w:oddVBand="0" w:evenVBand="0" w:oddHBand="0" w:evenHBand="0" w:firstRowFirstColumn="0" w:firstRowLastColumn="0" w:lastRowFirstColumn="0" w:lastRowLastColumn="0"/>
              <w:rPr>
                <w:bCs/>
                <w:sz w:val="18"/>
                <w:szCs w:val="18"/>
              </w:rPr>
            </w:pPr>
            <w:r w:rsidRPr="00B0618E">
              <w:rPr>
                <w:bCs/>
                <w:sz w:val="18"/>
                <w:szCs w:val="18"/>
              </w:rPr>
              <w:t>Rhyolite, dacite, tuff, shale, trachyte, andesite</w:t>
            </w:r>
          </w:p>
        </w:tc>
      </w:tr>
    </w:tbl>
    <w:p w14:paraId="51D15603" w14:textId="77777777" w:rsidR="001170B1" w:rsidRPr="00B0618E" w:rsidRDefault="001170B1" w:rsidP="001170B1">
      <w:pPr>
        <w:pStyle w:val="BodyText"/>
      </w:pPr>
    </w:p>
    <w:p w14:paraId="77C6422B" w14:textId="436C1765" w:rsidR="006E4453" w:rsidRDefault="0082165A" w:rsidP="00F51BCD">
      <w:pPr>
        <w:pStyle w:val="BodyText"/>
        <w:jc w:val="center"/>
      </w:pPr>
      <w:r>
        <w:rPr>
          <w:noProof/>
        </w:rPr>
        <w:drawing>
          <wp:inline distT="0" distB="0" distL="0" distR="0" wp14:anchorId="7E38A7D9" wp14:editId="1261024D">
            <wp:extent cx="5760720" cy="2156460"/>
            <wp:effectExtent l="0" t="0" r="0" b="0"/>
            <wp:docPr id="129" name="Picture 129" descr="Chart of modelled water production from the  Maules Creek Formation and and Hoskissons Coal Seam" title="Fig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OWS_FAM\C_drive_files_transferred_150616\Modelling\R0006_time_series_export_for_Beck\Analyse_WEL_file_v01_031215.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2156460"/>
                    </a:xfrm>
                    <a:prstGeom prst="rect">
                      <a:avLst/>
                    </a:prstGeom>
                    <a:noFill/>
                    <a:ln>
                      <a:noFill/>
                    </a:ln>
                  </pic:spPr>
                </pic:pic>
              </a:graphicData>
            </a:graphic>
          </wp:inline>
        </w:drawing>
      </w:r>
    </w:p>
    <w:p w14:paraId="0A3F05A0" w14:textId="367DBDC3" w:rsidR="006E4453" w:rsidRPr="00B0618E" w:rsidRDefault="006E4453" w:rsidP="006E4453">
      <w:pPr>
        <w:pStyle w:val="Caption"/>
      </w:pPr>
      <w:bookmarkStart w:id="33" w:name="_Ref479452628"/>
      <w:bookmarkStart w:id="34" w:name="_Toc482034901"/>
      <w:r w:rsidRPr="006025C8">
        <w:t xml:space="preserve">Figure </w:t>
      </w:r>
      <w:r w:rsidR="00A2085C">
        <w:fldChar w:fldCharType="begin"/>
      </w:r>
      <w:r w:rsidR="00A2085C">
        <w:instrText xml:space="preserve"> STYLEREF 1 \s </w:instrText>
      </w:r>
      <w:r w:rsidR="00A2085C">
        <w:fldChar w:fldCharType="separate"/>
      </w:r>
      <w:r w:rsidR="000B6FA5">
        <w:rPr>
          <w:noProof/>
        </w:rPr>
        <w:t>2</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4</w:t>
      </w:r>
      <w:r w:rsidR="00A2085C">
        <w:rPr>
          <w:noProof/>
        </w:rPr>
        <w:fldChar w:fldCharType="end"/>
      </w:r>
      <w:bookmarkEnd w:id="33"/>
      <w:r>
        <w:t xml:space="preserve"> </w:t>
      </w:r>
      <w:r w:rsidR="00574A11">
        <w:t>W</w:t>
      </w:r>
      <w:r>
        <w:t xml:space="preserve">ater production for Maules Creek </w:t>
      </w:r>
      <w:r w:rsidR="008C4B12">
        <w:t xml:space="preserve">Formation </w:t>
      </w:r>
      <w:r>
        <w:t xml:space="preserve">and Hoskissons </w:t>
      </w:r>
      <w:r w:rsidR="008C4B12">
        <w:t>C</w:t>
      </w:r>
      <w:r>
        <w:t>oal seam target formations</w:t>
      </w:r>
      <w:r w:rsidR="00574A11">
        <w:t xml:space="preserve"> as predicted by the CDM Smith (2016) groundwater flow model</w:t>
      </w:r>
      <w:r>
        <w:t>.</w:t>
      </w:r>
      <w:bookmarkEnd w:id="34"/>
    </w:p>
    <w:p w14:paraId="0EB5F15E" w14:textId="0ECBFD2F" w:rsidR="00BB71AC" w:rsidRPr="00B0618E" w:rsidRDefault="00B93E5B" w:rsidP="00882D65">
      <w:pPr>
        <w:pStyle w:val="BodyText"/>
        <w:rPr>
          <w:color w:val="auto"/>
        </w:rPr>
      </w:pPr>
      <w:r w:rsidRPr="00B0618E">
        <w:rPr>
          <w:color w:val="auto"/>
        </w:rPr>
        <w:t xml:space="preserve">In summary, </w:t>
      </w:r>
      <w:r w:rsidR="00045A85">
        <w:rPr>
          <w:color w:val="auto"/>
        </w:rPr>
        <w:t>CDM Smith (2016)</w:t>
      </w:r>
      <w:r w:rsidRPr="00B0618E">
        <w:rPr>
          <w:color w:val="auto"/>
        </w:rPr>
        <w:t xml:space="preserve"> conceptualised the Gunnedah</w:t>
      </w:r>
      <w:r w:rsidR="008C4B12">
        <w:rPr>
          <w:color w:val="auto"/>
        </w:rPr>
        <w:t>-Surat</w:t>
      </w:r>
      <w:r w:rsidRPr="00B0618E">
        <w:rPr>
          <w:color w:val="auto"/>
        </w:rPr>
        <w:t xml:space="preserve"> </w:t>
      </w:r>
      <w:r w:rsidR="008C4B12">
        <w:rPr>
          <w:color w:val="auto"/>
        </w:rPr>
        <w:t>b</w:t>
      </w:r>
      <w:r w:rsidRPr="00B0618E">
        <w:rPr>
          <w:color w:val="auto"/>
        </w:rPr>
        <w:t>asin</w:t>
      </w:r>
      <w:r w:rsidR="008C4B12">
        <w:rPr>
          <w:color w:val="auto"/>
        </w:rPr>
        <w:t>s</w:t>
      </w:r>
      <w:r w:rsidRPr="00B0618E">
        <w:rPr>
          <w:color w:val="auto"/>
        </w:rPr>
        <w:t xml:space="preserve"> groundwater flow system as being composed of one unconfined aquifer, one confined aquifer, </w:t>
      </w:r>
      <w:r w:rsidR="009628A4" w:rsidRPr="00B0618E">
        <w:rPr>
          <w:color w:val="auto"/>
        </w:rPr>
        <w:t xml:space="preserve">six </w:t>
      </w:r>
      <w:r w:rsidRPr="00B0618E">
        <w:rPr>
          <w:color w:val="auto"/>
        </w:rPr>
        <w:t>distinct aquitard</w:t>
      </w:r>
      <w:r w:rsidR="009628A4" w:rsidRPr="00B0618E">
        <w:rPr>
          <w:color w:val="auto"/>
        </w:rPr>
        <w:t>s</w:t>
      </w:r>
      <w:r w:rsidRPr="00B0618E">
        <w:rPr>
          <w:color w:val="auto"/>
        </w:rPr>
        <w:t xml:space="preserve"> </w:t>
      </w:r>
      <w:r w:rsidR="009628A4" w:rsidRPr="00B0618E">
        <w:rPr>
          <w:color w:val="auto"/>
        </w:rPr>
        <w:t xml:space="preserve">(including two coal interburden </w:t>
      </w:r>
      <w:r w:rsidRPr="00B0618E">
        <w:rPr>
          <w:color w:val="auto"/>
        </w:rPr>
        <w:t>units</w:t>
      </w:r>
      <w:r w:rsidR="009628A4" w:rsidRPr="00B0618E">
        <w:rPr>
          <w:color w:val="auto"/>
        </w:rPr>
        <w:t>)</w:t>
      </w:r>
      <w:r w:rsidRPr="00B0618E">
        <w:rPr>
          <w:color w:val="auto"/>
        </w:rPr>
        <w:t xml:space="preserve">, </w:t>
      </w:r>
      <w:r w:rsidR="009628A4" w:rsidRPr="00B0618E">
        <w:rPr>
          <w:color w:val="auto"/>
        </w:rPr>
        <w:t xml:space="preserve">and </w:t>
      </w:r>
      <w:r w:rsidRPr="00B0618E">
        <w:rPr>
          <w:color w:val="auto"/>
        </w:rPr>
        <w:t xml:space="preserve">two </w:t>
      </w:r>
      <w:r w:rsidR="009628A4" w:rsidRPr="00B0618E">
        <w:rPr>
          <w:color w:val="auto"/>
        </w:rPr>
        <w:t>coal measures</w:t>
      </w:r>
      <w:r w:rsidR="00162185" w:rsidRPr="00B0618E">
        <w:rPr>
          <w:color w:val="auto"/>
        </w:rPr>
        <w:t xml:space="preserve"> (</w:t>
      </w:r>
      <w:r w:rsidR="00162185" w:rsidRPr="00B0618E">
        <w:rPr>
          <w:color w:val="auto"/>
        </w:rPr>
        <w:fldChar w:fldCharType="begin"/>
      </w:r>
      <w:r w:rsidR="00162185" w:rsidRPr="00B0618E">
        <w:rPr>
          <w:color w:val="auto"/>
        </w:rPr>
        <w:instrText xml:space="preserve"> REF _Ref468449326 \h </w:instrText>
      </w:r>
      <w:r w:rsidR="00B0618E">
        <w:rPr>
          <w:color w:val="auto"/>
        </w:rPr>
        <w:instrText xml:space="preserve"> \* MERGEFORMAT </w:instrText>
      </w:r>
      <w:r w:rsidR="00162185" w:rsidRPr="00B0618E">
        <w:rPr>
          <w:color w:val="auto"/>
        </w:rPr>
      </w:r>
      <w:r w:rsidR="00162185" w:rsidRPr="00B0618E">
        <w:rPr>
          <w:color w:val="auto"/>
        </w:rPr>
        <w:fldChar w:fldCharType="separate"/>
      </w:r>
      <w:r w:rsidR="000B6FA5" w:rsidRPr="00B0618E">
        <w:t xml:space="preserve">Table </w:t>
      </w:r>
      <w:r w:rsidR="000B6FA5">
        <w:rPr>
          <w:noProof/>
        </w:rPr>
        <w:t>2</w:t>
      </w:r>
      <w:r w:rsidR="000B6FA5">
        <w:rPr>
          <w:noProof/>
        </w:rPr>
        <w:noBreakHyphen/>
        <w:t>2</w:t>
      </w:r>
      <w:r w:rsidR="00162185" w:rsidRPr="00B0618E">
        <w:rPr>
          <w:color w:val="auto"/>
        </w:rPr>
        <w:fldChar w:fldCharType="end"/>
      </w:r>
      <w:r w:rsidR="00162185" w:rsidRPr="00B0618E">
        <w:rPr>
          <w:color w:val="auto"/>
        </w:rPr>
        <w:t>)</w:t>
      </w:r>
      <w:r w:rsidR="009628A4" w:rsidRPr="00B0618E">
        <w:rPr>
          <w:color w:val="auto"/>
        </w:rPr>
        <w:t xml:space="preserve">. When representing these hydrostratigraphic units in a numerical groundwater flow model, </w:t>
      </w:r>
      <w:r w:rsidR="00045A85">
        <w:rPr>
          <w:color w:val="auto"/>
        </w:rPr>
        <w:t>CDM Smith (2016)</w:t>
      </w:r>
      <w:r w:rsidR="009628A4" w:rsidRPr="00B0618E">
        <w:rPr>
          <w:color w:val="auto"/>
        </w:rPr>
        <w:t xml:space="preserve"> used a single model layer to represent the unconfined Namoi Alluvium aquifer (i.e., layer 1). Each of the Pilliga Sandstone aquifer, Wallumbilla Formation aquitard, and Bungil Formation–Orallo Formation aquitard were distributed across six model layers (i.e., layers 1-6). </w:t>
      </w:r>
      <w:r w:rsidR="008E5D3E" w:rsidRPr="00B0618E">
        <w:rPr>
          <w:color w:val="auto"/>
        </w:rPr>
        <w:t>T</w:t>
      </w:r>
      <w:r w:rsidR="00D92514" w:rsidRPr="00B0618E">
        <w:rPr>
          <w:color w:val="auto"/>
        </w:rPr>
        <w:t xml:space="preserve">he Pilliga Sandstone </w:t>
      </w:r>
      <w:r w:rsidR="00B00B86" w:rsidRPr="00B0618E">
        <w:rPr>
          <w:color w:val="auto"/>
        </w:rPr>
        <w:t xml:space="preserve">aquifer was </w:t>
      </w:r>
      <w:r w:rsidR="00D92514" w:rsidRPr="00B0618E">
        <w:rPr>
          <w:color w:val="auto"/>
        </w:rPr>
        <w:t>confined in some parts of the model (</w:t>
      </w:r>
      <w:r w:rsidR="00B00B86" w:rsidRPr="00B0618E">
        <w:rPr>
          <w:color w:val="auto"/>
        </w:rPr>
        <w:t xml:space="preserve">i.e., was </w:t>
      </w:r>
      <w:r w:rsidR="00D92514" w:rsidRPr="00B0618E">
        <w:rPr>
          <w:color w:val="auto"/>
        </w:rPr>
        <w:t xml:space="preserve">overlain </w:t>
      </w:r>
      <w:r w:rsidR="00B00B86" w:rsidRPr="00B0618E">
        <w:rPr>
          <w:color w:val="auto"/>
        </w:rPr>
        <w:t>by the Wallumbilla Formation or</w:t>
      </w:r>
      <w:r w:rsidR="00D92514" w:rsidRPr="00B0618E">
        <w:rPr>
          <w:color w:val="auto"/>
        </w:rPr>
        <w:t xml:space="preserve"> Bungil–</w:t>
      </w:r>
      <w:r w:rsidR="00B00B86" w:rsidRPr="00B0618E">
        <w:rPr>
          <w:color w:val="auto"/>
        </w:rPr>
        <w:t>Mooga–</w:t>
      </w:r>
      <w:r w:rsidR="00D92514" w:rsidRPr="00B0618E">
        <w:rPr>
          <w:color w:val="auto"/>
        </w:rPr>
        <w:t>Orallo Formation aquitards)</w:t>
      </w:r>
      <w:r w:rsidR="008E5D3E" w:rsidRPr="00B0618E">
        <w:rPr>
          <w:color w:val="auto"/>
        </w:rPr>
        <w:t>. I</w:t>
      </w:r>
      <w:r w:rsidR="00D92514" w:rsidRPr="00B0618E">
        <w:rPr>
          <w:color w:val="auto"/>
        </w:rPr>
        <w:t xml:space="preserve">n other parts </w:t>
      </w:r>
      <w:r w:rsidR="008E5D3E" w:rsidRPr="00B0618E">
        <w:rPr>
          <w:color w:val="auto"/>
        </w:rPr>
        <w:t xml:space="preserve">of the model </w:t>
      </w:r>
      <w:r w:rsidR="00D92514" w:rsidRPr="00B0618E">
        <w:rPr>
          <w:color w:val="auto"/>
        </w:rPr>
        <w:t xml:space="preserve">it </w:t>
      </w:r>
      <w:r w:rsidR="00B00B86" w:rsidRPr="00B0618E">
        <w:rPr>
          <w:color w:val="auto"/>
        </w:rPr>
        <w:t>was</w:t>
      </w:r>
      <w:r w:rsidR="00D92514" w:rsidRPr="00B0618E">
        <w:rPr>
          <w:color w:val="auto"/>
        </w:rPr>
        <w:t xml:space="preserve"> unconfined (</w:t>
      </w:r>
      <w:r w:rsidR="00B00B86" w:rsidRPr="00B0618E">
        <w:rPr>
          <w:color w:val="auto"/>
        </w:rPr>
        <w:t xml:space="preserve">i.e., was </w:t>
      </w:r>
      <w:r w:rsidR="00D92514" w:rsidRPr="00B0618E">
        <w:rPr>
          <w:color w:val="auto"/>
        </w:rPr>
        <w:t>overlain by the Namoi Alluvium</w:t>
      </w:r>
      <w:r w:rsidR="008E5D3E" w:rsidRPr="00B0618E">
        <w:rPr>
          <w:color w:val="auto"/>
        </w:rPr>
        <w:t>, or was outcropping</w:t>
      </w:r>
      <w:r w:rsidR="00D92514" w:rsidRPr="00B0618E">
        <w:rPr>
          <w:color w:val="auto"/>
        </w:rPr>
        <w:t xml:space="preserve">). </w:t>
      </w:r>
      <w:r w:rsidR="009628A4" w:rsidRPr="00B0618E">
        <w:rPr>
          <w:color w:val="auto"/>
        </w:rPr>
        <w:t xml:space="preserve">Six model layers were used to represent the upper aquitard sequence (i.e., Purlawaugh Formation to Benelabri Formation; layers 7-12). Seven model layers were used to represent the lower aquitard sequence (i.e., Brigalow Formation to Porcupine Formation; layers 13-19). Both coal measures (Hoskissons Coal and Maules Creek Formation coal member) were each represented using a single model layer (i.e., layers 13 and 22). Maules Creek Formation interburden members, which overlie and underlie the Maules Creek Formation coal members, were represented using </w:t>
      </w:r>
      <w:r w:rsidR="00AB3DF0" w:rsidRPr="00B0618E">
        <w:rPr>
          <w:color w:val="auto"/>
        </w:rPr>
        <w:t xml:space="preserve">five model layers (i.e., layers 20-24). </w:t>
      </w:r>
      <w:r w:rsidR="008F0D19" w:rsidRPr="00B0618E">
        <w:rPr>
          <w:color w:val="auto"/>
        </w:rPr>
        <w:t xml:space="preserve">Consequently, it should be noted </w:t>
      </w:r>
      <w:r w:rsidR="00AB3DF0" w:rsidRPr="00B0618E">
        <w:rPr>
          <w:color w:val="auto"/>
        </w:rPr>
        <w:t xml:space="preserve">that </w:t>
      </w:r>
      <w:r w:rsidR="008F0D19" w:rsidRPr="00B0618E">
        <w:rPr>
          <w:color w:val="auto"/>
        </w:rPr>
        <w:t>many model layers contain multiple hydrostratigraphic units; for example, model layer 13 contains a discrete area of Hoskissons Coal within the lower aquitard sequence. Similarly, model layer 22 contains a discrete area of the Maules Creek Formation coal member within the Maules Creek Formation interburden member.</w:t>
      </w:r>
      <w:r w:rsidR="00187C88" w:rsidRPr="00B0618E">
        <w:rPr>
          <w:color w:val="auto"/>
        </w:rPr>
        <w:t xml:space="preserve"> </w:t>
      </w:r>
    </w:p>
    <w:p w14:paraId="1B8E7489" w14:textId="71B66A57" w:rsidR="001869C0" w:rsidRPr="00B0618E" w:rsidRDefault="00131036" w:rsidP="00053081">
      <w:pPr>
        <w:pStyle w:val="Caption"/>
      </w:pPr>
      <w:bookmarkStart w:id="35" w:name="_Ref467658919"/>
      <w:r w:rsidRPr="00B0618E">
        <w:br w:type="page"/>
      </w:r>
      <w:bookmarkStart w:id="36" w:name="_Ref468449326"/>
      <w:bookmarkStart w:id="37" w:name="_Toc503253886"/>
      <w:r w:rsidR="001869C0" w:rsidRPr="00B0618E">
        <w:t xml:space="preserve">Table </w:t>
      </w:r>
      <w:r w:rsidR="00A2085C">
        <w:fldChar w:fldCharType="begin"/>
      </w:r>
      <w:r w:rsidR="00A2085C">
        <w:instrText xml:space="preserve"> STYLEREF 1 \s </w:instrText>
      </w:r>
      <w:r w:rsidR="00A2085C">
        <w:fldChar w:fldCharType="separate"/>
      </w:r>
      <w:r w:rsidR="000B6FA5">
        <w:rPr>
          <w:noProof/>
        </w:rPr>
        <w:t>2</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2</w:t>
      </w:r>
      <w:r w:rsidR="00A2085C">
        <w:rPr>
          <w:noProof/>
        </w:rPr>
        <w:fldChar w:fldCharType="end"/>
      </w:r>
      <w:bookmarkEnd w:id="35"/>
      <w:bookmarkEnd w:id="36"/>
      <w:r w:rsidR="001869C0" w:rsidRPr="00B0618E">
        <w:t>.</w:t>
      </w:r>
      <w:r w:rsidR="001170B1" w:rsidRPr="00B0618E">
        <w:t xml:space="preserve"> Hydrostratigraphy of the Gunnedah</w:t>
      </w:r>
      <w:r w:rsidR="00D0087E">
        <w:t>-Surat</w:t>
      </w:r>
      <w:r w:rsidR="001170B1" w:rsidRPr="00B0618E">
        <w:t xml:space="preserve"> </w:t>
      </w:r>
      <w:r w:rsidR="00D0087E">
        <w:t>b</w:t>
      </w:r>
      <w:r w:rsidR="001170B1" w:rsidRPr="00B0618E">
        <w:t>asin</w:t>
      </w:r>
      <w:r w:rsidR="00D0087E">
        <w:t>s</w:t>
      </w:r>
      <w:r w:rsidR="001170B1" w:rsidRPr="00B0618E">
        <w:t xml:space="preserve"> as represented in the </w:t>
      </w:r>
      <w:r w:rsidR="00045A85">
        <w:t>CDM Smith (2016)</w:t>
      </w:r>
      <w:r w:rsidR="00E253E9" w:rsidRPr="00B0618E">
        <w:t xml:space="preserve"> </w:t>
      </w:r>
      <w:r w:rsidR="001170B1" w:rsidRPr="00B0618E">
        <w:t>groundwater flow model.</w:t>
      </w:r>
      <w:bookmarkEnd w:id="37"/>
      <w:r w:rsidR="001170B1" w:rsidRPr="00B0618E">
        <w:t xml:space="preserve"> </w:t>
      </w:r>
    </w:p>
    <w:tbl>
      <w:tblPr>
        <w:tblStyle w:val="TableCSIRO1"/>
        <w:tblW w:w="4989" w:type="pct"/>
        <w:tblInd w:w="10"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Table 2-2"/>
        <w:tblDescription w:val="Table of the model hydrostratigraphy"/>
      </w:tblPr>
      <w:tblGrid>
        <w:gridCol w:w="2683"/>
        <w:gridCol w:w="1733"/>
        <w:gridCol w:w="1733"/>
        <w:gridCol w:w="1729"/>
        <w:gridCol w:w="1729"/>
      </w:tblGrid>
      <w:tr w:rsidR="006B1865" w:rsidRPr="00B0618E" w14:paraId="343B7862" w14:textId="77777777" w:rsidTr="001A582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96" w:type="pct"/>
            <w:vAlign w:val="bottom"/>
          </w:tcPr>
          <w:p w14:paraId="43195BA6" w14:textId="77777777" w:rsidR="006B1865" w:rsidRPr="00B0618E" w:rsidRDefault="006B1865" w:rsidP="006B1865">
            <w:pPr>
              <w:spacing w:before="60" w:after="60" w:line="180" w:lineRule="atLeast"/>
              <w:jc w:val="center"/>
              <w:rPr>
                <w:bCs w:val="0"/>
                <w:color w:val="FFFFFF"/>
                <w:sz w:val="18"/>
                <w:szCs w:val="18"/>
              </w:rPr>
            </w:pPr>
            <w:r w:rsidRPr="00B0618E">
              <w:rPr>
                <w:bCs w:val="0"/>
                <w:color w:val="FFFFFF"/>
                <w:sz w:val="18"/>
                <w:szCs w:val="18"/>
              </w:rPr>
              <w:t>Geological</w:t>
            </w:r>
          </w:p>
          <w:p w14:paraId="3EDDCBC4" w14:textId="77777777" w:rsidR="006B1865" w:rsidRPr="00B0618E" w:rsidRDefault="006B1865" w:rsidP="006B1865">
            <w:pPr>
              <w:spacing w:before="60" w:after="60" w:line="180" w:lineRule="atLeast"/>
              <w:jc w:val="center"/>
              <w:rPr>
                <w:bCs w:val="0"/>
                <w:caps/>
                <w:color w:val="FFFFFF"/>
                <w:sz w:val="18"/>
                <w:szCs w:val="18"/>
              </w:rPr>
            </w:pPr>
            <w:r w:rsidRPr="00B0618E">
              <w:rPr>
                <w:bCs w:val="0"/>
                <w:color w:val="FFFFFF"/>
                <w:sz w:val="18"/>
                <w:szCs w:val="18"/>
              </w:rPr>
              <w:t>unit</w:t>
            </w:r>
          </w:p>
        </w:tc>
        <w:tc>
          <w:tcPr>
            <w:tcW w:w="902" w:type="pct"/>
            <w:vAlign w:val="bottom"/>
          </w:tcPr>
          <w:p w14:paraId="5DDEFD96" w14:textId="77777777" w:rsidR="006B1865" w:rsidRPr="00B0618E" w:rsidRDefault="006B1865" w:rsidP="006B1865">
            <w:pPr>
              <w:spacing w:before="60" w:after="60" w:line="180" w:lineRule="atLeast"/>
              <w:jc w:val="center"/>
              <w:cnfStyle w:val="100000000000" w:firstRow="1" w:lastRow="0" w:firstColumn="0" w:lastColumn="0" w:oddVBand="0" w:evenVBand="0" w:oddHBand="0" w:evenHBand="0" w:firstRowFirstColumn="0" w:firstRowLastColumn="0" w:lastRowFirstColumn="0" w:lastRowLastColumn="0"/>
              <w:rPr>
                <w:bCs w:val="0"/>
                <w:color w:val="FFFFFF"/>
                <w:sz w:val="18"/>
                <w:szCs w:val="18"/>
              </w:rPr>
            </w:pPr>
            <w:r w:rsidRPr="00B0618E">
              <w:rPr>
                <w:bCs w:val="0"/>
                <w:color w:val="FFFFFF"/>
                <w:sz w:val="18"/>
                <w:szCs w:val="18"/>
              </w:rPr>
              <w:t xml:space="preserve">Geological </w:t>
            </w:r>
          </w:p>
          <w:p w14:paraId="4EB34619" w14:textId="77777777" w:rsidR="006B1865" w:rsidRPr="00B0618E" w:rsidRDefault="006B1865" w:rsidP="006B1865">
            <w:pPr>
              <w:spacing w:before="60" w:after="60" w:line="180" w:lineRule="atLeast"/>
              <w:jc w:val="center"/>
              <w:cnfStyle w:val="100000000000" w:firstRow="1" w:lastRow="0" w:firstColumn="0" w:lastColumn="0" w:oddVBand="0" w:evenVBand="0" w:oddHBand="0" w:evenHBand="0" w:firstRowFirstColumn="0" w:firstRowLastColumn="0" w:lastRowFirstColumn="0" w:lastRowLastColumn="0"/>
              <w:rPr>
                <w:bCs w:val="0"/>
                <w:caps/>
                <w:color w:val="FFFFFF"/>
                <w:sz w:val="18"/>
                <w:szCs w:val="18"/>
              </w:rPr>
            </w:pPr>
            <w:r w:rsidRPr="00B0618E">
              <w:rPr>
                <w:bCs w:val="0"/>
                <w:color w:val="FFFFFF"/>
                <w:sz w:val="18"/>
                <w:szCs w:val="18"/>
              </w:rPr>
              <w:t>model layer</w:t>
            </w:r>
          </w:p>
        </w:tc>
        <w:tc>
          <w:tcPr>
            <w:tcW w:w="902" w:type="pct"/>
            <w:vAlign w:val="bottom"/>
          </w:tcPr>
          <w:p w14:paraId="4E95086B" w14:textId="77777777" w:rsidR="006B1865" w:rsidRPr="00B0618E" w:rsidRDefault="006B1865" w:rsidP="006B1865">
            <w:pPr>
              <w:spacing w:before="60" w:after="60" w:line="180" w:lineRule="atLeast"/>
              <w:jc w:val="center"/>
              <w:cnfStyle w:val="100000000000" w:firstRow="1" w:lastRow="0" w:firstColumn="0" w:lastColumn="0" w:oddVBand="0" w:evenVBand="0" w:oddHBand="0" w:evenHBand="0" w:firstRowFirstColumn="0" w:firstRowLastColumn="0" w:lastRowFirstColumn="0" w:lastRowLastColumn="0"/>
              <w:rPr>
                <w:bCs w:val="0"/>
                <w:color w:val="FFFFFF"/>
                <w:sz w:val="18"/>
                <w:szCs w:val="18"/>
              </w:rPr>
            </w:pPr>
            <w:r w:rsidRPr="00B0618E">
              <w:rPr>
                <w:bCs w:val="0"/>
                <w:color w:val="FFFFFF"/>
                <w:sz w:val="18"/>
                <w:szCs w:val="18"/>
              </w:rPr>
              <w:t>Hydrostrati-</w:t>
            </w:r>
          </w:p>
          <w:p w14:paraId="4670DAD2" w14:textId="77777777" w:rsidR="006B1865" w:rsidRPr="00B0618E" w:rsidRDefault="006B1865" w:rsidP="006B1865">
            <w:pPr>
              <w:spacing w:before="60" w:after="60" w:line="180" w:lineRule="atLeast"/>
              <w:jc w:val="center"/>
              <w:cnfStyle w:val="100000000000" w:firstRow="1" w:lastRow="0" w:firstColumn="0" w:lastColumn="0" w:oddVBand="0" w:evenVBand="0" w:oddHBand="0" w:evenHBand="0" w:firstRowFirstColumn="0" w:firstRowLastColumn="0" w:lastRowFirstColumn="0" w:lastRowLastColumn="0"/>
              <w:rPr>
                <w:bCs w:val="0"/>
                <w:caps/>
                <w:color w:val="FFFFFF"/>
                <w:sz w:val="18"/>
                <w:szCs w:val="18"/>
              </w:rPr>
            </w:pPr>
            <w:r w:rsidRPr="00B0618E">
              <w:rPr>
                <w:bCs w:val="0"/>
                <w:color w:val="FFFFFF"/>
                <w:sz w:val="18"/>
                <w:szCs w:val="18"/>
              </w:rPr>
              <w:t>graphic  unit</w:t>
            </w:r>
          </w:p>
        </w:tc>
        <w:tc>
          <w:tcPr>
            <w:tcW w:w="900" w:type="pct"/>
          </w:tcPr>
          <w:p w14:paraId="72877DFB" w14:textId="77777777" w:rsidR="006B1865" w:rsidRPr="00B0618E" w:rsidRDefault="006B1865" w:rsidP="006B1865">
            <w:pPr>
              <w:spacing w:before="60" w:after="60" w:line="180" w:lineRule="atLeast"/>
              <w:jc w:val="center"/>
              <w:cnfStyle w:val="100000000000" w:firstRow="1" w:lastRow="0" w:firstColumn="0" w:lastColumn="0" w:oddVBand="0" w:evenVBand="0" w:oddHBand="0" w:evenHBand="0" w:firstRowFirstColumn="0" w:firstRowLastColumn="0" w:lastRowFirstColumn="0" w:lastRowLastColumn="0"/>
              <w:rPr>
                <w:bCs w:val="0"/>
                <w:color w:val="FFFFFF"/>
                <w:sz w:val="18"/>
                <w:szCs w:val="18"/>
              </w:rPr>
            </w:pPr>
            <w:r w:rsidRPr="00B0618E">
              <w:rPr>
                <w:bCs w:val="0"/>
                <w:color w:val="FFFFFF"/>
                <w:sz w:val="18"/>
                <w:szCs w:val="18"/>
              </w:rPr>
              <w:t xml:space="preserve">Groundwater </w:t>
            </w:r>
          </w:p>
          <w:p w14:paraId="52F90244" w14:textId="77777777" w:rsidR="006B1865" w:rsidRPr="00B0618E" w:rsidRDefault="006B1865" w:rsidP="006B1865">
            <w:pPr>
              <w:spacing w:before="60" w:after="60" w:line="180" w:lineRule="atLeast"/>
              <w:jc w:val="center"/>
              <w:cnfStyle w:val="100000000000" w:firstRow="1" w:lastRow="0" w:firstColumn="0" w:lastColumn="0" w:oddVBand="0" w:evenVBand="0" w:oddHBand="0" w:evenHBand="0" w:firstRowFirstColumn="0" w:firstRowLastColumn="0" w:lastRowFirstColumn="0" w:lastRowLastColumn="0"/>
              <w:rPr>
                <w:bCs w:val="0"/>
                <w:color w:val="FFFFFF"/>
                <w:sz w:val="18"/>
                <w:szCs w:val="18"/>
              </w:rPr>
            </w:pPr>
            <w:r w:rsidRPr="00B0618E">
              <w:rPr>
                <w:bCs w:val="0"/>
                <w:color w:val="FFFFFF"/>
                <w:sz w:val="18"/>
                <w:szCs w:val="18"/>
              </w:rPr>
              <w:t>model parameter ID</w:t>
            </w:r>
          </w:p>
        </w:tc>
        <w:tc>
          <w:tcPr>
            <w:tcW w:w="900" w:type="pct"/>
            <w:vAlign w:val="bottom"/>
          </w:tcPr>
          <w:p w14:paraId="35D8BCC0" w14:textId="77777777" w:rsidR="006B1865" w:rsidRPr="00B0618E" w:rsidRDefault="006B1865" w:rsidP="006B1865">
            <w:pPr>
              <w:spacing w:before="60" w:after="60" w:line="180" w:lineRule="atLeast"/>
              <w:jc w:val="center"/>
              <w:cnfStyle w:val="100000000000" w:firstRow="1" w:lastRow="0" w:firstColumn="0" w:lastColumn="0" w:oddVBand="0" w:evenVBand="0" w:oddHBand="0" w:evenHBand="0" w:firstRowFirstColumn="0" w:firstRowLastColumn="0" w:lastRowFirstColumn="0" w:lastRowLastColumn="0"/>
              <w:rPr>
                <w:bCs w:val="0"/>
                <w:color w:val="FFFFFF"/>
                <w:sz w:val="18"/>
                <w:szCs w:val="18"/>
              </w:rPr>
            </w:pPr>
            <w:r w:rsidRPr="00B0618E">
              <w:rPr>
                <w:bCs w:val="0"/>
                <w:color w:val="FFFFFF"/>
                <w:sz w:val="18"/>
                <w:szCs w:val="18"/>
              </w:rPr>
              <w:t xml:space="preserve">Groundwater </w:t>
            </w:r>
          </w:p>
          <w:p w14:paraId="56CDE79E" w14:textId="77777777" w:rsidR="006B1865" w:rsidRPr="00B0618E" w:rsidRDefault="006B1865" w:rsidP="006B1865">
            <w:pPr>
              <w:spacing w:before="60" w:after="60" w:line="180" w:lineRule="atLeast"/>
              <w:jc w:val="center"/>
              <w:cnfStyle w:val="100000000000" w:firstRow="1" w:lastRow="0" w:firstColumn="0" w:lastColumn="0" w:oddVBand="0" w:evenVBand="0" w:oddHBand="0" w:evenHBand="0" w:firstRowFirstColumn="0" w:firstRowLastColumn="0" w:lastRowFirstColumn="0" w:lastRowLastColumn="0"/>
              <w:rPr>
                <w:bCs w:val="0"/>
                <w:caps/>
                <w:color w:val="FFFFFF"/>
                <w:sz w:val="18"/>
                <w:szCs w:val="18"/>
              </w:rPr>
            </w:pPr>
            <w:r w:rsidRPr="00B0618E">
              <w:rPr>
                <w:bCs w:val="0"/>
                <w:color w:val="FFFFFF"/>
                <w:sz w:val="18"/>
                <w:szCs w:val="18"/>
              </w:rPr>
              <w:t>model layer(s)</w:t>
            </w:r>
          </w:p>
        </w:tc>
      </w:tr>
      <w:tr w:rsidR="006B1865" w:rsidRPr="00B0618E" w14:paraId="515620CC"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6886153A" w14:textId="19E5356B" w:rsidR="006B1865" w:rsidRPr="00B0618E" w:rsidRDefault="006B1865" w:rsidP="00162185">
            <w:pPr>
              <w:spacing w:before="60" w:after="60"/>
              <w:rPr>
                <w:b w:val="0"/>
                <w:bCs w:val="0"/>
                <w:color w:val="FF0000"/>
                <w:sz w:val="18"/>
                <w:szCs w:val="18"/>
              </w:rPr>
            </w:pPr>
            <w:r w:rsidRPr="00B0618E">
              <w:rPr>
                <w:b w:val="0"/>
                <w:bCs w:val="0"/>
                <w:color w:val="auto"/>
                <w:sz w:val="18"/>
                <w:szCs w:val="18"/>
              </w:rPr>
              <w:t xml:space="preserve">Namoi </w:t>
            </w:r>
            <w:r w:rsidRPr="00B0618E">
              <w:rPr>
                <w:b w:val="0"/>
                <w:bCs w:val="0"/>
                <w:sz w:val="18"/>
                <w:szCs w:val="18"/>
              </w:rPr>
              <w:t>Formation</w:t>
            </w:r>
          </w:p>
        </w:tc>
        <w:tc>
          <w:tcPr>
            <w:tcW w:w="902" w:type="pct"/>
            <w:vMerge w:val="restart"/>
            <w:shd w:val="clear" w:color="auto" w:fill="EAEAEA"/>
            <w:vAlign w:val="center"/>
          </w:tcPr>
          <w:p w14:paraId="7AE932CD"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1</w:t>
            </w:r>
          </w:p>
        </w:tc>
        <w:tc>
          <w:tcPr>
            <w:tcW w:w="902" w:type="pct"/>
            <w:vMerge w:val="restart"/>
            <w:shd w:val="clear" w:color="auto" w:fill="auto"/>
            <w:vAlign w:val="center"/>
          </w:tcPr>
          <w:p w14:paraId="5F4ECF6B"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aquifer</w:t>
            </w:r>
          </w:p>
        </w:tc>
        <w:tc>
          <w:tcPr>
            <w:tcW w:w="900" w:type="pct"/>
            <w:vMerge w:val="restart"/>
            <w:shd w:val="clear" w:color="auto" w:fill="auto"/>
            <w:vAlign w:val="center"/>
          </w:tcPr>
          <w:p w14:paraId="6D7819E7"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01</w:t>
            </w:r>
          </w:p>
        </w:tc>
        <w:tc>
          <w:tcPr>
            <w:tcW w:w="900" w:type="pct"/>
            <w:vMerge w:val="restart"/>
            <w:shd w:val="clear" w:color="auto" w:fill="auto"/>
            <w:vAlign w:val="center"/>
          </w:tcPr>
          <w:p w14:paraId="3386B18C"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1</w:t>
            </w:r>
          </w:p>
        </w:tc>
      </w:tr>
      <w:tr w:rsidR="006B1865" w:rsidRPr="00B0618E" w14:paraId="7CF01112" w14:textId="77777777" w:rsidTr="0074076E">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70352340" w14:textId="77777777" w:rsidR="006B1865" w:rsidRPr="00B0618E" w:rsidRDefault="006B1865" w:rsidP="006B1865">
            <w:pPr>
              <w:spacing w:before="60" w:after="60"/>
              <w:rPr>
                <w:b w:val="0"/>
                <w:bCs w:val="0"/>
                <w:sz w:val="18"/>
                <w:szCs w:val="18"/>
              </w:rPr>
            </w:pPr>
            <w:r w:rsidRPr="00B0618E">
              <w:rPr>
                <w:b w:val="0"/>
                <w:bCs w:val="0"/>
                <w:sz w:val="18"/>
                <w:szCs w:val="18"/>
              </w:rPr>
              <w:t>Gunnedah Formation</w:t>
            </w:r>
          </w:p>
        </w:tc>
        <w:tc>
          <w:tcPr>
            <w:tcW w:w="902" w:type="pct"/>
            <w:vMerge/>
            <w:shd w:val="clear" w:color="auto" w:fill="EAEAEA"/>
            <w:vAlign w:val="center"/>
          </w:tcPr>
          <w:p w14:paraId="419632BB"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2" w:type="pct"/>
            <w:vMerge/>
            <w:shd w:val="clear" w:color="auto" w:fill="auto"/>
          </w:tcPr>
          <w:p w14:paraId="3A24F9BD"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auto"/>
          </w:tcPr>
          <w:p w14:paraId="378D9E47"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auto"/>
            <w:vAlign w:val="center"/>
          </w:tcPr>
          <w:p w14:paraId="4EFDE2BB"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72E793FC"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20CBEA62" w14:textId="77777777" w:rsidR="006B1865" w:rsidRPr="00B0618E" w:rsidRDefault="006B1865" w:rsidP="006B1865">
            <w:pPr>
              <w:spacing w:before="60" w:after="60"/>
              <w:rPr>
                <w:b w:val="0"/>
                <w:bCs w:val="0"/>
                <w:sz w:val="18"/>
                <w:szCs w:val="18"/>
              </w:rPr>
            </w:pPr>
            <w:r w:rsidRPr="00B0618E">
              <w:rPr>
                <w:b w:val="0"/>
                <w:bCs w:val="0"/>
                <w:sz w:val="18"/>
                <w:szCs w:val="18"/>
              </w:rPr>
              <w:t>Liverpool Range Volcanics</w:t>
            </w:r>
          </w:p>
        </w:tc>
        <w:tc>
          <w:tcPr>
            <w:tcW w:w="902" w:type="pct"/>
            <w:vMerge w:val="restart"/>
            <w:shd w:val="clear" w:color="auto" w:fill="auto"/>
            <w:vAlign w:val="center"/>
          </w:tcPr>
          <w:p w14:paraId="49EB7B68"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color w:val="auto"/>
                <w:sz w:val="18"/>
                <w:szCs w:val="18"/>
                <w:lang w:val="en-GB"/>
              </w:rPr>
              <w:t>2</w:t>
            </w:r>
          </w:p>
        </w:tc>
        <w:tc>
          <w:tcPr>
            <w:tcW w:w="902" w:type="pct"/>
            <w:vMerge w:val="restart"/>
            <w:shd w:val="clear" w:color="auto" w:fill="EAEAEA"/>
            <w:vAlign w:val="center"/>
          </w:tcPr>
          <w:p w14:paraId="69EA1B65"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aquitard</w:t>
            </w:r>
          </w:p>
        </w:tc>
        <w:tc>
          <w:tcPr>
            <w:tcW w:w="900" w:type="pct"/>
            <w:vMerge w:val="restart"/>
            <w:shd w:val="clear" w:color="auto" w:fill="EAEAEA"/>
            <w:vAlign w:val="center"/>
          </w:tcPr>
          <w:p w14:paraId="5529F0FE"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02</w:t>
            </w:r>
          </w:p>
        </w:tc>
        <w:tc>
          <w:tcPr>
            <w:tcW w:w="900" w:type="pct"/>
            <w:vMerge w:val="restart"/>
            <w:shd w:val="clear" w:color="auto" w:fill="EAEAEA"/>
            <w:vAlign w:val="center"/>
          </w:tcPr>
          <w:p w14:paraId="450F316A"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1–6</w:t>
            </w:r>
          </w:p>
        </w:tc>
      </w:tr>
      <w:tr w:rsidR="006B1865" w:rsidRPr="00B0618E" w14:paraId="10C757E0" w14:textId="77777777" w:rsidTr="0074076E">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39251AA4" w14:textId="77777777" w:rsidR="006B1865" w:rsidRPr="00B0618E" w:rsidRDefault="006B1865" w:rsidP="006B1865">
            <w:pPr>
              <w:spacing w:before="60" w:after="60"/>
              <w:rPr>
                <w:b w:val="0"/>
                <w:bCs w:val="0"/>
                <w:sz w:val="18"/>
                <w:szCs w:val="18"/>
              </w:rPr>
            </w:pPr>
            <w:r w:rsidRPr="00B0618E">
              <w:rPr>
                <w:b w:val="0"/>
                <w:bCs w:val="0"/>
                <w:sz w:val="18"/>
                <w:szCs w:val="18"/>
              </w:rPr>
              <w:t>Wallumbilla Formation</w:t>
            </w:r>
          </w:p>
        </w:tc>
        <w:tc>
          <w:tcPr>
            <w:tcW w:w="902" w:type="pct"/>
            <w:vMerge/>
            <w:shd w:val="clear" w:color="auto" w:fill="auto"/>
            <w:vAlign w:val="center"/>
          </w:tcPr>
          <w:p w14:paraId="5F7BD53A"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2" w:type="pct"/>
            <w:vMerge/>
            <w:shd w:val="clear" w:color="auto" w:fill="EAEAEA"/>
            <w:vAlign w:val="center"/>
          </w:tcPr>
          <w:p w14:paraId="2CAFEF22"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tcPr>
          <w:p w14:paraId="7475B5C1"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vAlign w:val="center"/>
          </w:tcPr>
          <w:p w14:paraId="62CA951D"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6CC535E3"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4A82D3C9" w14:textId="77777777" w:rsidR="006B1865" w:rsidRPr="00B0618E" w:rsidRDefault="006B1865" w:rsidP="006B1865">
            <w:pPr>
              <w:spacing w:before="60" w:after="60"/>
              <w:rPr>
                <w:b w:val="0"/>
                <w:bCs w:val="0"/>
                <w:sz w:val="18"/>
                <w:szCs w:val="18"/>
              </w:rPr>
            </w:pPr>
            <w:r w:rsidRPr="00B0618E">
              <w:rPr>
                <w:b w:val="0"/>
                <w:bCs w:val="0"/>
                <w:sz w:val="18"/>
                <w:szCs w:val="18"/>
              </w:rPr>
              <w:t>Bungil Formation</w:t>
            </w:r>
          </w:p>
        </w:tc>
        <w:tc>
          <w:tcPr>
            <w:tcW w:w="902" w:type="pct"/>
            <w:vMerge w:val="restart"/>
            <w:shd w:val="clear" w:color="auto" w:fill="EAEAEA"/>
            <w:vAlign w:val="center"/>
          </w:tcPr>
          <w:p w14:paraId="1803B4B1"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3</w:t>
            </w:r>
          </w:p>
        </w:tc>
        <w:tc>
          <w:tcPr>
            <w:tcW w:w="902" w:type="pct"/>
            <w:vMerge w:val="restart"/>
            <w:shd w:val="clear" w:color="auto" w:fill="EAEAEA"/>
            <w:vAlign w:val="center"/>
          </w:tcPr>
          <w:p w14:paraId="6137A8A4"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aquitard</w:t>
            </w:r>
          </w:p>
        </w:tc>
        <w:tc>
          <w:tcPr>
            <w:tcW w:w="900" w:type="pct"/>
            <w:vMerge w:val="restart"/>
            <w:shd w:val="clear" w:color="auto" w:fill="EAEAEA"/>
            <w:vAlign w:val="center"/>
          </w:tcPr>
          <w:p w14:paraId="2F4D7A37"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03</w:t>
            </w:r>
          </w:p>
        </w:tc>
        <w:tc>
          <w:tcPr>
            <w:tcW w:w="900" w:type="pct"/>
            <w:vMerge w:val="restart"/>
            <w:shd w:val="clear" w:color="auto" w:fill="EAEAEA"/>
            <w:vAlign w:val="center"/>
          </w:tcPr>
          <w:p w14:paraId="4A565344"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1</w:t>
            </w:r>
            <w:r w:rsidRPr="00B0618E">
              <w:rPr>
                <w:sz w:val="18"/>
                <w:szCs w:val="18"/>
                <w:shd w:val="clear" w:color="auto" w:fill="EAEAEA"/>
                <w:lang w:val="en-GB"/>
              </w:rPr>
              <w:t>–</w:t>
            </w:r>
            <w:r w:rsidRPr="00B0618E">
              <w:rPr>
                <w:sz w:val="18"/>
                <w:szCs w:val="18"/>
                <w:lang w:val="en-GB"/>
              </w:rPr>
              <w:t>6</w:t>
            </w:r>
          </w:p>
        </w:tc>
      </w:tr>
      <w:tr w:rsidR="006B1865" w:rsidRPr="00B0618E" w14:paraId="43CD2B8F"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64B12BAA" w14:textId="77777777" w:rsidR="006B1865" w:rsidRPr="00B0618E" w:rsidRDefault="006B1865" w:rsidP="006B1865">
            <w:pPr>
              <w:spacing w:before="60" w:after="60"/>
              <w:rPr>
                <w:b w:val="0"/>
                <w:bCs w:val="0"/>
                <w:sz w:val="18"/>
                <w:szCs w:val="18"/>
              </w:rPr>
            </w:pPr>
            <w:r w:rsidRPr="00B0618E">
              <w:rPr>
                <w:b w:val="0"/>
                <w:bCs w:val="0"/>
                <w:sz w:val="18"/>
                <w:szCs w:val="18"/>
              </w:rPr>
              <w:t>Mooga Sandstone</w:t>
            </w:r>
          </w:p>
        </w:tc>
        <w:tc>
          <w:tcPr>
            <w:tcW w:w="902" w:type="pct"/>
            <w:vMerge/>
            <w:shd w:val="clear" w:color="auto" w:fill="EAEAEA"/>
            <w:vAlign w:val="center"/>
          </w:tcPr>
          <w:p w14:paraId="7BE50FAA"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2" w:type="pct"/>
            <w:vMerge/>
            <w:shd w:val="clear" w:color="auto" w:fill="EAEAEA"/>
          </w:tcPr>
          <w:p w14:paraId="1D96F714"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vAlign w:val="center"/>
          </w:tcPr>
          <w:p w14:paraId="439179BB"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vAlign w:val="center"/>
          </w:tcPr>
          <w:p w14:paraId="3EF7CF01"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0436B893"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310CF0C1" w14:textId="77777777" w:rsidR="006B1865" w:rsidRPr="00B0618E" w:rsidRDefault="006B1865" w:rsidP="006B1865">
            <w:pPr>
              <w:spacing w:before="60" w:after="60"/>
              <w:rPr>
                <w:b w:val="0"/>
                <w:bCs w:val="0"/>
                <w:sz w:val="18"/>
                <w:szCs w:val="18"/>
              </w:rPr>
            </w:pPr>
            <w:r w:rsidRPr="00B0618E">
              <w:rPr>
                <w:b w:val="0"/>
                <w:bCs w:val="0"/>
                <w:sz w:val="18"/>
                <w:szCs w:val="18"/>
              </w:rPr>
              <w:t>Orallo Formation</w:t>
            </w:r>
          </w:p>
        </w:tc>
        <w:tc>
          <w:tcPr>
            <w:tcW w:w="902" w:type="pct"/>
            <w:vMerge/>
            <w:shd w:val="clear" w:color="auto" w:fill="EAEAEA"/>
            <w:vAlign w:val="center"/>
          </w:tcPr>
          <w:p w14:paraId="587CF3DA"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2" w:type="pct"/>
            <w:vMerge/>
            <w:shd w:val="clear" w:color="auto" w:fill="EAEAEA"/>
          </w:tcPr>
          <w:p w14:paraId="4CA3E6EF"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EAEAEA"/>
          </w:tcPr>
          <w:p w14:paraId="46DF3883"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EAEAEA"/>
            <w:vAlign w:val="center"/>
          </w:tcPr>
          <w:p w14:paraId="7C87E3AF"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r>
      <w:tr w:rsidR="006B1865" w:rsidRPr="00B0618E" w14:paraId="39034EBA"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42538697" w14:textId="77777777" w:rsidR="006B1865" w:rsidRPr="00B0618E" w:rsidRDefault="006B1865" w:rsidP="006B1865">
            <w:pPr>
              <w:spacing w:before="60" w:after="60"/>
              <w:rPr>
                <w:b w:val="0"/>
                <w:bCs w:val="0"/>
                <w:sz w:val="18"/>
                <w:szCs w:val="18"/>
              </w:rPr>
            </w:pPr>
            <w:r w:rsidRPr="00B0618E">
              <w:rPr>
                <w:b w:val="0"/>
                <w:bCs w:val="0"/>
                <w:sz w:val="18"/>
                <w:szCs w:val="18"/>
              </w:rPr>
              <w:t>Pilliga Sandstone</w:t>
            </w:r>
          </w:p>
        </w:tc>
        <w:tc>
          <w:tcPr>
            <w:tcW w:w="902" w:type="pct"/>
            <w:shd w:val="clear" w:color="auto" w:fill="auto"/>
            <w:vAlign w:val="center"/>
          </w:tcPr>
          <w:p w14:paraId="195F289F"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4</w:t>
            </w:r>
          </w:p>
        </w:tc>
        <w:tc>
          <w:tcPr>
            <w:tcW w:w="902" w:type="pct"/>
            <w:shd w:val="clear" w:color="auto" w:fill="auto"/>
          </w:tcPr>
          <w:p w14:paraId="72A62676"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aquifer</w:t>
            </w:r>
          </w:p>
        </w:tc>
        <w:tc>
          <w:tcPr>
            <w:tcW w:w="900" w:type="pct"/>
          </w:tcPr>
          <w:p w14:paraId="6B1E80BD"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04</w:t>
            </w:r>
          </w:p>
        </w:tc>
        <w:tc>
          <w:tcPr>
            <w:tcW w:w="900" w:type="pct"/>
            <w:shd w:val="clear" w:color="auto" w:fill="auto"/>
            <w:vAlign w:val="center"/>
          </w:tcPr>
          <w:p w14:paraId="0C3DC6E1"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1–6</w:t>
            </w:r>
          </w:p>
        </w:tc>
      </w:tr>
      <w:tr w:rsidR="006B1865" w:rsidRPr="00B0618E" w14:paraId="53DD58FE"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4EEFF6C2" w14:textId="77777777" w:rsidR="006B1865" w:rsidRPr="00B0618E" w:rsidRDefault="006B1865" w:rsidP="006B1865">
            <w:pPr>
              <w:spacing w:before="60" w:after="60"/>
              <w:rPr>
                <w:b w:val="0"/>
                <w:bCs w:val="0"/>
                <w:sz w:val="18"/>
                <w:szCs w:val="18"/>
              </w:rPr>
            </w:pPr>
            <w:r w:rsidRPr="00B0618E">
              <w:rPr>
                <w:b w:val="0"/>
                <w:bCs w:val="0"/>
                <w:sz w:val="18"/>
                <w:szCs w:val="18"/>
              </w:rPr>
              <w:t>Purlawaugh Formation</w:t>
            </w:r>
          </w:p>
        </w:tc>
        <w:tc>
          <w:tcPr>
            <w:tcW w:w="902" w:type="pct"/>
            <w:shd w:val="clear" w:color="auto" w:fill="EAEAEA"/>
            <w:vAlign w:val="center"/>
          </w:tcPr>
          <w:p w14:paraId="66DA4B5D"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5</w:t>
            </w:r>
          </w:p>
        </w:tc>
        <w:tc>
          <w:tcPr>
            <w:tcW w:w="902" w:type="pct"/>
            <w:vMerge w:val="restart"/>
            <w:shd w:val="clear" w:color="auto" w:fill="EAEAEA"/>
            <w:vAlign w:val="center"/>
          </w:tcPr>
          <w:p w14:paraId="5F8A1549"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aquitard</w:t>
            </w:r>
          </w:p>
        </w:tc>
        <w:tc>
          <w:tcPr>
            <w:tcW w:w="900" w:type="pct"/>
            <w:vMerge w:val="restart"/>
            <w:shd w:val="clear" w:color="auto" w:fill="EAEAEA"/>
            <w:vAlign w:val="center"/>
          </w:tcPr>
          <w:p w14:paraId="4F5F7DF1"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05</w:t>
            </w:r>
          </w:p>
        </w:tc>
        <w:tc>
          <w:tcPr>
            <w:tcW w:w="900" w:type="pct"/>
            <w:vMerge w:val="restart"/>
            <w:shd w:val="clear" w:color="auto" w:fill="EAEAEA"/>
            <w:vAlign w:val="center"/>
          </w:tcPr>
          <w:p w14:paraId="1D6F5A06"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7–12</w:t>
            </w:r>
          </w:p>
        </w:tc>
      </w:tr>
      <w:tr w:rsidR="006B1865" w:rsidRPr="00B0618E" w14:paraId="5E30413D"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6DABE6AE" w14:textId="77777777" w:rsidR="006B1865" w:rsidRPr="00B0618E" w:rsidRDefault="006B1865" w:rsidP="006B1865">
            <w:pPr>
              <w:spacing w:before="60" w:after="60"/>
              <w:rPr>
                <w:b w:val="0"/>
                <w:bCs w:val="0"/>
                <w:sz w:val="18"/>
                <w:szCs w:val="18"/>
              </w:rPr>
            </w:pPr>
            <w:r w:rsidRPr="00B0618E">
              <w:rPr>
                <w:b w:val="0"/>
                <w:bCs w:val="0"/>
                <w:sz w:val="18"/>
                <w:szCs w:val="18"/>
              </w:rPr>
              <w:t>Garrawilla Volcanics</w:t>
            </w:r>
          </w:p>
        </w:tc>
        <w:tc>
          <w:tcPr>
            <w:tcW w:w="902" w:type="pct"/>
            <w:shd w:val="clear" w:color="auto" w:fill="auto"/>
            <w:vAlign w:val="center"/>
          </w:tcPr>
          <w:p w14:paraId="76BD9C51"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6</w:t>
            </w:r>
          </w:p>
        </w:tc>
        <w:tc>
          <w:tcPr>
            <w:tcW w:w="902" w:type="pct"/>
            <w:vMerge/>
            <w:shd w:val="clear" w:color="auto" w:fill="EAEAEA"/>
          </w:tcPr>
          <w:p w14:paraId="6322BA0C"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tcPr>
          <w:p w14:paraId="46484A7B"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auto"/>
            <w:vAlign w:val="center"/>
          </w:tcPr>
          <w:p w14:paraId="5E5E2EA4"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03737B60"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7C439E11" w14:textId="77777777" w:rsidR="006B1865" w:rsidRPr="00B0618E" w:rsidRDefault="006B1865" w:rsidP="006B1865">
            <w:pPr>
              <w:spacing w:before="60" w:after="60"/>
              <w:rPr>
                <w:b w:val="0"/>
                <w:bCs w:val="0"/>
                <w:sz w:val="18"/>
                <w:szCs w:val="18"/>
              </w:rPr>
            </w:pPr>
            <w:r w:rsidRPr="00B0618E">
              <w:rPr>
                <w:b w:val="0"/>
                <w:bCs w:val="0"/>
                <w:sz w:val="18"/>
                <w:szCs w:val="18"/>
              </w:rPr>
              <w:t xml:space="preserve">Deriah Formation </w:t>
            </w:r>
          </w:p>
        </w:tc>
        <w:tc>
          <w:tcPr>
            <w:tcW w:w="902" w:type="pct"/>
            <w:vMerge w:val="restart"/>
            <w:shd w:val="clear" w:color="auto" w:fill="EAEAEA"/>
            <w:vAlign w:val="center"/>
          </w:tcPr>
          <w:p w14:paraId="4913FB5F"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7</w:t>
            </w:r>
          </w:p>
        </w:tc>
        <w:tc>
          <w:tcPr>
            <w:tcW w:w="902" w:type="pct"/>
            <w:vMerge/>
            <w:shd w:val="clear" w:color="auto" w:fill="EAEAEA"/>
          </w:tcPr>
          <w:p w14:paraId="1E9F3578"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tcPr>
          <w:p w14:paraId="5CD2FAC8"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auto"/>
            <w:vAlign w:val="center"/>
          </w:tcPr>
          <w:p w14:paraId="24EBC1B8"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r>
      <w:tr w:rsidR="006B1865" w:rsidRPr="00B0618E" w14:paraId="3E38B7EB"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0050C8F4" w14:textId="77777777" w:rsidR="006B1865" w:rsidRPr="00B0618E" w:rsidRDefault="006B1865" w:rsidP="006B1865">
            <w:pPr>
              <w:spacing w:before="60" w:after="60"/>
              <w:rPr>
                <w:b w:val="0"/>
                <w:bCs w:val="0"/>
                <w:sz w:val="18"/>
                <w:szCs w:val="18"/>
              </w:rPr>
            </w:pPr>
            <w:r w:rsidRPr="00B0618E">
              <w:rPr>
                <w:b w:val="0"/>
                <w:bCs w:val="0"/>
                <w:sz w:val="18"/>
                <w:szCs w:val="18"/>
              </w:rPr>
              <w:t xml:space="preserve">Napperby Formation </w:t>
            </w:r>
          </w:p>
        </w:tc>
        <w:tc>
          <w:tcPr>
            <w:tcW w:w="902" w:type="pct"/>
            <w:vMerge/>
            <w:shd w:val="clear" w:color="auto" w:fill="EAEAEA"/>
            <w:vAlign w:val="center"/>
          </w:tcPr>
          <w:p w14:paraId="3639D929"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2" w:type="pct"/>
            <w:vMerge/>
            <w:shd w:val="clear" w:color="auto" w:fill="EAEAEA"/>
          </w:tcPr>
          <w:p w14:paraId="644CCD4A"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tcPr>
          <w:p w14:paraId="716C7E79"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vAlign w:val="center"/>
          </w:tcPr>
          <w:p w14:paraId="6A3CEC0E"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3C57BFED"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20F47C41" w14:textId="77777777" w:rsidR="006B1865" w:rsidRPr="00B0618E" w:rsidRDefault="006B1865" w:rsidP="006B1865">
            <w:pPr>
              <w:spacing w:before="60" w:after="60"/>
              <w:rPr>
                <w:b w:val="0"/>
                <w:bCs w:val="0"/>
                <w:sz w:val="18"/>
                <w:szCs w:val="18"/>
              </w:rPr>
            </w:pPr>
            <w:r w:rsidRPr="00B0618E">
              <w:rPr>
                <w:b w:val="0"/>
                <w:bCs w:val="0"/>
                <w:sz w:val="18"/>
                <w:szCs w:val="18"/>
              </w:rPr>
              <w:t xml:space="preserve">Digby Formation </w:t>
            </w:r>
          </w:p>
        </w:tc>
        <w:tc>
          <w:tcPr>
            <w:tcW w:w="902" w:type="pct"/>
            <w:shd w:val="clear" w:color="auto" w:fill="auto"/>
            <w:vAlign w:val="center"/>
          </w:tcPr>
          <w:p w14:paraId="5E4F80D5"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8</w:t>
            </w:r>
          </w:p>
        </w:tc>
        <w:tc>
          <w:tcPr>
            <w:tcW w:w="902" w:type="pct"/>
            <w:vMerge/>
            <w:shd w:val="clear" w:color="auto" w:fill="EAEAEA"/>
          </w:tcPr>
          <w:p w14:paraId="2B0E6690"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EAEAEA"/>
          </w:tcPr>
          <w:p w14:paraId="62816D77"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EAEAEA"/>
            <w:vAlign w:val="center"/>
          </w:tcPr>
          <w:p w14:paraId="1A514F31"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r>
      <w:tr w:rsidR="006B1865" w:rsidRPr="00B0618E" w14:paraId="5DA9DC0A"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0D6AB8A0" w14:textId="77777777" w:rsidR="006B1865" w:rsidRPr="00B0618E" w:rsidRDefault="006B1865" w:rsidP="006B1865">
            <w:pPr>
              <w:spacing w:before="60" w:after="60"/>
              <w:rPr>
                <w:b w:val="0"/>
                <w:bCs w:val="0"/>
                <w:sz w:val="18"/>
                <w:szCs w:val="18"/>
              </w:rPr>
            </w:pPr>
            <w:r w:rsidRPr="00B0618E">
              <w:rPr>
                <w:b w:val="0"/>
                <w:bCs w:val="0"/>
                <w:sz w:val="18"/>
                <w:szCs w:val="18"/>
              </w:rPr>
              <w:t xml:space="preserve">Trinkey Formation </w:t>
            </w:r>
          </w:p>
        </w:tc>
        <w:tc>
          <w:tcPr>
            <w:tcW w:w="902" w:type="pct"/>
            <w:vMerge w:val="restart"/>
            <w:shd w:val="clear" w:color="auto" w:fill="EAEAEA"/>
            <w:vAlign w:val="center"/>
          </w:tcPr>
          <w:p w14:paraId="52397737"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9</w:t>
            </w:r>
          </w:p>
        </w:tc>
        <w:tc>
          <w:tcPr>
            <w:tcW w:w="902" w:type="pct"/>
            <w:vMerge/>
            <w:shd w:val="clear" w:color="auto" w:fill="EAEAEA"/>
          </w:tcPr>
          <w:p w14:paraId="019F4F74"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tcPr>
          <w:p w14:paraId="57B7B9C8"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auto"/>
            <w:vAlign w:val="center"/>
          </w:tcPr>
          <w:p w14:paraId="3E5F00AE"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42605B87"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586B5AC0" w14:textId="77777777" w:rsidR="006B1865" w:rsidRPr="00B0618E" w:rsidRDefault="006B1865" w:rsidP="006B1865">
            <w:pPr>
              <w:spacing w:before="60" w:after="60"/>
              <w:rPr>
                <w:b w:val="0"/>
                <w:bCs w:val="0"/>
                <w:sz w:val="18"/>
                <w:szCs w:val="18"/>
              </w:rPr>
            </w:pPr>
            <w:r w:rsidRPr="00B0618E">
              <w:rPr>
                <w:b w:val="0"/>
                <w:bCs w:val="0"/>
                <w:sz w:val="18"/>
                <w:szCs w:val="18"/>
              </w:rPr>
              <w:t xml:space="preserve">Wallala Formation </w:t>
            </w:r>
          </w:p>
        </w:tc>
        <w:tc>
          <w:tcPr>
            <w:tcW w:w="902" w:type="pct"/>
            <w:vMerge/>
            <w:shd w:val="clear" w:color="auto" w:fill="EAEAEA"/>
            <w:vAlign w:val="center"/>
          </w:tcPr>
          <w:p w14:paraId="29855FE7"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2" w:type="pct"/>
            <w:vMerge/>
            <w:shd w:val="clear" w:color="auto" w:fill="EAEAEA"/>
          </w:tcPr>
          <w:p w14:paraId="7CBCE6D3"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tcPr>
          <w:p w14:paraId="75F0188C"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auto"/>
            <w:vAlign w:val="center"/>
          </w:tcPr>
          <w:p w14:paraId="16EAA248"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r>
      <w:tr w:rsidR="006B1865" w:rsidRPr="00B0618E" w14:paraId="0DD03F1A"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05A42CCD" w14:textId="77777777" w:rsidR="006B1865" w:rsidRPr="00B0618E" w:rsidRDefault="006B1865" w:rsidP="006B1865">
            <w:pPr>
              <w:spacing w:before="60" w:after="60"/>
              <w:rPr>
                <w:b w:val="0"/>
                <w:bCs w:val="0"/>
                <w:color w:val="auto"/>
                <w:sz w:val="18"/>
                <w:szCs w:val="18"/>
              </w:rPr>
            </w:pPr>
            <w:r w:rsidRPr="00B0618E">
              <w:rPr>
                <w:b w:val="0"/>
                <w:bCs w:val="0"/>
                <w:color w:val="auto"/>
                <w:sz w:val="18"/>
                <w:szCs w:val="18"/>
              </w:rPr>
              <w:t>Breeza Coal Member</w:t>
            </w:r>
          </w:p>
        </w:tc>
        <w:tc>
          <w:tcPr>
            <w:tcW w:w="902" w:type="pct"/>
            <w:vMerge/>
            <w:shd w:val="clear" w:color="auto" w:fill="EAEAEA"/>
            <w:vAlign w:val="center"/>
          </w:tcPr>
          <w:p w14:paraId="06577763"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2" w:type="pct"/>
            <w:vMerge/>
            <w:shd w:val="clear" w:color="auto" w:fill="EAEAEA"/>
          </w:tcPr>
          <w:p w14:paraId="648BCC4E"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tcPr>
          <w:p w14:paraId="6229C724"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vAlign w:val="center"/>
          </w:tcPr>
          <w:p w14:paraId="77C9A51D"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1D6EE292"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09117BC6" w14:textId="77777777" w:rsidR="006B1865" w:rsidRPr="00B0618E" w:rsidRDefault="006B1865" w:rsidP="006B1865">
            <w:pPr>
              <w:spacing w:before="60" w:after="60"/>
              <w:rPr>
                <w:b w:val="0"/>
                <w:bCs w:val="0"/>
                <w:color w:val="auto"/>
                <w:sz w:val="18"/>
                <w:szCs w:val="18"/>
              </w:rPr>
            </w:pPr>
            <w:r w:rsidRPr="00B0618E">
              <w:rPr>
                <w:b w:val="0"/>
                <w:bCs w:val="0"/>
                <w:color w:val="auto"/>
                <w:sz w:val="18"/>
                <w:szCs w:val="18"/>
              </w:rPr>
              <w:t>Clare Sandstone</w:t>
            </w:r>
          </w:p>
        </w:tc>
        <w:tc>
          <w:tcPr>
            <w:tcW w:w="902" w:type="pct"/>
            <w:vMerge/>
            <w:shd w:val="clear" w:color="auto" w:fill="EAEAEA"/>
            <w:vAlign w:val="center"/>
          </w:tcPr>
          <w:p w14:paraId="7EC61EA9"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2" w:type="pct"/>
            <w:vMerge/>
            <w:shd w:val="clear" w:color="auto" w:fill="EAEAEA"/>
          </w:tcPr>
          <w:p w14:paraId="11934164"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EAEAEA"/>
          </w:tcPr>
          <w:p w14:paraId="594066E1"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EAEAEA"/>
            <w:vAlign w:val="center"/>
          </w:tcPr>
          <w:p w14:paraId="16B79F81"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r>
      <w:tr w:rsidR="006B1865" w:rsidRPr="00B0618E" w14:paraId="142F43A1"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41F6B230" w14:textId="77777777" w:rsidR="006B1865" w:rsidRPr="00B0618E" w:rsidRDefault="006B1865" w:rsidP="006B1865">
            <w:pPr>
              <w:spacing w:before="60" w:after="60"/>
              <w:rPr>
                <w:b w:val="0"/>
                <w:bCs w:val="0"/>
                <w:color w:val="auto"/>
                <w:sz w:val="18"/>
                <w:szCs w:val="18"/>
              </w:rPr>
            </w:pPr>
            <w:r w:rsidRPr="00B0618E">
              <w:rPr>
                <w:b w:val="0"/>
                <w:bCs w:val="0"/>
                <w:color w:val="auto"/>
                <w:sz w:val="18"/>
                <w:szCs w:val="18"/>
              </w:rPr>
              <w:t>Howes Hill Coal Member</w:t>
            </w:r>
          </w:p>
        </w:tc>
        <w:tc>
          <w:tcPr>
            <w:tcW w:w="902" w:type="pct"/>
            <w:vMerge/>
            <w:shd w:val="clear" w:color="auto" w:fill="EAEAEA"/>
            <w:vAlign w:val="center"/>
          </w:tcPr>
          <w:p w14:paraId="301EA94A"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2" w:type="pct"/>
            <w:vMerge/>
            <w:shd w:val="clear" w:color="auto" w:fill="EAEAEA"/>
          </w:tcPr>
          <w:p w14:paraId="23514B29"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tcPr>
          <w:p w14:paraId="00BD1E1E"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auto"/>
            <w:vAlign w:val="center"/>
          </w:tcPr>
          <w:p w14:paraId="72391D8B"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7848EB8C"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74422651" w14:textId="77777777" w:rsidR="006B1865" w:rsidRPr="00B0618E" w:rsidRDefault="006B1865" w:rsidP="006B1865">
            <w:pPr>
              <w:spacing w:before="60" w:after="60"/>
              <w:rPr>
                <w:b w:val="0"/>
                <w:bCs w:val="0"/>
                <w:color w:val="auto"/>
                <w:sz w:val="18"/>
                <w:szCs w:val="18"/>
              </w:rPr>
            </w:pPr>
            <w:r w:rsidRPr="00B0618E">
              <w:rPr>
                <w:b w:val="0"/>
                <w:bCs w:val="0"/>
                <w:color w:val="auto"/>
                <w:sz w:val="18"/>
                <w:szCs w:val="18"/>
              </w:rPr>
              <w:t xml:space="preserve">Benelabri Formation </w:t>
            </w:r>
          </w:p>
        </w:tc>
        <w:tc>
          <w:tcPr>
            <w:tcW w:w="902" w:type="pct"/>
            <w:vMerge/>
            <w:shd w:val="clear" w:color="auto" w:fill="EAEAEA"/>
            <w:vAlign w:val="center"/>
          </w:tcPr>
          <w:p w14:paraId="28C4DF6C"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2" w:type="pct"/>
            <w:vMerge/>
            <w:shd w:val="clear" w:color="auto" w:fill="EAEAEA"/>
          </w:tcPr>
          <w:p w14:paraId="23BBFE97"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tcPr>
          <w:p w14:paraId="7E229DD9"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auto"/>
            <w:vAlign w:val="center"/>
          </w:tcPr>
          <w:p w14:paraId="110E9A7A"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r>
      <w:tr w:rsidR="006B1865" w:rsidRPr="00B0618E" w14:paraId="5AB57C88"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208140AA" w14:textId="77777777" w:rsidR="006B1865" w:rsidRPr="00B0618E" w:rsidRDefault="006B1865" w:rsidP="006B1865">
            <w:pPr>
              <w:spacing w:before="60" w:after="60"/>
              <w:rPr>
                <w:b w:val="0"/>
                <w:bCs w:val="0"/>
                <w:color w:val="auto"/>
                <w:sz w:val="18"/>
                <w:szCs w:val="18"/>
              </w:rPr>
            </w:pPr>
            <w:r w:rsidRPr="00B0618E">
              <w:rPr>
                <w:b w:val="0"/>
                <w:bCs w:val="0"/>
                <w:color w:val="auto"/>
                <w:sz w:val="18"/>
                <w:szCs w:val="18"/>
              </w:rPr>
              <w:t xml:space="preserve">Hoskissons Coal </w:t>
            </w:r>
          </w:p>
        </w:tc>
        <w:tc>
          <w:tcPr>
            <w:tcW w:w="902" w:type="pct"/>
            <w:shd w:val="clear" w:color="auto" w:fill="auto"/>
            <w:vAlign w:val="center"/>
          </w:tcPr>
          <w:p w14:paraId="199A7554"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10</w:t>
            </w:r>
          </w:p>
        </w:tc>
        <w:tc>
          <w:tcPr>
            <w:tcW w:w="902" w:type="pct"/>
            <w:shd w:val="clear" w:color="auto" w:fill="auto"/>
          </w:tcPr>
          <w:p w14:paraId="5593DA80"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coal</w:t>
            </w:r>
          </w:p>
        </w:tc>
        <w:tc>
          <w:tcPr>
            <w:tcW w:w="900" w:type="pct"/>
          </w:tcPr>
          <w:p w14:paraId="2432492D"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06</w:t>
            </w:r>
          </w:p>
        </w:tc>
        <w:tc>
          <w:tcPr>
            <w:tcW w:w="900" w:type="pct"/>
            <w:shd w:val="clear" w:color="auto" w:fill="auto"/>
            <w:vAlign w:val="center"/>
          </w:tcPr>
          <w:p w14:paraId="382E13AC"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13</w:t>
            </w:r>
          </w:p>
        </w:tc>
      </w:tr>
      <w:tr w:rsidR="006B1865" w:rsidRPr="00B0618E" w14:paraId="3F3FE950"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7F775F72" w14:textId="77777777" w:rsidR="006B1865" w:rsidRPr="00B0618E" w:rsidRDefault="006B1865" w:rsidP="006B1865">
            <w:pPr>
              <w:spacing w:before="60" w:after="60"/>
              <w:rPr>
                <w:b w:val="0"/>
                <w:bCs w:val="0"/>
                <w:color w:val="auto"/>
                <w:sz w:val="18"/>
                <w:szCs w:val="18"/>
              </w:rPr>
            </w:pPr>
            <w:r w:rsidRPr="00B0618E">
              <w:rPr>
                <w:b w:val="0"/>
                <w:bCs w:val="0"/>
                <w:color w:val="auto"/>
                <w:sz w:val="18"/>
                <w:szCs w:val="18"/>
              </w:rPr>
              <w:t xml:space="preserve">Brigalow Formation </w:t>
            </w:r>
          </w:p>
        </w:tc>
        <w:tc>
          <w:tcPr>
            <w:tcW w:w="902" w:type="pct"/>
            <w:vMerge w:val="restart"/>
            <w:shd w:val="clear" w:color="auto" w:fill="EAEAEA"/>
            <w:vAlign w:val="center"/>
          </w:tcPr>
          <w:p w14:paraId="219583CA"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11</w:t>
            </w:r>
          </w:p>
        </w:tc>
        <w:tc>
          <w:tcPr>
            <w:tcW w:w="902" w:type="pct"/>
            <w:vMerge w:val="restart"/>
            <w:shd w:val="clear" w:color="auto" w:fill="EAEAEA"/>
            <w:vAlign w:val="center"/>
          </w:tcPr>
          <w:p w14:paraId="7FED9B18"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aquitard</w:t>
            </w:r>
          </w:p>
        </w:tc>
        <w:tc>
          <w:tcPr>
            <w:tcW w:w="900" w:type="pct"/>
            <w:vMerge w:val="restart"/>
            <w:vAlign w:val="center"/>
          </w:tcPr>
          <w:p w14:paraId="5963E932"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07</w:t>
            </w:r>
          </w:p>
        </w:tc>
        <w:tc>
          <w:tcPr>
            <w:tcW w:w="900" w:type="pct"/>
            <w:vMerge w:val="restart"/>
            <w:shd w:val="clear" w:color="auto" w:fill="EAEAEA"/>
            <w:vAlign w:val="center"/>
          </w:tcPr>
          <w:p w14:paraId="68F5F835"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13–19</w:t>
            </w:r>
          </w:p>
        </w:tc>
      </w:tr>
      <w:tr w:rsidR="006B1865" w:rsidRPr="00B0618E" w14:paraId="44C60269"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11E676A9" w14:textId="77777777" w:rsidR="006B1865" w:rsidRPr="00B0618E" w:rsidRDefault="006B1865" w:rsidP="006B1865">
            <w:pPr>
              <w:spacing w:before="60" w:after="60"/>
              <w:rPr>
                <w:b w:val="0"/>
                <w:bCs w:val="0"/>
                <w:color w:val="auto"/>
                <w:sz w:val="18"/>
                <w:szCs w:val="18"/>
              </w:rPr>
            </w:pPr>
            <w:r w:rsidRPr="00B0618E">
              <w:rPr>
                <w:b w:val="0"/>
                <w:bCs w:val="0"/>
                <w:color w:val="auto"/>
                <w:sz w:val="18"/>
                <w:szCs w:val="18"/>
              </w:rPr>
              <w:t xml:space="preserve">Arkarula Formation </w:t>
            </w:r>
          </w:p>
        </w:tc>
        <w:tc>
          <w:tcPr>
            <w:tcW w:w="902" w:type="pct"/>
            <w:vMerge/>
            <w:shd w:val="clear" w:color="auto" w:fill="EAEAEA"/>
            <w:vAlign w:val="center"/>
          </w:tcPr>
          <w:p w14:paraId="5162E7A4"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2" w:type="pct"/>
            <w:vMerge/>
            <w:shd w:val="clear" w:color="auto" w:fill="EAEAEA"/>
          </w:tcPr>
          <w:p w14:paraId="5A5D6BE6"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tcPr>
          <w:p w14:paraId="4D0130EB"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vAlign w:val="center"/>
          </w:tcPr>
          <w:p w14:paraId="41BE8375"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1BDF54F0"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7B5746FD" w14:textId="77777777" w:rsidR="006B1865" w:rsidRPr="00B0618E" w:rsidRDefault="006B1865" w:rsidP="006B1865">
            <w:pPr>
              <w:spacing w:before="60" w:after="60"/>
              <w:rPr>
                <w:b w:val="0"/>
                <w:bCs w:val="0"/>
                <w:color w:val="auto"/>
                <w:sz w:val="18"/>
                <w:szCs w:val="18"/>
              </w:rPr>
            </w:pPr>
            <w:r w:rsidRPr="00B0618E">
              <w:rPr>
                <w:b w:val="0"/>
                <w:bCs w:val="0"/>
                <w:color w:val="auto"/>
                <w:sz w:val="18"/>
                <w:szCs w:val="18"/>
              </w:rPr>
              <w:t>Melvilles Coal Member</w:t>
            </w:r>
          </w:p>
        </w:tc>
        <w:tc>
          <w:tcPr>
            <w:tcW w:w="902" w:type="pct"/>
            <w:vMerge/>
            <w:shd w:val="clear" w:color="auto" w:fill="EAEAEA"/>
            <w:vAlign w:val="center"/>
          </w:tcPr>
          <w:p w14:paraId="5E4B57BC"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2" w:type="pct"/>
            <w:vMerge/>
            <w:shd w:val="clear" w:color="auto" w:fill="EAEAEA"/>
          </w:tcPr>
          <w:p w14:paraId="0B71C302"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tcPr>
          <w:p w14:paraId="2652D2EF"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EAEAEA"/>
            <w:vAlign w:val="center"/>
          </w:tcPr>
          <w:p w14:paraId="5272DEEF"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r>
      <w:tr w:rsidR="006B1865" w:rsidRPr="00B0618E" w14:paraId="1E1CD1A7"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61CA340E" w14:textId="77777777" w:rsidR="006B1865" w:rsidRPr="00B0618E" w:rsidRDefault="006B1865" w:rsidP="006B1865">
            <w:pPr>
              <w:spacing w:before="60" w:after="60"/>
              <w:rPr>
                <w:b w:val="0"/>
                <w:bCs w:val="0"/>
                <w:color w:val="auto"/>
                <w:sz w:val="18"/>
                <w:szCs w:val="18"/>
              </w:rPr>
            </w:pPr>
            <w:r w:rsidRPr="00B0618E">
              <w:rPr>
                <w:b w:val="0"/>
                <w:bCs w:val="0"/>
                <w:color w:val="auto"/>
                <w:sz w:val="18"/>
                <w:szCs w:val="18"/>
              </w:rPr>
              <w:t xml:space="preserve">Pamboola Formation </w:t>
            </w:r>
          </w:p>
        </w:tc>
        <w:tc>
          <w:tcPr>
            <w:tcW w:w="902" w:type="pct"/>
            <w:vMerge/>
            <w:shd w:val="clear" w:color="auto" w:fill="EAEAEA"/>
            <w:vAlign w:val="center"/>
          </w:tcPr>
          <w:p w14:paraId="253BF81F"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2" w:type="pct"/>
            <w:vMerge/>
            <w:shd w:val="clear" w:color="auto" w:fill="EAEAEA"/>
          </w:tcPr>
          <w:p w14:paraId="08AA7A7B"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tcPr>
          <w:p w14:paraId="0F298386"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vAlign w:val="center"/>
          </w:tcPr>
          <w:p w14:paraId="46A7600E"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3B0AD8A8"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52A3C1F8" w14:textId="77777777" w:rsidR="006B1865" w:rsidRPr="00B0618E" w:rsidRDefault="006B1865" w:rsidP="006B1865">
            <w:pPr>
              <w:spacing w:before="60" w:after="60"/>
              <w:rPr>
                <w:b w:val="0"/>
                <w:bCs w:val="0"/>
                <w:sz w:val="18"/>
                <w:szCs w:val="18"/>
              </w:rPr>
            </w:pPr>
            <w:r w:rsidRPr="00B0618E">
              <w:rPr>
                <w:b w:val="0"/>
                <w:bCs w:val="0"/>
                <w:sz w:val="18"/>
                <w:szCs w:val="18"/>
              </w:rPr>
              <w:t xml:space="preserve">Watermark Formation </w:t>
            </w:r>
          </w:p>
        </w:tc>
        <w:tc>
          <w:tcPr>
            <w:tcW w:w="902" w:type="pct"/>
            <w:vMerge w:val="restart"/>
            <w:shd w:val="clear" w:color="auto" w:fill="auto"/>
            <w:vAlign w:val="center"/>
          </w:tcPr>
          <w:p w14:paraId="6F5519D0"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12</w:t>
            </w:r>
          </w:p>
        </w:tc>
        <w:tc>
          <w:tcPr>
            <w:tcW w:w="902" w:type="pct"/>
            <w:vMerge/>
            <w:shd w:val="clear" w:color="auto" w:fill="EAEAEA"/>
          </w:tcPr>
          <w:p w14:paraId="2ECC2EC9"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tcPr>
          <w:p w14:paraId="6A2B8FFC"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0" w:type="pct"/>
            <w:vMerge/>
            <w:shd w:val="clear" w:color="auto" w:fill="EAEAEA"/>
            <w:vAlign w:val="center"/>
          </w:tcPr>
          <w:p w14:paraId="243FB4E1"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r>
      <w:tr w:rsidR="006B1865" w:rsidRPr="00B0618E" w14:paraId="480A67F3" w14:textId="77777777" w:rsidTr="006B1865">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2A26725C" w14:textId="77777777" w:rsidR="006B1865" w:rsidRPr="00B0618E" w:rsidRDefault="006B1865" w:rsidP="006B1865">
            <w:pPr>
              <w:spacing w:before="60" w:after="60"/>
              <w:rPr>
                <w:b w:val="0"/>
                <w:bCs w:val="0"/>
                <w:sz w:val="18"/>
                <w:szCs w:val="18"/>
              </w:rPr>
            </w:pPr>
            <w:r w:rsidRPr="00B0618E">
              <w:rPr>
                <w:b w:val="0"/>
                <w:bCs w:val="0"/>
                <w:sz w:val="18"/>
                <w:szCs w:val="18"/>
              </w:rPr>
              <w:t xml:space="preserve">Porcupine Formation </w:t>
            </w:r>
          </w:p>
        </w:tc>
        <w:tc>
          <w:tcPr>
            <w:tcW w:w="902" w:type="pct"/>
            <w:vMerge/>
            <w:shd w:val="clear" w:color="auto" w:fill="auto"/>
            <w:vAlign w:val="center"/>
          </w:tcPr>
          <w:p w14:paraId="1FFDF849"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2" w:type="pct"/>
            <w:vMerge/>
            <w:shd w:val="clear" w:color="auto" w:fill="EAEAEA"/>
          </w:tcPr>
          <w:p w14:paraId="6D2AB938"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tcPr>
          <w:p w14:paraId="1B109C19"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0" w:type="pct"/>
            <w:vMerge/>
            <w:shd w:val="clear" w:color="auto" w:fill="EAEAEA"/>
            <w:vAlign w:val="center"/>
          </w:tcPr>
          <w:p w14:paraId="67411D35"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r>
      <w:tr w:rsidR="006B1865" w:rsidRPr="00B0618E" w14:paraId="521BA785"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5242AC1E" w14:textId="77777777" w:rsidR="006B1865" w:rsidRPr="00B0618E" w:rsidRDefault="006B1865" w:rsidP="006B1865">
            <w:pPr>
              <w:spacing w:before="60" w:after="60"/>
              <w:rPr>
                <w:b w:val="0"/>
                <w:bCs w:val="0"/>
                <w:sz w:val="18"/>
                <w:szCs w:val="18"/>
              </w:rPr>
            </w:pPr>
            <w:r w:rsidRPr="00B0618E">
              <w:rPr>
                <w:b w:val="0"/>
                <w:bCs w:val="0"/>
                <w:sz w:val="18"/>
                <w:szCs w:val="18"/>
              </w:rPr>
              <w:t>Maules Creek Formation (upper)</w:t>
            </w:r>
          </w:p>
        </w:tc>
        <w:tc>
          <w:tcPr>
            <w:tcW w:w="902" w:type="pct"/>
            <w:vMerge w:val="restart"/>
            <w:shd w:val="clear" w:color="auto" w:fill="EAEAEA"/>
            <w:vAlign w:val="center"/>
          </w:tcPr>
          <w:p w14:paraId="62D1E8BE"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13</w:t>
            </w:r>
          </w:p>
        </w:tc>
        <w:tc>
          <w:tcPr>
            <w:tcW w:w="902" w:type="pct"/>
            <w:shd w:val="clear" w:color="auto" w:fill="EAEAEA"/>
            <w:vAlign w:val="center"/>
          </w:tcPr>
          <w:p w14:paraId="29DAA5CE"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interburden</w:t>
            </w:r>
          </w:p>
        </w:tc>
        <w:tc>
          <w:tcPr>
            <w:tcW w:w="900" w:type="pct"/>
            <w:shd w:val="clear" w:color="auto" w:fill="EAEAEA"/>
          </w:tcPr>
          <w:p w14:paraId="44178F13"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08</w:t>
            </w:r>
          </w:p>
        </w:tc>
        <w:tc>
          <w:tcPr>
            <w:tcW w:w="900" w:type="pct"/>
            <w:shd w:val="clear" w:color="auto" w:fill="EAEAEA"/>
            <w:vAlign w:val="center"/>
          </w:tcPr>
          <w:p w14:paraId="56D8B16E"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20, 21</w:t>
            </w:r>
          </w:p>
        </w:tc>
      </w:tr>
      <w:tr w:rsidR="006B1865" w:rsidRPr="00B0618E" w14:paraId="5F68C7FF" w14:textId="77777777" w:rsidTr="0074076E">
        <w:tc>
          <w:tcPr>
            <w:cnfStyle w:val="001000000000" w:firstRow="0" w:lastRow="0" w:firstColumn="1" w:lastColumn="0" w:oddVBand="0" w:evenVBand="0" w:oddHBand="0" w:evenHBand="0" w:firstRowFirstColumn="0" w:firstRowLastColumn="0" w:lastRowFirstColumn="0" w:lastRowLastColumn="0"/>
            <w:tcW w:w="1396" w:type="pct"/>
            <w:shd w:val="clear" w:color="auto" w:fill="auto"/>
            <w:vAlign w:val="bottom"/>
          </w:tcPr>
          <w:p w14:paraId="09F67C00" w14:textId="77777777" w:rsidR="006B1865" w:rsidRPr="00B0618E" w:rsidRDefault="006B1865" w:rsidP="006B1865">
            <w:pPr>
              <w:spacing w:before="60" w:after="60"/>
              <w:rPr>
                <w:b w:val="0"/>
                <w:bCs w:val="0"/>
                <w:sz w:val="18"/>
                <w:szCs w:val="18"/>
              </w:rPr>
            </w:pPr>
            <w:r w:rsidRPr="00B0618E">
              <w:rPr>
                <w:b w:val="0"/>
                <w:bCs w:val="0"/>
                <w:sz w:val="18"/>
                <w:szCs w:val="18"/>
              </w:rPr>
              <w:t>Maules Creek Formation (coal)</w:t>
            </w:r>
          </w:p>
        </w:tc>
        <w:tc>
          <w:tcPr>
            <w:tcW w:w="902" w:type="pct"/>
            <w:vMerge/>
            <w:shd w:val="clear" w:color="auto" w:fill="auto"/>
            <w:vAlign w:val="center"/>
          </w:tcPr>
          <w:p w14:paraId="4FFFC7F1"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p>
        </w:tc>
        <w:tc>
          <w:tcPr>
            <w:tcW w:w="902" w:type="pct"/>
            <w:shd w:val="clear" w:color="auto" w:fill="auto"/>
            <w:vAlign w:val="center"/>
          </w:tcPr>
          <w:p w14:paraId="22A64E61"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coal</w:t>
            </w:r>
          </w:p>
        </w:tc>
        <w:tc>
          <w:tcPr>
            <w:tcW w:w="900" w:type="pct"/>
            <w:shd w:val="clear" w:color="auto" w:fill="auto"/>
          </w:tcPr>
          <w:p w14:paraId="6119B34E"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09</w:t>
            </w:r>
          </w:p>
        </w:tc>
        <w:tc>
          <w:tcPr>
            <w:tcW w:w="900" w:type="pct"/>
            <w:shd w:val="clear" w:color="auto" w:fill="auto"/>
            <w:vAlign w:val="center"/>
          </w:tcPr>
          <w:p w14:paraId="3200AFE6" w14:textId="77777777" w:rsidR="006B1865" w:rsidRPr="00B0618E" w:rsidRDefault="006B1865" w:rsidP="006B1865">
            <w:pPr>
              <w:spacing w:before="60" w:after="60"/>
              <w:jc w:val="center"/>
              <w:cnfStyle w:val="000000000000" w:firstRow="0" w:lastRow="0" w:firstColumn="0" w:lastColumn="0" w:oddVBand="0" w:evenVBand="0" w:oddHBand="0" w:evenHBand="0" w:firstRowFirstColumn="0" w:firstRowLastColumn="0" w:lastRowFirstColumn="0" w:lastRowLastColumn="0"/>
              <w:rPr>
                <w:sz w:val="18"/>
                <w:szCs w:val="18"/>
                <w:lang w:val="en-GB"/>
              </w:rPr>
            </w:pPr>
            <w:r w:rsidRPr="00B0618E">
              <w:rPr>
                <w:sz w:val="18"/>
                <w:szCs w:val="18"/>
                <w:lang w:val="en-GB"/>
              </w:rPr>
              <w:t>22</w:t>
            </w:r>
          </w:p>
        </w:tc>
      </w:tr>
      <w:tr w:rsidR="006B1865" w:rsidRPr="00B0618E" w14:paraId="2363EB92" w14:textId="77777777" w:rsidTr="001A58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6" w:type="pct"/>
            <w:shd w:val="clear" w:color="auto" w:fill="EAEAEA"/>
            <w:vAlign w:val="bottom"/>
          </w:tcPr>
          <w:p w14:paraId="51CD5961" w14:textId="77777777" w:rsidR="006B1865" w:rsidRPr="00B0618E" w:rsidRDefault="006B1865" w:rsidP="006B1865">
            <w:pPr>
              <w:spacing w:before="60" w:after="60"/>
              <w:rPr>
                <w:b w:val="0"/>
                <w:bCs w:val="0"/>
                <w:sz w:val="18"/>
                <w:szCs w:val="18"/>
              </w:rPr>
            </w:pPr>
            <w:r w:rsidRPr="00B0618E">
              <w:rPr>
                <w:b w:val="0"/>
                <w:bCs w:val="0"/>
                <w:sz w:val="18"/>
                <w:szCs w:val="18"/>
              </w:rPr>
              <w:t>Maules Creek Formation (lower)</w:t>
            </w:r>
          </w:p>
        </w:tc>
        <w:tc>
          <w:tcPr>
            <w:tcW w:w="902" w:type="pct"/>
            <w:vMerge/>
            <w:shd w:val="clear" w:color="auto" w:fill="EAEAEA"/>
            <w:vAlign w:val="center"/>
          </w:tcPr>
          <w:p w14:paraId="4DEAAC9D"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p>
        </w:tc>
        <w:tc>
          <w:tcPr>
            <w:tcW w:w="902" w:type="pct"/>
            <w:shd w:val="clear" w:color="auto" w:fill="EAEAEA"/>
            <w:vAlign w:val="center"/>
          </w:tcPr>
          <w:p w14:paraId="3EECDCBA"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interburden</w:t>
            </w:r>
          </w:p>
        </w:tc>
        <w:tc>
          <w:tcPr>
            <w:tcW w:w="900" w:type="pct"/>
            <w:shd w:val="clear" w:color="auto" w:fill="EAEAEA"/>
          </w:tcPr>
          <w:p w14:paraId="1FDC8F4F"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10</w:t>
            </w:r>
          </w:p>
        </w:tc>
        <w:tc>
          <w:tcPr>
            <w:tcW w:w="900" w:type="pct"/>
            <w:shd w:val="clear" w:color="auto" w:fill="EAEAEA"/>
            <w:vAlign w:val="center"/>
          </w:tcPr>
          <w:p w14:paraId="6B7284F7" w14:textId="77777777" w:rsidR="006B1865" w:rsidRPr="00B0618E" w:rsidRDefault="006B1865" w:rsidP="006B1865">
            <w:pPr>
              <w:spacing w:before="60" w:after="60"/>
              <w:jc w:val="center"/>
              <w:cnfStyle w:val="000000100000" w:firstRow="0" w:lastRow="0" w:firstColumn="0" w:lastColumn="0" w:oddVBand="0" w:evenVBand="0" w:oddHBand="1" w:evenHBand="0" w:firstRowFirstColumn="0" w:firstRowLastColumn="0" w:lastRowFirstColumn="0" w:lastRowLastColumn="0"/>
              <w:rPr>
                <w:sz w:val="18"/>
                <w:szCs w:val="18"/>
                <w:lang w:val="en-GB"/>
              </w:rPr>
            </w:pPr>
            <w:r w:rsidRPr="00B0618E">
              <w:rPr>
                <w:sz w:val="18"/>
                <w:szCs w:val="18"/>
                <w:lang w:val="en-GB"/>
              </w:rPr>
              <w:t>22–24</w:t>
            </w:r>
          </w:p>
        </w:tc>
      </w:tr>
    </w:tbl>
    <w:p w14:paraId="4B5112FC" w14:textId="77777777" w:rsidR="001869C0" w:rsidRDefault="001869C0" w:rsidP="0016147E">
      <w:pPr>
        <w:pStyle w:val="BodyText"/>
        <w:rPr>
          <w:b/>
          <w:color w:val="FF0000"/>
        </w:rPr>
      </w:pPr>
    </w:p>
    <w:p w14:paraId="420A851C" w14:textId="77777777" w:rsidR="00F51BCD" w:rsidRPr="00B0618E" w:rsidRDefault="00F51BCD" w:rsidP="00F51BCD">
      <w:pPr>
        <w:pStyle w:val="BodyText"/>
        <w:rPr>
          <w:color w:val="auto"/>
        </w:rPr>
      </w:pPr>
      <w:r w:rsidRPr="00B0618E">
        <w:rPr>
          <w:color w:val="auto"/>
        </w:rPr>
        <w:t>In summary, the main aquitards of interest were the upper aquitard sequence (i.e., groundwater model layers 7-12) and the lower aquitard sequence (i.e., groundwater model layers 13-19). These aquitards were the focus of improved characterisation as well as the estimation of the effects of improved representation of vertical hydraulic conductivity.</w:t>
      </w:r>
    </w:p>
    <w:p w14:paraId="06FA0E7D" w14:textId="77777777" w:rsidR="00F51BCD" w:rsidRPr="00B0618E" w:rsidRDefault="00F51BCD" w:rsidP="0016147E">
      <w:pPr>
        <w:pStyle w:val="BodyText"/>
        <w:rPr>
          <w:b/>
          <w:color w:val="FF0000"/>
        </w:rPr>
      </w:pPr>
    </w:p>
    <w:p w14:paraId="00522A50" w14:textId="77777777" w:rsidR="00882D65" w:rsidRPr="00B0618E" w:rsidRDefault="00882D65" w:rsidP="00882D65">
      <w:pPr>
        <w:pStyle w:val="Heading2"/>
      </w:pPr>
      <w:bookmarkStart w:id="38" w:name="_Toc483127565"/>
      <w:r w:rsidRPr="00B0618E">
        <w:t>Inflows and outflows</w:t>
      </w:r>
      <w:bookmarkEnd w:id="38"/>
    </w:p>
    <w:p w14:paraId="6033FDA3" w14:textId="3F51853E" w:rsidR="00DC1EF2" w:rsidRDefault="00E71A79" w:rsidP="00882D65">
      <w:pPr>
        <w:pStyle w:val="BodyText"/>
        <w:rPr>
          <w:color w:val="auto"/>
        </w:rPr>
      </w:pPr>
      <w:r>
        <w:rPr>
          <w:color w:val="auto"/>
        </w:rPr>
        <w:t>The majority of boundary condition fluxes applied to the model occurred on the top model boundary. These were specified separately for the Namoi Alluvium and for the remainder of the top model layer</w:t>
      </w:r>
      <w:r w:rsidR="0033735C">
        <w:rPr>
          <w:color w:val="auto"/>
        </w:rPr>
        <w:t xml:space="preserve"> and are described as follows</w:t>
      </w:r>
      <w:r>
        <w:rPr>
          <w:color w:val="auto"/>
        </w:rPr>
        <w:t xml:space="preserve">. </w:t>
      </w:r>
    </w:p>
    <w:p w14:paraId="30BC0C00" w14:textId="1FC6E936" w:rsidR="00E71A79" w:rsidRDefault="0033735C" w:rsidP="00882D65">
      <w:pPr>
        <w:pStyle w:val="BodyText"/>
        <w:rPr>
          <w:color w:val="auto"/>
        </w:rPr>
      </w:pPr>
      <w:r>
        <w:rPr>
          <w:color w:val="auto"/>
        </w:rPr>
        <w:t>Within</w:t>
      </w:r>
      <w:r w:rsidR="00E71A79">
        <w:rPr>
          <w:color w:val="auto"/>
        </w:rPr>
        <w:t xml:space="preserve"> the Namoi Alluvium, the Namoi River was represented using Cauchy boundary conditions</w:t>
      </w:r>
      <w:r>
        <w:rPr>
          <w:color w:val="auto"/>
        </w:rPr>
        <w:t xml:space="preserve"> (i.e., RIV package)</w:t>
      </w:r>
      <w:r w:rsidR="00E71A79">
        <w:rPr>
          <w:color w:val="auto"/>
        </w:rPr>
        <w:t xml:space="preserve">, which were parameterised using river stage, base and conductance parameters. </w:t>
      </w:r>
      <w:r>
        <w:rPr>
          <w:color w:val="auto"/>
        </w:rPr>
        <w:t xml:space="preserve">Within </w:t>
      </w:r>
      <w:r w:rsidR="00E71A79">
        <w:rPr>
          <w:color w:val="auto"/>
        </w:rPr>
        <w:t xml:space="preserve">the remainder of the Namoi Alluvium, Neumann boundary conditions </w:t>
      </w:r>
      <w:r>
        <w:rPr>
          <w:color w:val="auto"/>
        </w:rPr>
        <w:t xml:space="preserve">(i.e., RCH package) </w:t>
      </w:r>
      <w:r w:rsidR="00E71A79">
        <w:rPr>
          <w:color w:val="auto"/>
        </w:rPr>
        <w:t xml:space="preserve">were applied in order to represent net recharge; i.e., gross recharge minus evapotranspiration (ET) minus extraction. For cells in which extraction and/or ET exceeded gross recharge, negative net fluxes </w:t>
      </w:r>
      <w:r w:rsidR="000D3808">
        <w:rPr>
          <w:color w:val="auto"/>
        </w:rPr>
        <w:t xml:space="preserve">of zero to </w:t>
      </w:r>
      <w:r w:rsidR="00676F06">
        <w:rPr>
          <w:color w:val="auto"/>
        </w:rPr>
        <w:t>-</w:t>
      </w:r>
      <w:r w:rsidR="000D3808">
        <w:rPr>
          <w:color w:val="auto"/>
        </w:rPr>
        <w:t xml:space="preserve">0.5 mm/d </w:t>
      </w:r>
      <w:r w:rsidR="00E71A79">
        <w:rPr>
          <w:color w:val="auto"/>
        </w:rPr>
        <w:t>were specified</w:t>
      </w:r>
      <w:r w:rsidR="000D3808">
        <w:rPr>
          <w:color w:val="auto"/>
        </w:rPr>
        <w:t>. E</w:t>
      </w:r>
      <w:r w:rsidR="00E71A79">
        <w:rPr>
          <w:color w:val="auto"/>
        </w:rPr>
        <w:t xml:space="preserve">lsewhere, positive net fluxes </w:t>
      </w:r>
      <w:r w:rsidR="000D3808">
        <w:rPr>
          <w:color w:val="auto"/>
        </w:rPr>
        <w:t xml:space="preserve">of zero to </w:t>
      </w:r>
      <w:r w:rsidR="00676F06">
        <w:rPr>
          <w:color w:val="auto"/>
        </w:rPr>
        <w:t>+</w:t>
      </w:r>
      <w:r w:rsidR="000D3808">
        <w:rPr>
          <w:color w:val="auto"/>
        </w:rPr>
        <w:t xml:space="preserve">0.5 mm/d </w:t>
      </w:r>
      <w:r w:rsidR="00E71A79">
        <w:rPr>
          <w:color w:val="auto"/>
        </w:rPr>
        <w:t>were specified</w:t>
      </w:r>
      <w:r w:rsidR="00DC1EF2">
        <w:rPr>
          <w:color w:val="auto"/>
        </w:rPr>
        <w:t xml:space="preserve"> (CDM Smith, 2016; Figure 6-13)</w:t>
      </w:r>
      <w:r w:rsidR="00E71A79">
        <w:rPr>
          <w:color w:val="auto"/>
        </w:rPr>
        <w:t xml:space="preserve">. </w:t>
      </w:r>
    </w:p>
    <w:p w14:paraId="33DDFAB8" w14:textId="51D0F0BF" w:rsidR="00E71A79" w:rsidRDefault="00E71A79" w:rsidP="00882D65">
      <w:pPr>
        <w:pStyle w:val="BodyText"/>
        <w:rPr>
          <w:color w:val="auto"/>
        </w:rPr>
      </w:pPr>
      <w:r>
        <w:rPr>
          <w:color w:val="auto"/>
        </w:rPr>
        <w:t xml:space="preserve">For cells located outside the extent of the Namoi Alluvium in the top model layer, Neumann and Cauchy boundary conditions were specified simultaneously. Spatially variable gross recharge </w:t>
      </w:r>
      <w:r w:rsidR="004203F6">
        <w:rPr>
          <w:color w:val="auto"/>
        </w:rPr>
        <w:t xml:space="preserve">rates ranging from 0.5 mm/y to 16 mm/y </w:t>
      </w:r>
      <w:r>
        <w:rPr>
          <w:color w:val="auto"/>
        </w:rPr>
        <w:t>were applied using Neumann boundary conditions</w:t>
      </w:r>
      <w:r w:rsidR="0033735C">
        <w:rPr>
          <w:color w:val="auto"/>
        </w:rPr>
        <w:t xml:space="preserve"> (i.e., RCH package)</w:t>
      </w:r>
      <w:r w:rsidR="004203F6">
        <w:rPr>
          <w:color w:val="auto"/>
        </w:rPr>
        <w:t>. Evapotranspiration fluxes were represented using Cauchy boundary conditions</w:t>
      </w:r>
      <w:r w:rsidR="0033735C">
        <w:rPr>
          <w:color w:val="auto"/>
        </w:rPr>
        <w:t xml:space="preserve"> (i.e., </w:t>
      </w:r>
      <w:r w:rsidR="004203F6">
        <w:rPr>
          <w:color w:val="auto"/>
        </w:rPr>
        <w:t>the EVT package</w:t>
      </w:r>
      <w:r w:rsidR="0033735C">
        <w:rPr>
          <w:color w:val="auto"/>
        </w:rPr>
        <w:t>)</w:t>
      </w:r>
      <w:r w:rsidR="004203F6">
        <w:rPr>
          <w:color w:val="auto"/>
        </w:rPr>
        <w:t>. This</w:t>
      </w:r>
      <w:r w:rsidR="0033735C">
        <w:rPr>
          <w:color w:val="auto"/>
        </w:rPr>
        <w:t xml:space="preserve"> package</w:t>
      </w:r>
      <w:r w:rsidR="004203F6">
        <w:rPr>
          <w:color w:val="auto"/>
        </w:rPr>
        <w:t xml:space="preserve"> calculates ET fluxes as a linear function of depth below ground surface (i.e., model top). Calculated ET rates varied from a maximum of 600 mm/y for a watertable at ground surface </w:t>
      </w:r>
      <w:r w:rsidR="0033735C">
        <w:rPr>
          <w:color w:val="auto"/>
        </w:rPr>
        <w:t xml:space="preserve">to zero for a watertable ≥ 5 m </w:t>
      </w:r>
      <w:r w:rsidR="0068249A">
        <w:rPr>
          <w:color w:val="auto"/>
        </w:rPr>
        <w:t xml:space="preserve">depth </w:t>
      </w:r>
      <w:r w:rsidR="00DC1EF2">
        <w:rPr>
          <w:color w:val="auto"/>
        </w:rPr>
        <w:t>(CDM Smith, 2016; Figure 6-14)</w:t>
      </w:r>
      <w:r>
        <w:rPr>
          <w:color w:val="auto"/>
        </w:rPr>
        <w:t xml:space="preserve">. </w:t>
      </w:r>
    </w:p>
    <w:p w14:paraId="6B2DED97" w14:textId="03543B90" w:rsidR="00DD5AF3" w:rsidRPr="00B0618E" w:rsidRDefault="00535CCC" w:rsidP="00882D65">
      <w:pPr>
        <w:pStyle w:val="BodyText"/>
        <w:rPr>
          <w:color w:val="auto"/>
        </w:rPr>
      </w:pPr>
      <w:r w:rsidRPr="00B0618E">
        <w:rPr>
          <w:color w:val="auto"/>
        </w:rPr>
        <w:t xml:space="preserve">Other </w:t>
      </w:r>
      <w:r w:rsidR="00E71A79">
        <w:rPr>
          <w:color w:val="auto"/>
        </w:rPr>
        <w:t xml:space="preserve">model </w:t>
      </w:r>
      <w:r w:rsidR="0033735C">
        <w:rPr>
          <w:color w:val="auto"/>
        </w:rPr>
        <w:t>inflows and outflows</w:t>
      </w:r>
      <w:r w:rsidR="00DD5AF3" w:rsidRPr="00B0618E">
        <w:rPr>
          <w:color w:val="auto"/>
        </w:rPr>
        <w:t xml:space="preserve"> occur</w:t>
      </w:r>
      <w:r w:rsidR="0033735C">
        <w:rPr>
          <w:color w:val="auto"/>
        </w:rPr>
        <w:t>red</w:t>
      </w:r>
      <w:r w:rsidR="00DD5AF3" w:rsidRPr="00B0618E">
        <w:rPr>
          <w:color w:val="auto"/>
        </w:rPr>
        <w:t xml:space="preserve"> via </w:t>
      </w:r>
      <w:r w:rsidR="0033735C">
        <w:rPr>
          <w:color w:val="auto"/>
        </w:rPr>
        <w:t>lateral connections to other groundwater flow systems</w:t>
      </w:r>
      <w:r w:rsidR="00DD5AF3" w:rsidRPr="00B0618E">
        <w:rPr>
          <w:color w:val="auto"/>
        </w:rPr>
        <w:t>.</w:t>
      </w:r>
      <w:r w:rsidR="0033735C">
        <w:rPr>
          <w:color w:val="auto"/>
        </w:rPr>
        <w:t xml:space="preserve"> </w:t>
      </w:r>
      <w:r w:rsidR="00AC01F2">
        <w:rPr>
          <w:color w:val="auto"/>
        </w:rPr>
        <w:t xml:space="preserve">This included connections between </w:t>
      </w:r>
      <w:r w:rsidR="00DD5AF3" w:rsidRPr="00B0618E">
        <w:rPr>
          <w:color w:val="auto"/>
        </w:rPr>
        <w:t xml:space="preserve">the Pilliga Sandstone aquifer </w:t>
      </w:r>
      <w:r w:rsidR="00AC01F2">
        <w:rPr>
          <w:color w:val="auto"/>
        </w:rPr>
        <w:t xml:space="preserve">and </w:t>
      </w:r>
      <w:r w:rsidR="00DD5AF3" w:rsidRPr="00B0618E">
        <w:rPr>
          <w:color w:val="auto"/>
        </w:rPr>
        <w:t>the Great Artesian Basin</w:t>
      </w:r>
      <w:r w:rsidR="00AC01F2">
        <w:rPr>
          <w:color w:val="auto"/>
        </w:rPr>
        <w:t>, as well as connections between the Namoi Alluvium aquifer represented in the model and the Lower Namoi Alluvium</w:t>
      </w:r>
      <w:r w:rsidR="00DD5AF3" w:rsidRPr="00B0618E">
        <w:rPr>
          <w:color w:val="auto"/>
        </w:rPr>
        <w:t xml:space="preserve">. </w:t>
      </w:r>
      <w:r w:rsidR="0033735C">
        <w:rPr>
          <w:color w:val="auto"/>
        </w:rPr>
        <w:t>All lateral inflows and outflows were represented using Dirichlet boundary conditions.</w:t>
      </w:r>
    </w:p>
    <w:p w14:paraId="5C00B257" w14:textId="77777777" w:rsidR="00E23D98" w:rsidRPr="00B0618E" w:rsidRDefault="00E23D98" w:rsidP="00E23D98">
      <w:pPr>
        <w:pStyle w:val="Heading2"/>
      </w:pPr>
      <w:bookmarkStart w:id="39" w:name="_Toc483127566"/>
      <w:r w:rsidRPr="00B0618E">
        <w:t>Representation of coal seam gas extraction</w:t>
      </w:r>
      <w:bookmarkEnd w:id="39"/>
    </w:p>
    <w:p w14:paraId="21C69ED4" w14:textId="01A5EF41" w:rsidR="00DD5AF3" w:rsidRPr="00B0618E" w:rsidRDefault="00DD5AF3" w:rsidP="00E23D98">
      <w:pPr>
        <w:pStyle w:val="BodyText"/>
        <w:rPr>
          <w:color w:val="auto"/>
        </w:rPr>
      </w:pPr>
      <w:r w:rsidRPr="00B0618E">
        <w:rPr>
          <w:color w:val="auto"/>
        </w:rPr>
        <w:t>The extraction of fluid (i.e.</w:t>
      </w:r>
      <w:r w:rsidR="001766E2">
        <w:rPr>
          <w:color w:val="auto"/>
        </w:rPr>
        <w:t>,</w:t>
      </w:r>
      <w:r w:rsidRPr="00B0618E">
        <w:rPr>
          <w:color w:val="auto"/>
        </w:rPr>
        <w:t xml:space="preserve"> water and methane gas) </w:t>
      </w:r>
      <w:r w:rsidR="001766E2">
        <w:rPr>
          <w:color w:val="auto"/>
        </w:rPr>
        <w:t xml:space="preserve">for </w:t>
      </w:r>
      <w:r w:rsidR="004359B6">
        <w:rPr>
          <w:color w:val="auto"/>
        </w:rPr>
        <w:t xml:space="preserve">both </w:t>
      </w:r>
      <w:r w:rsidR="001766E2">
        <w:rPr>
          <w:color w:val="auto"/>
        </w:rPr>
        <w:t>the primary coal target</w:t>
      </w:r>
      <w:r w:rsidR="004359B6">
        <w:rPr>
          <w:color w:val="auto"/>
        </w:rPr>
        <w:t xml:space="preserve"> (</w:t>
      </w:r>
      <w:r w:rsidR="001766E2">
        <w:rPr>
          <w:color w:val="auto"/>
        </w:rPr>
        <w:t>Maules Creek Formation</w:t>
      </w:r>
      <w:r w:rsidR="004359B6">
        <w:rPr>
          <w:color w:val="auto"/>
        </w:rPr>
        <w:t>), and the secondary coal target (Hoskissons Coal)</w:t>
      </w:r>
      <w:r w:rsidRPr="00B0618E">
        <w:rPr>
          <w:color w:val="auto"/>
        </w:rPr>
        <w:t xml:space="preserve"> was represented in the model using Neumann boundary conditions</w:t>
      </w:r>
      <w:r w:rsidR="000D3808">
        <w:rPr>
          <w:color w:val="auto"/>
        </w:rPr>
        <w:t xml:space="preserve"> (i.e., WEL Package)</w:t>
      </w:r>
      <w:r w:rsidRPr="00B0618E">
        <w:rPr>
          <w:color w:val="auto"/>
        </w:rPr>
        <w:t>. Time-varying extraction rates were assigned to relevant model cells in accordance with typical production dynamics</w:t>
      </w:r>
      <w:r w:rsidR="007E3E66" w:rsidRPr="00B0618E">
        <w:rPr>
          <w:color w:val="auto"/>
        </w:rPr>
        <w:t xml:space="preserve"> (for details, see </w:t>
      </w:r>
      <w:r w:rsidR="001766E2">
        <w:rPr>
          <w:color w:val="auto"/>
        </w:rPr>
        <w:fldChar w:fldCharType="begin"/>
      </w:r>
      <w:r w:rsidR="001766E2">
        <w:rPr>
          <w:color w:val="auto"/>
        </w:rPr>
        <w:instrText xml:space="preserve"> REF _Ref479452628 \h </w:instrText>
      </w:r>
      <w:r w:rsidR="001766E2">
        <w:rPr>
          <w:color w:val="auto"/>
        </w:rPr>
      </w:r>
      <w:r w:rsidR="001766E2">
        <w:rPr>
          <w:color w:val="auto"/>
        </w:rPr>
        <w:fldChar w:fldCharType="separate"/>
      </w:r>
      <w:r w:rsidR="000B6FA5" w:rsidRPr="006025C8">
        <w:t xml:space="preserve">Figure </w:t>
      </w:r>
      <w:r w:rsidR="000B6FA5">
        <w:rPr>
          <w:noProof/>
        </w:rPr>
        <w:t>2</w:t>
      </w:r>
      <w:r w:rsidR="000B6FA5">
        <w:noBreakHyphen/>
      </w:r>
      <w:r w:rsidR="000B6FA5">
        <w:rPr>
          <w:noProof/>
        </w:rPr>
        <w:t>4</w:t>
      </w:r>
      <w:r w:rsidR="001766E2">
        <w:rPr>
          <w:color w:val="auto"/>
        </w:rPr>
        <w:fldChar w:fldCharType="end"/>
      </w:r>
      <w:r w:rsidR="001766E2">
        <w:rPr>
          <w:color w:val="auto"/>
        </w:rPr>
        <w:t xml:space="preserve"> and </w:t>
      </w:r>
      <w:r w:rsidR="00045A85">
        <w:rPr>
          <w:color w:val="auto"/>
        </w:rPr>
        <w:t>CDM Smith, 2016</w:t>
      </w:r>
      <w:r w:rsidR="007E3E66" w:rsidRPr="00B0618E">
        <w:rPr>
          <w:color w:val="auto"/>
        </w:rPr>
        <w:t>)</w:t>
      </w:r>
      <w:r w:rsidRPr="00B0618E">
        <w:rPr>
          <w:color w:val="auto"/>
        </w:rPr>
        <w:t xml:space="preserve">. </w:t>
      </w:r>
      <w:r w:rsidR="001766E2">
        <w:rPr>
          <w:color w:val="auto"/>
        </w:rPr>
        <w:t xml:space="preserve">The water extraction rates </w:t>
      </w:r>
      <w:r w:rsidR="001766E2">
        <w:t xml:space="preserve">used here represent the CDM Smith ‘base case’, which did not include groundwater extraction for mine dewatering. </w:t>
      </w:r>
      <w:r w:rsidR="000D3808">
        <w:rPr>
          <w:color w:val="auto"/>
        </w:rPr>
        <w:t xml:space="preserve">In practice, CSG </w:t>
      </w:r>
      <w:r w:rsidR="00CC0560">
        <w:rPr>
          <w:color w:val="auto"/>
        </w:rPr>
        <w:t xml:space="preserve">water </w:t>
      </w:r>
      <w:r w:rsidR="000D3808">
        <w:rPr>
          <w:color w:val="auto"/>
        </w:rPr>
        <w:t>e</w:t>
      </w:r>
      <w:r w:rsidRPr="00B0618E">
        <w:rPr>
          <w:color w:val="auto"/>
        </w:rPr>
        <w:t xml:space="preserve">xtraction rates are typically higher upon the commencement of production (in order to </w:t>
      </w:r>
      <w:r w:rsidR="007E3E66" w:rsidRPr="00B0618E">
        <w:rPr>
          <w:color w:val="auto"/>
        </w:rPr>
        <w:t>extract sufficient water to lower the pressure in coal seams</w:t>
      </w:r>
      <w:r w:rsidR="001A5821" w:rsidRPr="00B0618E">
        <w:rPr>
          <w:color w:val="auto"/>
        </w:rPr>
        <w:t>, thereby</w:t>
      </w:r>
      <w:r w:rsidR="007E3E66" w:rsidRPr="00B0618E">
        <w:rPr>
          <w:color w:val="auto"/>
        </w:rPr>
        <w:t xml:space="preserve"> allowing gas desorption</w:t>
      </w:r>
      <w:r w:rsidRPr="00B0618E">
        <w:rPr>
          <w:color w:val="auto"/>
        </w:rPr>
        <w:t xml:space="preserve"> and flow of gas</w:t>
      </w:r>
      <w:r w:rsidR="007E3E66" w:rsidRPr="00B0618E">
        <w:rPr>
          <w:color w:val="auto"/>
        </w:rPr>
        <w:t xml:space="preserve"> to the well</w:t>
      </w:r>
      <w:r w:rsidRPr="00B0618E">
        <w:rPr>
          <w:color w:val="auto"/>
        </w:rPr>
        <w:t xml:space="preserve">) and are reduced </w:t>
      </w:r>
      <w:r w:rsidR="00AD12C2">
        <w:rPr>
          <w:color w:val="auto"/>
        </w:rPr>
        <w:t xml:space="preserve">more or less </w:t>
      </w:r>
      <w:r w:rsidRPr="00B0618E">
        <w:rPr>
          <w:color w:val="auto"/>
        </w:rPr>
        <w:t xml:space="preserve">exponentially </w:t>
      </w:r>
      <w:r w:rsidR="008154D9" w:rsidRPr="00B0618E">
        <w:rPr>
          <w:color w:val="auto"/>
        </w:rPr>
        <w:t>over time</w:t>
      </w:r>
      <w:r w:rsidR="00AB2A16">
        <w:rPr>
          <w:color w:val="auto"/>
        </w:rPr>
        <w:t xml:space="preserve"> (e.g., Moore 2005)</w:t>
      </w:r>
      <w:r w:rsidR="008154D9" w:rsidRPr="00B0618E">
        <w:rPr>
          <w:color w:val="auto"/>
        </w:rPr>
        <w:t>.</w:t>
      </w:r>
      <w:r w:rsidR="00574A11">
        <w:rPr>
          <w:color w:val="auto"/>
        </w:rPr>
        <w:t xml:space="preserve"> It should be noted that past studies have highlighted that the prediction of extraction rates and durations required for CSG extraction is often </w:t>
      </w:r>
      <w:r w:rsidR="000D3808">
        <w:rPr>
          <w:color w:val="auto"/>
        </w:rPr>
        <w:t xml:space="preserve">fraught with </w:t>
      </w:r>
      <w:r w:rsidR="00574A11">
        <w:rPr>
          <w:color w:val="auto"/>
        </w:rPr>
        <w:t>difficult</w:t>
      </w:r>
      <w:r w:rsidR="000D3808">
        <w:rPr>
          <w:color w:val="auto"/>
        </w:rPr>
        <w:t>y</w:t>
      </w:r>
      <w:r w:rsidR="00574A11">
        <w:rPr>
          <w:color w:val="auto"/>
        </w:rPr>
        <w:t xml:space="preserve"> (</w:t>
      </w:r>
      <w:r w:rsidR="00C85606">
        <w:rPr>
          <w:color w:val="auto"/>
        </w:rPr>
        <w:t xml:space="preserve">KCB, 2012; </w:t>
      </w:r>
      <w:r w:rsidR="005D5B36">
        <w:rPr>
          <w:color w:val="auto"/>
        </w:rPr>
        <w:t>Moore et al., 2015</w:t>
      </w:r>
      <w:r w:rsidR="00574A11">
        <w:rPr>
          <w:color w:val="auto"/>
        </w:rPr>
        <w:t>)</w:t>
      </w:r>
      <w:r w:rsidR="00CC0560">
        <w:rPr>
          <w:color w:val="auto"/>
        </w:rPr>
        <w:t>, and that this can represent one of the most significant uncertainties in estimating the cumulative impacts of CSG production on adjacent aquifers</w:t>
      </w:r>
      <w:r w:rsidR="00574A11">
        <w:rPr>
          <w:color w:val="auto"/>
        </w:rPr>
        <w:t>.</w:t>
      </w:r>
      <w:r w:rsidR="00CC0560">
        <w:rPr>
          <w:color w:val="auto"/>
        </w:rPr>
        <w:t xml:space="preserve"> For reasons discussed in Section </w:t>
      </w:r>
      <w:r w:rsidR="00CC0560">
        <w:rPr>
          <w:color w:val="auto"/>
        </w:rPr>
        <w:fldChar w:fldCharType="begin"/>
      </w:r>
      <w:r w:rsidR="00CC0560">
        <w:rPr>
          <w:color w:val="auto"/>
        </w:rPr>
        <w:instrText xml:space="preserve"> REF _Ref482980245 \r \h </w:instrText>
      </w:r>
      <w:r w:rsidR="00CC0560">
        <w:rPr>
          <w:color w:val="auto"/>
        </w:rPr>
      </w:r>
      <w:r w:rsidR="00CC0560">
        <w:rPr>
          <w:color w:val="auto"/>
        </w:rPr>
        <w:fldChar w:fldCharType="separate"/>
      </w:r>
      <w:r w:rsidR="000B6FA5">
        <w:rPr>
          <w:color w:val="auto"/>
        </w:rPr>
        <w:t>1.4.1</w:t>
      </w:r>
      <w:r w:rsidR="00CC0560">
        <w:rPr>
          <w:color w:val="auto"/>
        </w:rPr>
        <w:fldChar w:fldCharType="end"/>
      </w:r>
      <w:r w:rsidR="00CC0560">
        <w:rPr>
          <w:color w:val="auto"/>
        </w:rPr>
        <w:t>, this uncertainty is not the focus of this study.</w:t>
      </w:r>
    </w:p>
    <w:p w14:paraId="5BC80215" w14:textId="77777777" w:rsidR="00167499" w:rsidRPr="00B0618E" w:rsidRDefault="00167499" w:rsidP="00167499">
      <w:pPr>
        <w:pStyle w:val="Heading2"/>
      </w:pPr>
      <w:bookmarkStart w:id="40" w:name="_Toc483127567"/>
      <w:r w:rsidRPr="00B0618E">
        <w:t>Numerical solution scheme</w:t>
      </w:r>
      <w:bookmarkEnd w:id="40"/>
    </w:p>
    <w:p w14:paraId="2304BC05" w14:textId="57B0B13E" w:rsidR="00167499" w:rsidRPr="00B0618E" w:rsidRDefault="00167499" w:rsidP="00167499">
      <w:pPr>
        <w:pStyle w:val="BodyText"/>
        <w:rPr>
          <w:color w:val="auto"/>
        </w:rPr>
      </w:pPr>
      <w:r w:rsidRPr="00B0618E">
        <w:rPr>
          <w:color w:val="auto"/>
        </w:rPr>
        <w:t xml:space="preserve">The proprietary finite-difference code MODFLOW-SURFACT (HydroGeoLogic, </w:t>
      </w:r>
      <w:r w:rsidR="0034372C" w:rsidRPr="00B0618E">
        <w:rPr>
          <w:color w:val="auto"/>
        </w:rPr>
        <w:t>1996</w:t>
      </w:r>
      <w:r w:rsidRPr="00B0618E">
        <w:rPr>
          <w:color w:val="auto"/>
        </w:rPr>
        <w:t>) was used to solve the groundwater flow equation.</w:t>
      </w:r>
      <w:r w:rsidR="001D2969" w:rsidRPr="00B0618E">
        <w:rPr>
          <w:color w:val="auto"/>
        </w:rPr>
        <w:t xml:space="preserve"> </w:t>
      </w:r>
      <w:r w:rsidR="00D80567" w:rsidRPr="00B0618E">
        <w:rPr>
          <w:color w:val="auto"/>
        </w:rPr>
        <w:t xml:space="preserve">While this version of MODFLOW includes a number of additions and alterations (including adaptive time stepping for transient models and improved treatment of dewatered model cells), none of these features were used in the development of the </w:t>
      </w:r>
      <w:r w:rsidR="00045A85">
        <w:rPr>
          <w:color w:val="auto"/>
        </w:rPr>
        <w:t>CDM Smith (2016)</w:t>
      </w:r>
      <w:r w:rsidR="00D80567" w:rsidRPr="00B0618E">
        <w:rPr>
          <w:color w:val="auto"/>
        </w:rPr>
        <w:t xml:space="preserve"> model. Instead, the sole reason for the use of MODFLOW-SURFACT rather than public domain versions was the use of</w:t>
      </w:r>
      <w:r w:rsidR="003D353D" w:rsidRPr="00B0618E">
        <w:rPr>
          <w:color w:val="auto"/>
        </w:rPr>
        <w:t xml:space="preserve"> an alternative preconditioned conjugate gradient numerical solver</w:t>
      </w:r>
      <w:r w:rsidR="00D80567" w:rsidRPr="00B0618E">
        <w:rPr>
          <w:color w:val="auto"/>
        </w:rPr>
        <w:t xml:space="preserve"> </w:t>
      </w:r>
      <w:r w:rsidR="003D353D" w:rsidRPr="00B0618E">
        <w:rPr>
          <w:color w:val="auto"/>
        </w:rPr>
        <w:t>(</w:t>
      </w:r>
      <w:r w:rsidR="00D80567" w:rsidRPr="00B0618E">
        <w:rPr>
          <w:color w:val="auto"/>
        </w:rPr>
        <w:t>PCG4</w:t>
      </w:r>
      <w:r w:rsidR="003D353D" w:rsidRPr="00B0618E">
        <w:rPr>
          <w:color w:val="auto"/>
        </w:rPr>
        <w:t>)</w:t>
      </w:r>
      <w:r w:rsidR="00D80567" w:rsidRPr="00B0618E">
        <w:rPr>
          <w:color w:val="auto"/>
        </w:rPr>
        <w:t xml:space="preserve">. Preliminary testing of the model found that numerical convergence could not be achieved when using either the PCG2 (Hill, </w:t>
      </w:r>
      <w:r w:rsidR="003D353D" w:rsidRPr="00B0618E">
        <w:rPr>
          <w:color w:val="auto"/>
        </w:rPr>
        <w:t>2003</w:t>
      </w:r>
      <w:r w:rsidR="00D80567" w:rsidRPr="00B0618E">
        <w:rPr>
          <w:color w:val="auto"/>
        </w:rPr>
        <w:t>) or NWT (</w:t>
      </w:r>
      <w:r w:rsidR="003D353D" w:rsidRPr="00B0618E">
        <w:rPr>
          <w:color w:val="auto"/>
        </w:rPr>
        <w:t>Niswonger et al., 2011</w:t>
      </w:r>
      <w:r w:rsidR="00D80567" w:rsidRPr="00B0618E">
        <w:rPr>
          <w:color w:val="auto"/>
        </w:rPr>
        <w:t xml:space="preserve">) </w:t>
      </w:r>
      <w:r w:rsidR="003D353D" w:rsidRPr="00B0618E">
        <w:rPr>
          <w:color w:val="auto"/>
        </w:rPr>
        <w:t xml:space="preserve">standard </w:t>
      </w:r>
      <w:r w:rsidR="00D80567" w:rsidRPr="00B0618E">
        <w:rPr>
          <w:color w:val="auto"/>
        </w:rPr>
        <w:t>solvers.</w:t>
      </w:r>
    </w:p>
    <w:p w14:paraId="07ADBDDF" w14:textId="77777777" w:rsidR="00E23D98" w:rsidRPr="00B0618E" w:rsidRDefault="00E23D98" w:rsidP="00E23D98">
      <w:pPr>
        <w:pStyle w:val="Heading2"/>
      </w:pPr>
      <w:bookmarkStart w:id="41" w:name="_Toc483127568"/>
      <w:r w:rsidRPr="00B0618E">
        <w:t>Model modifications</w:t>
      </w:r>
      <w:bookmarkEnd w:id="41"/>
    </w:p>
    <w:p w14:paraId="7D04D383" w14:textId="308C79E8" w:rsidR="001E1B94" w:rsidRPr="00B0618E" w:rsidRDefault="008154D9" w:rsidP="00D80567">
      <w:pPr>
        <w:pStyle w:val="BodyText"/>
        <w:rPr>
          <w:color w:val="auto"/>
        </w:rPr>
      </w:pPr>
      <w:r w:rsidRPr="00B0618E">
        <w:rPr>
          <w:color w:val="auto"/>
        </w:rPr>
        <w:t xml:space="preserve">Prior to </w:t>
      </w:r>
      <w:r w:rsidR="00B32448" w:rsidRPr="00B0618E">
        <w:rPr>
          <w:color w:val="auto"/>
        </w:rPr>
        <w:t>undertaking</w:t>
      </w:r>
      <w:r w:rsidRPr="00B0618E">
        <w:rPr>
          <w:color w:val="auto"/>
        </w:rPr>
        <w:t xml:space="preserve"> sensitivity analyses, a number of </w:t>
      </w:r>
      <w:r w:rsidR="002118C5" w:rsidRPr="00B0618E">
        <w:rPr>
          <w:color w:val="auto"/>
        </w:rPr>
        <w:t>modifications</w:t>
      </w:r>
      <w:r w:rsidRPr="00B0618E">
        <w:rPr>
          <w:color w:val="auto"/>
        </w:rPr>
        <w:t xml:space="preserve"> were </w:t>
      </w:r>
      <w:r w:rsidR="002118C5" w:rsidRPr="00B0618E">
        <w:rPr>
          <w:color w:val="auto"/>
        </w:rPr>
        <w:t xml:space="preserve">made </w:t>
      </w:r>
      <w:r w:rsidRPr="00B0618E">
        <w:rPr>
          <w:color w:val="auto"/>
        </w:rPr>
        <w:t xml:space="preserve">to the </w:t>
      </w:r>
      <w:r w:rsidR="00045A85">
        <w:rPr>
          <w:color w:val="auto"/>
        </w:rPr>
        <w:t>CDM Smith (2016)</w:t>
      </w:r>
      <w:r w:rsidRPr="00B0618E">
        <w:rPr>
          <w:color w:val="auto"/>
        </w:rPr>
        <w:t xml:space="preserve"> groundwater flow model. </w:t>
      </w:r>
      <w:r w:rsidR="00E55A71">
        <w:rPr>
          <w:color w:val="auto"/>
        </w:rPr>
        <w:t>First of all, n</w:t>
      </w:r>
      <w:r w:rsidR="001E1B94" w:rsidRPr="00B0618E">
        <w:rPr>
          <w:color w:val="auto"/>
        </w:rPr>
        <w:t xml:space="preserve">umerical model convergence criteria were adjusted. These modifications are described as follows. </w:t>
      </w:r>
      <w:r w:rsidR="00D53356" w:rsidRPr="00B0618E">
        <w:rPr>
          <w:color w:val="auto"/>
        </w:rPr>
        <w:t xml:space="preserve">The hydraulic head closure criterion for the preconjugate gradient solver was increased </w:t>
      </w:r>
      <w:r w:rsidR="001E1B94" w:rsidRPr="00B0618E">
        <w:rPr>
          <w:color w:val="auto"/>
        </w:rPr>
        <w:t xml:space="preserve">in size </w:t>
      </w:r>
      <w:r w:rsidR="00D53356" w:rsidRPr="00B0618E">
        <w:rPr>
          <w:color w:val="auto"/>
        </w:rPr>
        <w:t xml:space="preserve">from 0.001 m to 0.1 m, in order to </w:t>
      </w:r>
      <w:r w:rsidR="00574A11">
        <w:rPr>
          <w:color w:val="auto"/>
        </w:rPr>
        <w:t>minimise model run times</w:t>
      </w:r>
      <w:r w:rsidR="00D53356" w:rsidRPr="00B0618E">
        <w:rPr>
          <w:color w:val="auto"/>
        </w:rPr>
        <w:t>. The number of outer solver iterations was also reduced from 2</w:t>
      </w:r>
      <w:r w:rsidR="00D0087E">
        <w:rPr>
          <w:color w:val="auto"/>
        </w:rPr>
        <w:t xml:space="preserve"> </w:t>
      </w:r>
      <w:r w:rsidR="00D53356" w:rsidRPr="00B0618E">
        <w:rPr>
          <w:color w:val="auto"/>
        </w:rPr>
        <w:t xml:space="preserve">000 to 100, </w:t>
      </w:r>
      <w:r w:rsidR="00D0087E">
        <w:rPr>
          <w:color w:val="auto"/>
        </w:rPr>
        <w:t>also</w:t>
      </w:r>
      <w:r w:rsidR="00D53356" w:rsidRPr="00B0618E">
        <w:rPr>
          <w:color w:val="auto"/>
        </w:rPr>
        <w:t xml:space="preserve"> to reduce </w:t>
      </w:r>
      <w:r w:rsidR="004E5552" w:rsidRPr="00B0618E">
        <w:rPr>
          <w:color w:val="auto"/>
        </w:rPr>
        <w:t>model run times.</w:t>
      </w:r>
      <w:r w:rsidR="00837CCB" w:rsidRPr="00B0618E">
        <w:rPr>
          <w:color w:val="auto"/>
        </w:rPr>
        <w:t xml:space="preserve"> </w:t>
      </w:r>
      <w:r w:rsidR="00C367C5" w:rsidRPr="00B0618E">
        <w:rPr>
          <w:color w:val="auto"/>
        </w:rPr>
        <w:t>Model m</w:t>
      </w:r>
      <w:r w:rsidR="00837CCB" w:rsidRPr="00B0618E">
        <w:rPr>
          <w:color w:val="auto"/>
        </w:rPr>
        <w:t>ass balance errors were checked to ensure that relax</w:t>
      </w:r>
      <w:r w:rsidR="00C367C5" w:rsidRPr="00B0618E">
        <w:rPr>
          <w:color w:val="auto"/>
        </w:rPr>
        <w:t>ation of</w:t>
      </w:r>
      <w:r w:rsidR="00837CCB" w:rsidRPr="00B0618E">
        <w:rPr>
          <w:color w:val="auto"/>
        </w:rPr>
        <w:t xml:space="preserve"> the convergence criterion did not affect </w:t>
      </w:r>
      <w:r w:rsidR="00C367C5" w:rsidRPr="00B0618E">
        <w:rPr>
          <w:color w:val="auto"/>
        </w:rPr>
        <w:t>the accuracy of the numerical solution</w:t>
      </w:r>
      <w:r w:rsidR="00837CCB" w:rsidRPr="00B0618E">
        <w:rPr>
          <w:color w:val="auto"/>
        </w:rPr>
        <w:t xml:space="preserve"> (in terms of the </w:t>
      </w:r>
      <w:r w:rsidR="00C367C5" w:rsidRPr="00B0618E">
        <w:rPr>
          <w:color w:val="auto"/>
        </w:rPr>
        <w:t xml:space="preserve">total </w:t>
      </w:r>
      <w:r w:rsidR="00837CCB" w:rsidRPr="00B0618E">
        <w:rPr>
          <w:color w:val="auto"/>
        </w:rPr>
        <w:t>groundwater balance).</w:t>
      </w:r>
      <w:r w:rsidR="00E72C05" w:rsidRPr="00B0618E">
        <w:rPr>
          <w:color w:val="auto"/>
        </w:rPr>
        <w:t xml:space="preserve"> </w:t>
      </w:r>
      <w:r w:rsidR="0043032E">
        <w:rPr>
          <w:color w:val="auto"/>
        </w:rPr>
        <w:t>Mass balance errors for steady state and transient solutions were &lt; 5 % and &lt; 0.1 %, respectively.</w:t>
      </w:r>
    </w:p>
    <w:p w14:paraId="45AD8F0E" w14:textId="66AC90D5" w:rsidR="001E1B94" w:rsidRPr="00B0618E" w:rsidRDefault="001E1B94" w:rsidP="00D80567">
      <w:pPr>
        <w:pStyle w:val="BodyText"/>
        <w:rPr>
          <w:color w:val="auto"/>
        </w:rPr>
      </w:pPr>
      <w:r w:rsidRPr="00B0618E">
        <w:rPr>
          <w:color w:val="auto"/>
        </w:rPr>
        <w:t>The input files for the constant head, recharge and evapotranspiration packages were rewritten to reduce their size and thereby reduce model run times. The writing of hydraulic head outputs was deactivated</w:t>
      </w:r>
      <w:r w:rsidR="00124B5D" w:rsidRPr="00B0618E">
        <w:rPr>
          <w:color w:val="auto"/>
        </w:rPr>
        <w:t>, also</w:t>
      </w:r>
      <w:r w:rsidRPr="00B0618E">
        <w:rPr>
          <w:color w:val="auto"/>
        </w:rPr>
        <w:t xml:space="preserve"> in order to reduce model run times.</w:t>
      </w:r>
    </w:p>
    <w:p w14:paraId="2F59D460" w14:textId="20587E52" w:rsidR="00CE24B7" w:rsidRPr="00B0618E" w:rsidRDefault="00E55A71" w:rsidP="00D80567">
      <w:pPr>
        <w:pStyle w:val="BodyText"/>
      </w:pPr>
      <w:r>
        <w:rPr>
          <w:color w:val="auto"/>
        </w:rPr>
        <w:t>Finally</w:t>
      </w:r>
      <w:r w:rsidR="00124B5D" w:rsidRPr="00B0618E">
        <w:rPr>
          <w:color w:val="auto"/>
        </w:rPr>
        <w:t>, t</w:t>
      </w:r>
      <w:r w:rsidR="001E1B94" w:rsidRPr="00B0618E">
        <w:rPr>
          <w:color w:val="auto"/>
        </w:rPr>
        <w:t xml:space="preserve">he temporal extent of the model was modified by including a single final stress period of 160 years in length, which was subdivided into 160 time steps. This period represented the response of the groundwater flow system upon the cessation of groundwater extraction for CSG production. </w:t>
      </w:r>
      <w:r w:rsidR="00604F5D">
        <w:rPr>
          <w:color w:val="auto"/>
        </w:rPr>
        <w:t xml:space="preserve">The length of the stress period was consistent with similar simulations undertaken by the Bioregional Assessments Programme. </w:t>
      </w:r>
      <w:r w:rsidR="00A729C3">
        <w:rPr>
          <w:color w:val="auto"/>
        </w:rPr>
        <w:t xml:space="preserve">Groundwater impact calculations for the Pilliga Sandstone aquifer for periods in excess of 100 – 150 years are considered uncertain due to likely changes in climatic boundary conditions that have not been accounted for here.  </w:t>
      </w:r>
      <w:r w:rsidR="00CE24B7" w:rsidRPr="00B0618E">
        <w:br w:type="page"/>
      </w:r>
    </w:p>
    <w:p w14:paraId="243541D7" w14:textId="77777777" w:rsidR="004E5193" w:rsidRPr="00B0618E" w:rsidRDefault="008C23C1" w:rsidP="004E5193">
      <w:pPr>
        <w:pStyle w:val="Heading1"/>
      </w:pPr>
      <w:bookmarkStart w:id="42" w:name="_Toc483127569"/>
      <w:r w:rsidRPr="00B0618E">
        <w:t>Initial</w:t>
      </w:r>
      <w:r w:rsidR="004E5193" w:rsidRPr="00B0618E">
        <w:t xml:space="preserve"> </w:t>
      </w:r>
      <w:r w:rsidR="00BF4D39" w:rsidRPr="00B0618E">
        <w:t xml:space="preserve">prediction </w:t>
      </w:r>
      <w:r w:rsidR="004E5193" w:rsidRPr="00B0618E">
        <w:t>sensitivity and uncertainty analyses</w:t>
      </w:r>
      <w:bookmarkEnd w:id="42"/>
    </w:p>
    <w:p w14:paraId="2A2B9C37" w14:textId="77777777" w:rsidR="00882D65" w:rsidRPr="00B0618E" w:rsidRDefault="00882D65" w:rsidP="00882D65">
      <w:pPr>
        <w:pStyle w:val="Heading2"/>
      </w:pPr>
      <w:bookmarkStart w:id="43" w:name="_Toc483127570"/>
      <w:r w:rsidRPr="00B0618E">
        <w:t>Model predictions</w:t>
      </w:r>
      <w:bookmarkEnd w:id="43"/>
    </w:p>
    <w:p w14:paraId="6614ABEA" w14:textId="182D7FB7" w:rsidR="00882D65" w:rsidRPr="00B0618E" w:rsidRDefault="00882D65" w:rsidP="00882D65">
      <w:pPr>
        <w:pStyle w:val="BodyText"/>
      </w:pPr>
      <w:r w:rsidRPr="00B0618E">
        <w:t xml:space="preserve">The model </w:t>
      </w:r>
      <w:r w:rsidR="007F4BEF" w:rsidRPr="00B0618E">
        <w:t xml:space="preserve">simulated groundwater flow in </w:t>
      </w:r>
      <w:r w:rsidRPr="00B0618E">
        <w:t>ten hydrostratigraphic units of the Gunnedah</w:t>
      </w:r>
      <w:r w:rsidR="00D0087E">
        <w:t>-Surat</w:t>
      </w:r>
      <w:r w:rsidRPr="00B0618E">
        <w:t xml:space="preserve"> </w:t>
      </w:r>
      <w:r w:rsidR="00D0087E">
        <w:t>b</w:t>
      </w:r>
      <w:r w:rsidRPr="00B0618E">
        <w:t>asin</w:t>
      </w:r>
      <w:r w:rsidR="00D0087E">
        <w:t>s</w:t>
      </w:r>
      <w:r w:rsidRPr="00B0618E">
        <w:t xml:space="preserve">. The sensitivities of four modelled predictions to </w:t>
      </w:r>
      <w:r w:rsidR="001D72A0" w:rsidRPr="00B0618E">
        <w:t>three flow</w:t>
      </w:r>
      <w:r w:rsidRPr="00B0618E">
        <w:t xml:space="preserve"> parameters</w:t>
      </w:r>
      <w:r w:rsidR="001D72A0" w:rsidRPr="00B0618E">
        <w:t xml:space="preserve"> per unit (</w:t>
      </w:r>
      <w:r w:rsidR="00C367C5" w:rsidRPr="00B0618E">
        <w:t xml:space="preserve">i.e., </w:t>
      </w:r>
      <w:r w:rsidR="001D72A0" w:rsidRPr="00B0618E">
        <w:t xml:space="preserve">30 </w:t>
      </w:r>
      <w:r w:rsidR="00C367C5" w:rsidRPr="00B0618E">
        <w:t xml:space="preserve">parameters </w:t>
      </w:r>
      <w:r w:rsidR="001D72A0" w:rsidRPr="00B0618E">
        <w:t>in total)</w:t>
      </w:r>
      <w:r w:rsidRPr="00B0618E">
        <w:t xml:space="preserve"> were examined. All predictions related to</w:t>
      </w:r>
      <w:r w:rsidR="007F4BEF" w:rsidRPr="00B0618E">
        <w:t xml:space="preserve"> potential hydraulic impacts</w:t>
      </w:r>
      <w:r w:rsidRPr="00B0618E">
        <w:t xml:space="preserve"> </w:t>
      </w:r>
      <w:r w:rsidR="007F4BEF" w:rsidRPr="00B0618E">
        <w:t xml:space="preserve">to </w:t>
      </w:r>
      <w:r w:rsidRPr="00B0618E">
        <w:t>the Pilliga Sandstone aquifer and were compared to steady</w:t>
      </w:r>
      <w:r w:rsidR="00F81026" w:rsidRPr="00B0618E">
        <w:t>-</w:t>
      </w:r>
      <w:r w:rsidRPr="00B0618E">
        <w:t>state model outputs, which represent</w:t>
      </w:r>
      <w:r w:rsidR="007F4BEF" w:rsidRPr="00B0618E">
        <w:t>ed</w:t>
      </w:r>
      <w:r w:rsidRPr="00B0618E">
        <w:t xml:space="preserve"> pre-development conditions. Specifically, the four predictions were: </w:t>
      </w:r>
    </w:p>
    <w:p w14:paraId="42142A37" w14:textId="0F9A13C4" w:rsidR="00882D65" w:rsidRPr="00B0618E" w:rsidRDefault="00C367C5" w:rsidP="00F47AA9">
      <w:pPr>
        <w:pStyle w:val="BodyText"/>
        <w:numPr>
          <w:ilvl w:val="0"/>
          <w:numId w:val="18"/>
        </w:numPr>
      </w:pPr>
      <w:r w:rsidRPr="00B0618E">
        <w:t xml:space="preserve">the </w:t>
      </w:r>
      <w:r w:rsidR="00882D65" w:rsidRPr="00B0618E">
        <w:t>maximum hydraulic head change (i.e. drawdown)</w:t>
      </w:r>
      <w:r w:rsidR="004804CF" w:rsidRPr="00B0618E">
        <w:t xml:space="preserve"> across all model cells</w:t>
      </w:r>
      <w:r w:rsidR="00882D65" w:rsidRPr="00B0618E">
        <w:t xml:space="preserve">; </w:t>
      </w:r>
    </w:p>
    <w:p w14:paraId="1AA463A3" w14:textId="511B2A07" w:rsidR="00882D65" w:rsidRPr="00B0618E" w:rsidRDefault="00C367C5" w:rsidP="00F47AA9">
      <w:pPr>
        <w:pStyle w:val="BodyText"/>
        <w:numPr>
          <w:ilvl w:val="0"/>
          <w:numId w:val="18"/>
        </w:numPr>
      </w:pPr>
      <w:r w:rsidRPr="00B0618E">
        <w:t xml:space="preserve">the </w:t>
      </w:r>
      <w:r w:rsidR="00882D65" w:rsidRPr="00B0618E">
        <w:t xml:space="preserve">time elapsed </w:t>
      </w:r>
      <w:r w:rsidRPr="00B0618E">
        <w:t xml:space="preserve">when </w:t>
      </w:r>
      <w:r w:rsidR="00882D65" w:rsidRPr="00B0618E">
        <w:t>maximum drawdown</w:t>
      </w:r>
      <w:r w:rsidRPr="00B0618E">
        <w:t xml:space="preserve"> conditions occurred</w:t>
      </w:r>
      <w:r w:rsidR="00882D65" w:rsidRPr="00B0618E">
        <w:t xml:space="preserve">; </w:t>
      </w:r>
    </w:p>
    <w:p w14:paraId="2F8F2E05" w14:textId="1A282084" w:rsidR="00882D65" w:rsidRPr="00B0618E" w:rsidRDefault="00C367C5" w:rsidP="00F47AA9">
      <w:pPr>
        <w:pStyle w:val="BodyText"/>
        <w:numPr>
          <w:ilvl w:val="0"/>
          <w:numId w:val="18"/>
        </w:numPr>
      </w:pPr>
      <w:r w:rsidRPr="00B0618E">
        <w:t xml:space="preserve">the </w:t>
      </w:r>
      <w:r w:rsidR="00FD4318" w:rsidRPr="00B0618E">
        <w:t xml:space="preserve">spatial extent of drawdown </w:t>
      </w:r>
      <w:r w:rsidR="00D4206D" w:rsidRPr="00B0618E">
        <w:t xml:space="preserve">greater than or equal to </w:t>
      </w:r>
      <w:r w:rsidR="00FD4318" w:rsidRPr="00B0618E">
        <w:t xml:space="preserve">two metres (at </w:t>
      </w:r>
      <w:r w:rsidRPr="00B0618E">
        <w:t>any given time</w:t>
      </w:r>
      <w:r w:rsidR="00FD4318" w:rsidRPr="00B0618E">
        <w:t>)</w:t>
      </w:r>
      <w:r w:rsidR="00882D65" w:rsidRPr="00B0618E">
        <w:t>; and</w:t>
      </w:r>
      <w:r w:rsidRPr="00B0618E">
        <w:t>,</w:t>
      </w:r>
      <w:r w:rsidR="00882D65" w:rsidRPr="00B0618E">
        <w:t xml:space="preserve"> </w:t>
      </w:r>
    </w:p>
    <w:p w14:paraId="22E54C70" w14:textId="6E463E8D" w:rsidR="00882D65" w:rsidRPr="00B0618E" w:rsidRDefault="00C367C5" w:rsidP="00F47AA9">
      <w:pPr>
        <w:pStyle w:val="BodyText"/>
        <w:numPr>
          <w:ilvl w:val="0"/>
          <w:numId w:val="18"/>
        </w:numPr>
      </w:pPr>
      <w:r w:rsidRPr="00B0618E">
        <w:t xml:space="preserve">the </w:t>
      </w:r>
      <w:r w:rsidR="00FD4318" w:rsidRPr="00B0618E">
        <w:t xml:space="preserve">maximum </w:t>
      </w:r>
      <w:r w:rsidR="00F81026" w:rsidRPr="00B0618E">
        <w:t xml:space="preserve">vertical </w:t>
      </w:r>
      <w:r w:rsidR="00FD4318" w:rsidRPr="00B0618E">
        <w:t>flux</w:t>
      </w:r>
      <w:r w:rsidR="00F81026" w:rsidRPr="00B0618E">
        <w:t xml:space="preserve"> across the base of the Pilliga Sandstone aquifer</w:t>
      </w:r>
      <w:r w:rsidR="004804CF" w:rsidRPr="00B0618E">
        <w:t xml:space="preserve"> </w:t>
      </w:r>
      <w:r w:rsidRPr="00B0618E">
        <w:t>(at any active model cell)</w:t>
      </w:r>
      <w:r w:rsidR="00882D65" w:rsidRPr="00B0618E">
        <w:t>.</w:t>
      </w:r>
    </w:p>
    <w:p w14:paraId="51B21743" w14:textId="77777777" w:rsidR="00FD4318" w:rsidRPr="00B0618E" w:rsidRDefault="00FD4318" w:rsidP="00FD4318">
      <w:pPr>
        <w:pStyle w:val="BodyText"/>
      </w:pPr>
      <w:r w:rsidRPr="00B0618E">
        <w:t>As the model used to generate predictions was of numerical type, the spatial extent of the model was discretised using a number of cells. For this reason, prediction (3) was calculated discretely rather than by integrating a single continuous area. This prediction was calculated as the total number of cells with drawdown in excess of two metres</w:t>
      </w:r>
      <w:r w:rsidR="00EF0985" w:rsidRPr="00B0618E">
        <w:t>, hereafter referred to as the number of drawdown cells (‘NDD’)</w:t>
      </w:r>
      <w:r w:rsidRPr="00B0618E">
        <w:t>. It should be noted that the model featured cells of various sizes (i.e., 1 km</w:t>
      </w:r>
      <w:r w:rsidRPr="00B0618E">
        <w:rPr>
          <w:vertAlign w:val="superscript"/>
        </w:rPr>
        <w:t>2</w:t>
      </w:r>
      <w:r w:rsidR="001E7CE9" w:rsidRPr="00B0618E">
        <w:rPr>
          <w:vertAlign w:val="subscript"/>
        </w:rPr>
        <w:t>,</w:t>
      </w:r>
      <w:r w:rsidRPr="00B0618E">
        <w:t xml:space="preserve"> 5 km</w:t>
      </w:r>
      <w:r w:rsidRPr="00B0618E">
        <w:rPr>
          <w:vertAlign w:val="superscript"/>
        </w:rPr>
        <w:t>2</w:t>
      </w:r>
      <w:r w:rsidR="001E7CE9" w:rsidRPr="00B0618E">
        <w:rPr>
          <w:vertAlign w:val="subscript"/>
        </w:rPr>
        <w:t xml:space="preserve"> </w:t>
      </w:r>
      <w:r w:rsidR="001E7CE9" w:rsidRPr="00B0618E">
        <w:t>and</w:t>
      </w:r>
      <w:r w:rsidR="001E7CE9" w:rsidRPr="00B0618E">
        <w:rPr>
          <w:vertAlign w:val="subscript"/>
        </w:rPr>
        <w:t xml:space="preserve"> </w:t>
      </w:r>
      <w:r w:rsidR="001E7CE9" w:rsidRPr="00B0618E">
        <w:t>25 km</w:t>
      </w:r>
      <w:r w:rsidR="001E7CE9" w:rsidRPr="00B0618E">
        <w:rPr>
          <w:vertAlign w:val="superscript"/>
        </w:rPr>
        <w:t>2</w:t>
      </w:r>
      <w:r w:rsidRPr="00B0618E">
        <w:t>); therefore areas affected could not be calculated directly from the number of cells affected.</w:t>
      </w:r>
    </w:p>
    <w:p w14:paraId="3833567B" w14:textId="77777777" w:rsidR="00882D65" w:rsidRPr="00B0618E" w:rsidRDefault="00882D65" w:rsidP="00882D65">
      <w:pPr>
        <w:pStyle w:val="Heading2"/>
      </w:pPr>
      <w:bookmarkStart w:id="44" w:name="_Ref482028046"/>
      <w:bookmarkStart w:id="45" w:name="_Toc483127571"/>
      <w:r w:rsidRPr="00B0618E">
        <w:t>Model parameters</w:t>
      </w:r>
      <w:bookmarkEnd w:id="44"/>
      <w:bookmarkEnd w:id="45"/>
    </w:p>
    <w:p w14:paraId="2489912A" w14:textId="14F78516" w:rsidR="00882D65" w:rsidRPr="00B0618E" w:rsidRDefault="00882D65" w:rsidP="00882D65">
      <w:pPr>
        <w:pStyle w:val="BodyText"/>
      </w:pPr>
      <w:r w:rsidRPr="00B0618E">
        <w:t>The model parameters to which prediction sensitivity was tested were the horizontal (</w:t>
      </w:r>
      <w:r w:rsidR="00890954" w:rsidRPr="00B0618E">
        <w:rPr>
          <w:i/>
        </w:rPr>
        <w:t>K</w:t>
      </w:r>
      <w:r w:rsidR="00890954" w:rsidRPr="00B0618E">
        <w:rPr>
          <w:i/>
          <w:vertAlign w:val="subscript"/>
        </w:rPr>
        <w:t>H</w:t>
      </w:r>
      <w:r w:rsidRPr="00B0618E">
        <w:t>) and vertical (</w:t>
      </w:r>
      <w:r w:rsidRPr="00B0618E">
        <w:rPr>
          <w:i/>
        </w:rPr>
        <w:t>K</w:t>
      </w:r>
      <w:r w:rsidR="00890954" w:rsidRPr="00B0618E">
        <w:rPr>
          <w:i/>
          <w:vertAlign w:val="subscript"/>
        </w:rPr>
        <w:t>V</w:t>
      </w:r>
      <w:r w:rsidRPr="00B0618E">
        <w:t>) hydraulic conductivity and specific storage (</w:t>
      </w:r>
      <w:r w:rsidRPr="00B0618E">
        <w:rPr>
          <w:i/>
        </w:rPr>
        <w:t>S</w:t>
      </w:r>
      <w:r w:rsidR="00890954" w:rsidRPr="00B0618E">
        <w:rPr>
          <w:i/>
          <w:vertAlign w:val="subscript"/>
        </w:rPr>
        <w:t>S</w:t>
      </w:r>
      <w:r w:rsidRPr="00B0618E">
        <w:t xml:space="preserve">) of each of the ten hydrostratigraphic units, </w:t>
      </w:r>
      <w:r w:rsidR="00D0087E">
        <w:t>resulting in</w:t>
      </w:r>
      <w:r w:rsidRPr="00B0618E">
        <w:t xml:space="preserve"> a total of 30 parameters. As the </w:t>
      </w:r>
      <w:r w:rsidR="00045A85">
        <w:t>CDM Smith (2016)</w:t>
      </w:r>
      <w:r w:rsidR="00E253E9" w:rsidRPr="00B0618E">
        <w:t xml:space="preserve"> </w:t>
      </w:r>
      <w:r w:rsidRPr="00B0618E">
        <w:t>model was of deterministic type, it used single values for each parameter, which were specified based upon reviews of existing literature and models</w:t>
      </w:r>
      <w:r w:rsidR="000438BB">
        <w:t xml:space="preserve"> (and referred-to as “order-of-magnitude estimates”, CDM Smith, 2016)</w:t>
      </w:r>
      <w:r w:rsidRPr="00B0618E">
        <w:t xml:space="preserve">. In comparison, the sensitivity analysis performed for the </w:t>
      </w:r>
      <w:r w:rsidR="002118C5" w:rsidRPr="00B0618E">
        <w:t xml:space="preserve">present study </w:t>
      </w:r>
      <w:r w:rsidRPr="00B0618E">
        <w:t xml:space="preserve">required the definition of prior distributions for each of the model parameters tested. These were specified using </w:t>
      </w:r>
      <w:r w:rsidR="00776AA8">
        <w:t>log-</w:t>
      </w:r>
      <w:r w:rsidRPr="00B0618E">
        <w:t xml:space="preserve">uniform distributions with arbitrary ranges defined by the </w:t>
      </w:r>
      <w:r w:rsidR="00045A85">
        <w:t>CDM Smith (2016)</w:t>
      </w:r>
      <w:r w:rsidR="00E253E9" w:rsidRPr="00B0618E">
        <w:t xml:space="preserve"> </w:t>
      </w:r>
      <w:r w:rsidR="002118C5" w:rsidRPr="00B0618E">
        <w:t xml:space="preserve">parameter </w:t>
      </w:r>
      <w:r w:rsidRPr="00B0618E">
        <w:t xml:space="preserve">value </w:t>
      </w:r>
      <w:r w:rsidR="002118C5" w:rsidRPr="00B0618E">
        <w:t xml:space="preserve">(for each of </w:t>
      </w:r>
      <w:r w:rsidR="002118C5" w:rsidRPr="00B0618E">
        <w:rPr>
          <w:i/>
        </w:rPr>
        <w:t>K</w:t>
      </w:r>
      <w:r w:rsidR="00890954" w:rsidRPr="00B0618E">
        <w:rPr>
          <w:i/>
          <w:vertAlign w:val="subscript"/>
        </w:rPr>
        <w:t>H</w:t>
      </w:r>
      <w:r w:rsidR="002118C5" w:rsidRPr="00B0618E">
        <w:t xml:space="preserve">, </w:t>
      </w:r>
      <w:r w:rsidR="002118C5" w:rsidRPr="00B0618E">
        <w:rPr>
          <w:i/>
        </w:rPr>
        <w:t>K</w:t>
      </w:r>
      <w:r w:rsidR="00890954" w:rsidRPr="00B0618E">
        <w:rPr>
          <w:i/>
          <w:vertAlign w:val="subscript"/>
        </w:rPr>
        <w:t>V</w:t>
      </w:r>
      <w:r w:rsidR="002118C5" w:rsidRPr="00B0618E">
        <w:rPr>
          <w:i/>
        </w:rPr>
        <w:t xml:space="preserve"> </w:t>
      </w:r>
      <w:r w:rsidR="002118C5" w:rsidRPr="00B0618E">
        <w:t xml:space="preserve">and </w:t>
      </w:r>
      <w:r w:rsidR="002118C5" w:rsidRPr="00B0618E">
        <w:rPr>
          <w:i/>
        </w:rPr>
        <w:t>S</w:t>
      </w:r>
      <w:r w:rsidR="00890954" w:rsidRPr="00B0618E">
        <w:rPr>
          <w:i/>
          <w:vertAlign w:val="subscript"/>
        </w:rPr>
        <w:t>S</w:t>
      </w:r>
      <w:r w:rsidR="002118C5" w:rsidRPr="00B0618E">
        <w:t xml:space="preserve">) </w:t>
      </w:r>
      <w:r w:rsidRPr="00B0618E">
        <w:t xml:space="preserve">± </w:t>
      </w:r>
      <w:r w:rsidR="005C334D">
        <w:t>one</w:t>
      </w:r>
      <w:r w:rsidR="005C334D" w:rsidRPr="00B0618E">
        <w:t xml:space="preserve"> </w:t>
      </w:r>
      <w:r w:rsidRPr="00B0618E">
        <w:t>order of magnitude.</w:t>
      </w:r>
    </w:p>
    <w:p w14:paraId="4C92C1FD" w14:textId="77777777" w:rsidR="004E5193" w:rsidRPr="00B0618E" w:rsidRDefault="004E5193" w:rsidP="005071A4">
      <w:pPr>
        <w:pStyle w:val="Heading2"/>
      </w:pPr>
      <w:bookmarkStart w:id="46" w:name="_Ref465074536"/>
      <w:bookmarkStart w:id="47" w:name="_Toc483127572"/>
      <w:r w:rsidRPr="00B0618E">
        <w:t>Model stress testing</w:t>
      </w:r>
      <w:bookmarkEnd w:id="46"/>
      <w:bookmarkEnd w:id="47"/>
    </w:p>
    <w:p w14:paraId="3528D68F" w14:textId="58835444" w:rsidR="00DF7303" w:rsidRPr="00B0618E" w:rsidRDefault="00DF7303" w:rsidP="00921DC2">
      <w:pPr>
        <w:pStyle w:val="BodyText"/>
      </w:pPr>
      <w:r w:rsidRPr="00B0618E">
        <w:t xml:space="preserve">Prior to undertaking global sensitivity analyses, the </w:t>
      </w:r>
      <w:r w:rsidR="00045A85">
        <w:t>CDM Smith (2016)</w:t>
      </w:r>
      <w:r w:rsidR="00E253E9" w:rsidRPr="00B0618E">
        <w:t xml:space="preserve"> </w:t>
      </w:r>
      <w:r w:rsidRPr="00B0618E">
        <w:t xml:space="preserve">model was subjected to a number of “stress tests” in order to test the robustness of numerical model convergence. Based upon the prior distributions specified for model parameters, </w:t>
      </w:r>
      <w:r w:rsidR="003E1BFA" w:rsidRPr="00B0618E">
        <w:t>11</w:t>
      </w:r>
      <w:r w:rsidRPr="00B0618E">
        <w:t xml:space="preserve"> parameter combinations were devised (</w:t>
      </w:r>
      <w:r w:rsidR="00921DC2" w:rsidRPr="00B0618E">
        <w:fldChar w:fldCharType="begin"/>
      </w:r>
      <w:r w:rsidR="00921DC2" w:rsidRPr="00B0618E">
        <w:instrText xml:space="preserve"> REF _Ref468449374 \h </w:instrText>
      </w:r>
      <w:r w:rsidR="00B0618E">
        <w:instrText xml:space="preserve"> \* MERGEFORMAT </w:instrText>
      </w:r>
      <w:r w:rsidR="00921DC2" w:rsidRPr="00B0618E">
        <w:fldChar w:fldCharType="separate"/>
      </w:r>
      <w:r w:rsidR="000B6FA5" w:rsidRPr="00B0618E">
        <w:t xml:space="preserve">Table </w:t>
      </w:r>
      <w:r w:rsidR="000B6FA5">
        <w:rPr>
          <w:noProof/>
        </w:rPr>
        <w:t>3</w:t>
      </w:r>
      <w:r w:rsidR="000B6FA5">
        <w:rPr>
          <w:noProof/>
        </w:rPr>
        <w:noBreakHyphen/>
        <w:t>1</w:t>
      </w:r>
      <w:r w:rsidR="00921DC2" w:rsidRPr="00B0618E">
        <w:fldChar w:fldCharType="end"/>
      </w:r>
      <w:r w:rsidRPr="00B0618E">
        <w:t xml:space="preserve">). These combinations primarily explored minimum and maximum possible values, either for all parameters (i.e., </w:t>
      </w:r>
      <w:r w:rsidRPr="00B0618E">
        <w:rPr>
          <w:i/>
        </w:rPr>
        <w:t>n</w:t>
      </w:r>
      <w:r w:rsidRPr="00B0618E">
        <w:t xml:space="preserve">=2, 3) or for groups of parameters (i.e., </w:t>
      </w:r>
      <w:r w:rsidRPr="00B0618E">
        <w:rPr>
          <w:i/>
        </w:rPr>
        <w:t>n</w:t>
      </w:r>
      <w:r w:rsidRPr="00B0618E">
        <w:t>=4</w:t>
      </w:r>
      <w:r w:rsidR="002118C5" w:rsidRPr="00B0618E">
        <w:t>-</w:t>
      </w:r>
      <w:r w:rsidR="003E1BFA" w:rsidRPr="00B0618E">
        <w:t>9</w:t>
      </w:r>
      <w:r w:rsidRPr="00B0618E">
        <w:t xml:space="preserve">). The effects of increasing and decreasing hydraulic diffusivity </w:t>
      </w:r>
      <w:r w:rsidR="003E1BFA" w:rsidRPr="00B0618E">
        <w:t xml:space="preserve">(i.e., </w:t>
      </w:r>
      <w:r w:rsidR="003E1BFA" w:rsidRPr="00B0618E">
        <w:rPr>
          <w:i/>
        </w:rPr>
        <w:t>K</w:t>
      </w:r>
      <w:r w:rsidR="00890954" w:rsidRPr="00B0618E">
        <w:rPr>
          <w:i/>
          <w:vertAlign w:val="subscript"/>
        </w:rPr>
        <w:t>H</w:t>
      </w:r>
      <w:r w:rsidR="003E1BFA" w:rsidRPr="00B0618E">
        <w:t>/</w:t>
      </w:r>
      <w:r w:rsidR="002118C5" w:rsidRPr="00B0618E">
        <w:rPr>
          <w:i/>
        </w:rPr>
        <w:t>S</w:t>
      </w:r>
      <w:r w:rsidR="00890954" w:rsidRPr="00B0618E">
        <w:rPr>
          <w:i/>
          <w:vertAlign w:val="subscript"/>
        </w:rPr>
        <w:t>S</w:t>
      </w:r>
      <w:r w:rsidR="003E1BFA" w:rsidRPr="00B0618E">
        <w:t xml:space="preserve">) </w:t>
      </w:r>
      <w:r w:rsidRPr="00B0618E">
        <w:t xml:space="preserve">were also examined (i.e., </w:t>
      </w:r>
      <w:r w:rsidRPr="00B0618E">
        <w:rPr>
          <w:i/>
        </w:rPr>
        <w:t>n</w:t>
      </w:r>
      <w:r w:rsidRPr="00B0618E">
        <w:t>=1</w:t>
      </w:r>
      <w:r w:rsidR="003E1BFA" w:rsidRPr="00B0618E">
        <w:t>0</w:t>
      </w:r>
      <w:r w:rsidRPr="00B0618E">
        <w:t>, 1</w:t>
      </w:r>
      <w:r w:rsidR="003E1BFA" w:rsidRPr="00B0618E">
        <w:t>1</w:t>
      </w:r>
      <w:r w:rsidRPr="00B0618E">
        <w:t xml:space="preserve">). </w:t>
      </w:r>
    </w:p>
    <w:p w14:paraId="7ABC0902" w14:textId="77777777" w:rsidR="00790868" w:rsidRPr="00B0618E" w:rsidRDefault="00790868" w:rsidP="00994757">
      <w:pPr>
        <w:pStyle w:val="Caption"/>
      </w:pPr>
      <w:bookmarkStart w:id="48" w:name="_Ref467658938"/>
    </w:p>
    <w:p w14:paraId="1AB2827F" w14:textId="346A6BCD" w:rsidR="00DF7303" w:rsidRPr="00B0618E" w:rsidRDefault="003E1BFA" w:rsidP="00790868">
      <w:pPr>
        <w:pStyle w:val="Caption"/>
      </w:pPr>
      <w:bookmarkStart w:id="49" w:name="_Ref468449374"/>
      <w:bookmarkStart w:id="50" w:name="_Toc503253887"/>
      <w:r w:rsidRPr="00B0618E">
        <w:t xml:space="preserve">Table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1</w:t>
      </w:r>
      <w:r w:rsidR="00A2085C">
        <w:rPr>
          <w:noProof/>
        </w:rPr>
        <w:fldChar w:fldCharType="end"/>
      </w:r>
      <w:bookmarkEnd w:id="48"/>
      <w:bookmarkEnd w:id="49"/>
      <w:r w:rsidRPr="00B0618E">
        <w:t>.</w:t>
      </w:r>
      <w:r w:rsidR="00BB71AC" w:rsidRPr="00B0618E">
        <w:t xml:space="preserve"> Results of parameter stress testing of the </w:t>
      </w:r>
      <w:r w:rsidR="00045A85">
        <w:t>CDM Smith (2016)</w:t>
      </w:r>
      <w:r w:rsidR="00E253E9" w:rsidRPr="00B0618E">
        <w:t xml:space="preserve"> </w:t>
      </w:r>
      <w:r w:rsidR="00BB71AC" w:rsidRPr="00B0618E">
        <w:t>Gunnedah</w:t>
      </w:r>
      <w:r w:rsidR="004900B0">
        <w:t>-Surat</w:t>
      </w:r>
      <w:r w:rsidR="00BB71AC" w:rsidRPr="00B0618E">
        <w:t xml:space="preserve"> </w:t>
      </w:r>
      <w:r w:rsidR="004900B0">
        <w:t>b</w:t>
      </w:r>
      <w:r w:rsidR="00BB71AC" w:rsidRPr="00B0618E">
        <w:t>asin</w:t>
      </w:r>
      <w:r w:rsidR="004900B0">
        <w:t>s</w:t>
      </w:r>
      <w:r w:rsidR="00BB71AC" w:rsidRPr="00B0618E">
        <w:t xml:space="preserve"> groundwater flow model.</w:t>
      </w:r>
      <w:r w:rsidR="00467D88" w:rsidRPr="00B0618E">
        <w:t xml:space="preserve"> Parameter range</w:t>
      </w:r>
      <w:r w:rsidR="001A5821" w:rsidRPr="00B0618E">
        <w:t>s</w:t>
      </w:r>
      <w:r w:rsidR="00467D88" w:rsidRPr="00B0618E">
        <w:t xml:space="preserve"> </w:t>
      </w:r>
      <w:r w:rsidR="001A5821" w:rsidRPr="00B0618E">
        <w:t xml:space="preserve">(for each of </w:t>
      </w:r>
      <w:r w:rsidR="001A5821" w:rsidRPr="00B0618E">
        <w:rPr>
          <w:i/>
        </w:rPr>
        <w:t>K</w:t>
      </w:r>
      <w:r w:rsidR="001A5821" w:rsidRPr="00B0618E">
        <w:rPr>
          <w:i/>
          <w:vertAlign w:val="subscript"/>
        </w:rPr>
        <w:t>H</w:t>
      </w:r>
      <w:r w:rsidR="001A5821" w:rsidRPr="00B0618E">
        <w:t xml:space="preserve">, </w:t>
      </w:r>
      <w:r w:rsidR="001A5821" w:rsidRPr="00B0618E">
        <w:rPr>
          <w:i/>
        </w:rPr>
        <w:t>K</w:t>
      </w:r>
      <w:r w:rsidR="001A5821" w:rsidRPr="00B0618E">
        <w:rPr>
          <w:i/>
          <w:vertAlign w:val="subscript"/>
        </w:rPr>
        <w:t>V</w:t>
      </w:r>
      <w:r w:rsidR="001A5821" w:rsidRPr="00B0618E">
        <w:rPr>
          <w:i/>
        </w:rPr>
        <w:t xml:space="preserve"> </w:t>
      </w:r>
      <w:r w:rsidR="001A5821" w:rsidRPr="00B0618E">
        <w:t xml:space="preserve">and </w:t>
      </w:r>
      <w:r w:rsidR="001A5821" w:rsidRPr="00B0618E">
        <w:rPr>
          <w:i/>
        </w:rPr>
        <w:t>S</w:t>
      </w:r>
      <w:r w:rsidR="001A5821" w:rsidRPr="00B0618E">
        <w:rPr>
          <w:i/>
          <w:vertAlign w:val="subscript"/>
        </w:rPr>
        <w:t>S</w:t>
      </w:r>
      <w:r w:rsidR="001A5821" w:rsidRPr="00B0618E">
        <w:t xml:space="preserve">) were specified as the </w:t>
      </w:r>
      <w:r w:rsidR="00045A85">
        <w:t>CDM Smith (2016)</w:t>
      </w:r>
      <w:r w:rsidR="00467D88" w:rsidRPr="00B0618E">
        <w:t xml:space="preserve"> parameter value ± two orders of magnitude.</w:t>
      </w:r>
      <w:bookmarkEnd w:id="50"/>
    </w:p>
    <w:tbl>
      <w:tblPr>
        <w:tblStyle w:val="TableCSIRO"/>
        <w:tblW w:w="4782" w:type="pct"/>
        <w:tblLook w:val="04A0" w:firstRow="1" w:lastRow="0" w:firstColumn="1" w:lastColumn="0" w:noHBand="0" w:noVBand="1"/>
        <w:tblCaption w:val="Table 3-1"/>
        <w:tblDescription w:val="Table of model stress test results"/>
      </w:tblPr>
      <w:tblGrid>
        <w:gridCol w:w="1021"/>
        <w:gridCol w:w="7063"/>
        <w:gridCol w:w="1134"/>
      </w:tblGrid>
      <w:tr w:rsidR="003E1BFA" w:rsidRPr="00B0618E" w14:paraId="77733644" w14:textId="77777777" w:rsidTr="00740460">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4D4503D9" w14:textId="77777777" w:rsidR="003E1BFA" w:rsidRPr="00B0618E" w:rsidRDefault="003E1BFA" w:rsidP="00790868">
            <w:pPr>
              <w:pStyle w:val="RowHeading"/>
              <w:keepNext/>
            </w:pPr>
            <w:r w:rsidRPr="00B0618E">
              <w:t>n</w:t>
            </w:r>
          </w:p>
        </w:tc>
        <w:tc>
          <w:tcPr>
            <w:tcW w:w="3831" w:type="pct"/>
            <w:noWrap/>
            <w:hideMark/>
          </w:tcPr>
          <w:p w14:paraId="6BB18122" w14:textId="77777777" w:rsidR="003E1BFA" w:rsidRPr="00B0618E" w:rsidRDefault="003E1BFA" w:rsidP="00790868">
            <w:pPr>
              <w:pStyle w:val="RowHeading"/>
              <w:keepNext/>
              <w:cnfStyle w:val="100000000000" w:firstRow="1" w:lastRow="0" w:firstColumn="0" w:lastColumn="0" w:oddVBand="0" w:evenVBand="0" w:oddHBand="0" w:evenHBand="0" w:firstRowFirstColumn="0" w:firstRowLastColumn="0" w:lastRowFirstColumn="0" w:lastRowLastColumn="0"/>
            </w:pPr>
            <w:r w:rsidRPr="00B0618E">
              <w:t>Parameter set</w:t>
            </w:r>
          </w:p>
        </w:tc>
        <w:tc>
          <w:tcPr>
            <w:tcW w:w="615" w:type="pct"/>
            <w:noWrap/>
            <w:hideMark/>
          </w:tcPr>
          <w:p w14:paraId="13B3E55F" w14:textId="77777777" w:rsidR="003E1BFA" w:rsidRPr="00B0618E" w:rsidRDefault="003E1BFA" w:rsidP="00740460">
            <w:pPr>
              <w:pStyle w:val="RowHeading"/>
              <w:keepNext/>
              <w:cnfStyle w:val="100000000000" w:firstRow="1" w:lastRow="0" w:firstColumn="0" w:lastColumn="0" w:oddVBand="0" w:evenVBand="0" w:oddHBand="0" w:evenHBand="0" w:firstRowFirstColumn="0" w:firstRowLastColumn="0" w:lastRowFirstColumn="0" w:lastRowLastColumn="0"/>
            </w:pPr>
            <w:r w:rsidRPr="00B0618E">
              <w:t>Converged?</w:t>
            </w:r>
          </w:p>
        </w:tc>
      </w:tr>
      <w:tr w:rsidR="003E1BFA" w:rsidRPr="00B0618E" w14:paraId="04B3C8D5" w14:textId="77777777" w:rsidTr="00740460">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19F5B6DB" w14:textId="77777777" w:rsidR="003E1BFA" w:rsidRPr="00B0618E" w:rsidRDefault="003E1BFA" w:rsidP="00790868">
            <w:pPr>
              <w:pStyle w:val="TableText"/>
              <w:keepNext/>
              <w:rPr>
                <w:b w:val="0"/>
              </w:rPr>
            </w:pPr>
            <w:r w:rsidRPr="00B0618E">
              <w:rPr>
                <w:b w:val="0"/>
              </w:rPr>
              <w:t>1</w:t>
            </w:r>
          </w:p>
        </w:tc>
        <w:tc>
          <w:tcPr>
            <w:tcW w:w="3831" w:type="pct"/>
            <w:noWrap/>
            <w:hideMark/>
          </w:tcPr>
          <w:p w14:paraId="0274B59F" w14:textId="77777777" w:rsidR="003E1BFA" w:rsidRPr="00B0618E" w:rsidRDefault="003E1BFA" w:rsidP="00790868">
            <w:pPr>
              <w:pStyle w:val="TableText"/>
              <w:keepNext/>
              <w:cnfStyle w:val="000000100000" w:firstRow="0" w:lastRow="0" w:firstColumn="0" w:lastColumn="0" w:oddVBand="0" w:evenVBand="0" w:oddHBand="1" w:evenHBand="0" w:firstRowFirstColumn="0" w:firstRowLastColumn="0" w:lastRowFirstColumn="0" w:lastRowLastColumn="0"/>
            </w:pPr>
            <w:r w:rsidRPr="00B0618E">
              <w:t>Base parameter set</w:t>
            </w:r>
          </w:p>
        </w:tc>
        <w:tc>
          <w:tcPr>
            <w:tcW w:w="615" w:type="pct"/>
            <w:noWrap/>
            <w:hideMark/>
          </w:tcPr>
          <w:p w14:paraId="526841DE" w14:textId="77777777" w:rsidR="003E1BFA" w:rsidRPr="00B0618E" w:rsidRDefault="003E1BFA" w:rsidP="00740460">
            <w:pPr>
              <w:pStyle w:val="TableText"/>
              <w:keepNext/>
              <w:cnfStyle w:val="000000100000" w:firstRow="0" w:lastRow="0" w:firstColumn="0" w:lastColumn="0" w:oddVBand="0" w:evenVBand="0" w:oddHBand="1" w:evenHBand="0" w:firstRowFirstColumn="0" w:firstRowLastColumn="0" w:lastRowFirstColumn="0" w:lastRowLastColumn="0"/>
            </w:pPr>
            <w:r w:rsidRPr="00B0618E">
              <w:t>yes</w:t>
            </w:r>
          </w:p>
        </w:tc>
      </w:tr>
      <w:tr w:rsidR="003E1BFA" w:rsidRPr="00B0618E" w14:paraId="3DF9A711" w14:textId="77777777" w:rsidTr="00740460">
        <w:trPr>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002C3C12" w14:textId="77777777" w:rsidR="003E1BFA" w:rsidRPr="00B0618E" w:rsidRDefault="003E1BFA" w:rsidP="00790868">
            <w:pPr>
              <w:pStyle w:val="TableText"/>
              <w:keepNext/>
              <w:rPr>
                <w:b w:val="0"/>
              </w:rPr>
            </w:pPr>
            <w:r w:rsidRPr="00B0618E">
              <w:rPr>
                <w:b w:val="0"/>
              </w:rPr>
              <w:t>2</w:t>
            </w:r>
          </w:p>
        </w:tc>
        <w:tc>
          <w:tcPr>
            <w:tcW w:w="3831" w:type="pct"/>
            <w:noWrap/>
            <w:hideMark/>
          </w:tcPr>
          <w:p w14:paraId="3C0923DB" w14:textId="77777777" w:rsidR="003E1BFA" w:rsidRPr="00B0618E" w:rsidRDefault="003E1BFA" w:rsidP="00790868">
            <w:pPr>
              <w:pStyle w:val="TableText"/>
              <w:keepNext/>
              <w:cnfStyle w:val="000000000000" w:firstRow="0" w:lastRow="0" w:firstColumn="0" w:lastColumn="0" w:oddVBand="0" w:evenVBand="0" w:oddHBand="0" w:evenHBand="0" w:firstRowFirstColumn="0" w:firstRowLastColumn="0" w:lastRowFirstColumn="0" w:lastRowLastColumn="0"/>
            </w:pPr>
            <w:r w:rsidRPr="00B0618E">
              <w:t>All parameters at minimum</w:t>
            </w:r>
          </w:p>
        </w:tc>
        <w:tc>
          <w:tcPr>
            <w:tcW w:w="615" w:type="pct"/>
            <w:noWrap/>
            <w:hideMark/>
          </w:tcPr>
          <w:p w14:paraId="45B14D92" w14:textId="77777777" w:rsidR="003E1BFA" w:rsidRPr="00B0618E" w:rsidRDefault="003E1BFA" w:rsidP="00740460">
            <w:pPr>
              <w:pStyle w:val="TableText"/>
              <w:keepNext/>
              <w:cnfStyle w:val="000000000000" w:firstRow="0" w:lastRow="0" w:firstColumn="0" w:lastColumn="0" w:oddVBand="0" w:evenVBand="0" w:oddHBand="0" w:evenHBand="0" w:firstRowFirstColumn="0" w:firstRowLastColumn="0" w:lastRowFirstColumn="0" w:lastRowLastColumn="0"/>
            </w:pPr>
            <w:r w:rsidRPr="00B0618E">
              <w:t>no</w:t>
            </w:r>
          </w:p>
        </w:tc>
      </w:tr>
      <w:tr w:rsidR="003E1BFA" w:rsidRPr="00B0618E" w14:paraId="47BFD44A" w14:textId="77777777" w:rsidTr="00740460">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2D8B0687" w14:textId="77777777" w:rsidR="003E1BFA" w:rsidRPr="00B0618E" w:rsidRDefault="003E1BFA" w:rsidP="00790868">
            <w:pPr>
              <w:pStyle w:val="TableText"/>
              <w:keepNext/>
              <w:rPr>
                <w:b w:val="0"/>
              </w:rPr>
            </w:pPr>
            <w:r w:rsidRPr="00B0618E">
              <w:rPr>
                <w:b w:val="0"/>
              </w:rPr>
              <w:t>3</w:t>
            </w:r>
          </w:p>
        </w:tc>
        <w:tc>
          <w:tcPr>
            <w:tcW w:w="3831" w:type="pct"/>
            <w:noWrap/>
            <w:hideMark/>
          </w:tcPr>
          <w:p w14:paraId="49862A3B" w14:textId="77777777" w:rsidR="003E1BFA" w:rsidRPr="00B0618E" w:rsidRDefault="003E1BFA" w:rsidP="00790868">
            <w:pPr>
              <w:pStyle w:val="TableText"/>
              <w:keepNext/>
              <w:cnfStyle w:val="000000100000" w:firstRow="0" w:lastRow="0" w:firstColumn="0" w:lastColumn="0" w:oddVBand="0" w:evenVBand="0" w:oddHBand="1" w:evenHBand="0" w:firstRowFirstColumn="0" w:firstRowLastColumn="0" w:lastRowFirstColumn="0" w:lastRowLastColumn="0"/>
            </w:pPr>
            <w:r w:rsidRPr="00B0618E">
              <w:t>All parameters at maximum</w:t>
            </w:r>
          </w:p>
        </w:tc>
        <w:tc>
          <w:tcPr>
            <w:tcW w:w="615" w:type="pct"/>
            <w:noWrap/>
            <w:hideMark/>
          </w:tcPr>
          <w:p w14:paraId="3B0EF452" w14:textId="77777777" w:rsidR="003E1BFA" w:rsidRPr="00B0618E" w:rsidRDefault="003E1BFA" w:rsidP="00740460">
            <w:pPr>
              <w:pStyle w:val="TableText"/>
              <w:keepNext/>
              <w:cnfStyle w:val="000000100000" w:firstRow="0" w:lastRow="0" w:firstColumn="0" w:lastColumn="0" w:oddVBand="0" w:evenVBand="0" w:oddHBand="1" w:evenHBand="0" w:firstRowFirstColumn="0" w:firstRowLastColumn="0" w:lastRowFirstColumn="0" w:lastRowLastColumn="0"/>
            </w:pPr>
            <w:r w:rsidRPr="00B0618E">
              <w:t>no</w:t>
            </w:r>
          </w:p>
        </w:tc>
      </w:tr>
      <w:tr w:rsidR="003E1BFA" w:rsidRPr="00B0618E" w14:paraId="1A063D81" w14:textId="77777777" w:rsidTr="00740460">
        <w:trPr>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2540074E" w14:textId="77777777" w:rsidR="003E1BFA" w:rsidRPr="00B0618E" w:rsidRDefault="003E1BFA" w:rsidP="00790868">
            <w:pPr>
              <w:pStyle w:val="TableText"/>
              <w:keepNext/>
              <w:rPr>
                <w:b w:val="0"/>
              </w:rPr>
            </w:pPr>
            <w:r w:rsidRPr="00B0618E">
              <w:rPr>
                <w:b w:val="0"/>
              </w:rPr>
              <w:t>4</w:t>
            </w:r>
          </w:p>
        </w:tc>
        <w:tc>
          <w:tcPr>
            <w:tcW w:w="3831" w:type="pct"/>
            <w:noWrap/>
            <w:hideMark/>
          </w:tcPr>
          <w:p w14:paraId="24650ECF" w14:textId="77777777" w:rsidR="003E1BFA" w:rsidRPr="00B0618E" w:rsidRDefault="003E1BFA" w:rsidP="00036549">
            <w:pPr>
              <w:pStyle w:val="TableText"/>
              <w:keepNext/>
              <w:cnfStyle w:val="000000000000" w:firstRow="0" w:lastRow="0" w:firstColumn="0" w:lastColumn="0" w:oddVBand="0" w:evenVBand="0" w:oddHBand="0" w:evenHBand="0" w:firstRowFirstColumn="0" w:firstRowLastColumn="0" w:lastRowFirstColumn="0" w:lastRowLastColumn="0"/>
            </w:pPr>
            <w:r w:rsidRPr="00B0618E">
              <w:rPr>
                <w:i/>
              </w:rPr>
              <w:t>K</w:t>
            </w:r>
            <w:r w:rsidR="00036549" w:rsidRPr="00B0618E">
              <w:rPr>
                <w:i/>
                <w:vertAlign w:val="subscript"/>
              </w:rPr>
              <w:t>H</w:t>
            </w:r>
            <w:r w:rsidRPr="00B0618E">
              <w:t xml:space="preserve"> parameters at minimum</w:t>
            </w:r>
          </w:p>
        </w:tc>
        <w:tc>
          <w:tcPr>
            <w:tcW w:w="615" w:type="pct"/>
            <w:noWrap/>
            <w:hideMark/>
          </w:tcPr>
          <w:p w14:paraId="53F5DC03" w14:textId="77777777" w:rsidR="003E1BFA" w:rsidRPr="00B0618E" w:rsidRDefault="003E1BFA" w:rsidP="00740460">
            <w:pPr>
              <w:pStyle w:val="TableText"/>
              <w:keepNext/>
              <w:cnfStyle w:val="000000000000" w:firstRow="0" w:lastRow="0" w:firstColumn="0" w:lastColumn="0" w:oddVBand="0" w:evenVBand="0" w:oddHBand="0" w:evenHBand="0" w:firstRowFirstColumn="0" w:firstRowLastColumn="0" w:lastRowFirstColumn="0" w:lastRowLastColumn="0"/>
            </w:pPr>
            <w:r w:rsidRPr="00B0618E">
              <w:t>no</w:t>
            </w:r>
          </w:p>
        </w:tc>
      </w:tr>
      <w:tr w:rsidR="003E1BFA" w:rsidRPr="00B0618E" w14:paraId="59699C40" w14:textId="77777777" w:rsidTr="00740460">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7C722C3E" w14:textId="77777777" w:rsidR="003E1BFA" w:rsidRPr="00B0618E" w:rsidRDefault="003E1BFA" w:rsidP="00790868">
            <w:pPr>
              <w:pStyle w:val="TableText"/>
              <w:keepNext/>
              <w:rPr>
                <w:b w:val="0"/>
              </w:rPr>
            </w:pPr>
            <w:r w:rsidRPr="00B0618E">
              <w:rPr>
                <w:b w:val="0"/>
              </w:rPr>
              <w:t>5</w:t>
            </w:r>
          </w:p>
        </w:tc>
        <w:tc>
          <w:tcPr>
            <w:tcW w:w="3831" w:type="pct"/>
            <w:noWrap/>
            <w:hideMark/>
          </w:tcPr>
          <w:p w14:paraId="43183112" w14:textId="77777777" w:rsidR="003E1BFA" w:rsidRPr="00B0618E" w:rsidRDefault="003E1BFA" w:rsidP="00036549">
            <w:pPr>
              <w:pStyle w:val="TableText"/>
              <w:keepNext/>
              <w:cnfStyle w:val="000000100000" w:firstRow="0" w:lastRow="0" w:firstColumn="0" w:lastColumn="0" w:oddVBand="0" w:evenVBand="0" w:oddHBand="1" w:evenHBand="0" w:firstRowFirstColumn="0" w:firstRowLastColumn="0" w:lastRowFirstColumn="0" w:lastRowLastColumn="0"/>
            </w:pPr>
            <w:r w:rsidRPr="00B0618E">
              <w:rPr>
                <w:i/>
              </w:rPr>
              <w:t>K</w:t>
            </w:r>
            <w:r w:rsidR="00036549" w:rsidRPr="00B0618E">
              <w:rPr>
                <w:i/>
                <w:vertAlign w:val="subscript"/>
              </w:rPr>
              <w:t>H</w:t>
            </w:r>
            <w:r w:rsidRPr="00B0618E">
              <w:t xml:space="preserve"> parameters at maximum</w:t>
            </w:r>
          </w:p>
        </w:tc>
        <w:tc>
          <w:tcPr>
            <w:tcW w:w="615" w:type="pct"/>
            <w:noWrap/>
            <w:hideMark/>
          </w:tcPr>
          <w:p w14:paraId="121F64C5" w14:textId="77777777" w:rsidR="003E1BFA" w:rsidRPr="00B0618E" w:rsidRDefault="003E1BFA" w:rsidP="00740460">
            <w:pPr>
              <w:pStyle w:val="TableText"/>
              <w:keepNext/>
              <w:cnfStyle w:val="000000100000" w:firstRow="0" w:lastRow="0" w:firstColumn="0" w:lastColumn="0" w:oddVBand="0" w:evenVBand="0" w:oddHBand="1" w:evenHBand="0" w:firstRowFirstColumn="0" w:firstRowLastColumn="0" w:lastRowFirstColumn="0" w:lastRowLastColumn="0"/>
            </w:pPr>
            <w:r w:rsidRPr="00B0618E">
              <w:t>no</w:t>
            </w:r>
          </w:p>
        </w:tc>
      </w:tr>
      <w:tr w:rsidR="003E1BFA" w:rsidRPr="00B0618E" w14:paraId="07AAA997" w14:textId="77777777" w:rsidTr="00740460">
        <w:trPr>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439C366A" w14:textId="77777777" w:rsidR="003E1BFA" w:rsidRPr="00B0618E" w:rsidRDefault="003E1BFA" w:rsidP="00790868">
            <w:pPr>
              <w:pStyle w:val="TableText"/>
              <w:keepNext/>
              <w:rPr>
                <w:b w:val="0"/>
              </w:rPr>
            </w:pPr>
            <w:r w:rsidRPr="00B0618E">
              <w:rPr>
                <w:b w:val="0"/>
              </w:rPr>
              <w:t>6</w:t>
            </w:r>
          </w:p>
        </w:tc>
        <w:tc>
          <w:tcPr>
            <w:tcW w:w="3831" w:type="pct"/>
            <w:noWrap/>
            <w:hideMark/>
          </w:tcPr>
          <w:p w14:paraId="5AE06150" w14:textId="77777777" w:rsidR="003E1BFA" w:rsidRPr="00B0618E" w:rsidRDefault="003E1BFA" w:rsidP="00036549">
            <w:pPr>
              <w:pStyle w:val="TableText"/>
              <w:keepNext/>
              <w:cnfStyle w:val="000000000000" w:firstRow="0" w:lastRow="0" w:firstColumn="0" w:lastColumn="0" w:oddVBand="0" w:evenVBand="0" w:oddHBand="0" w:evenHBand="0" w:firstRowFirstColumn="0" w:firstRowLastColumn="0" w:lastRowFirstColumn="0" w:lastRowLastColumn="0"/>
            </w:pPr>
            <w:r w:rsidRPr="00B0618E">
              <w:rPr>
                <w:i/>
              </w:rPr>
              <w:t>K</w:t>
            </w:r>
            <w:r w:rsidR="00036549" w:rsidRPr="00B0618E">
              <w:rPr>
                <w:i/>
                <w:vertAlign w:val="subscript"/>
              </w:rPr>
              <w:t>V</w:t>
            </w:r>
            <w:r w:rsidRPr="00B0618E">
              <w:t xml:space="preserve"> parameters at minimum</w:t>
            </w:r>
          </w:p>
        </w:tc>
        <w:tc>
          <w:tcPr>
            <w:tcW w:w="615" w:type="pct"/>
            <w:noWrap/>
            <w:hideMark/>
          </w:tcPr>
          <w:p w14:paraId="6D022DF9" w14:textId="77777777" w:rsidR="003E1BFA" w:rsidRPr="00B0618E" w:rsidRDefault="003E1BFA" w:rsidP="00740460">
            <w:pPr>
              <w:pStyle w:val="TableText"/>
              <w:keepNext/>
              <w:cnfStyle w:val="000000000000" w:firstRow="0" w:lastRow="0" w:firstColumn="0" w:lastColumn="0" w:oddVBand="0" w:evenVBand="0" w:oddHBand="0" w:evenHBand="0" w:firstRowFirstColumn="0" w:firstRowLastColumn="0" w:lastRowFirstColumn="0" w:lastRowLastColumn="0"/>
            </w:pPr>
            <w:r w:rsidRPr="00B0618E">
              <w:t>no</w:t>
            </w:r>
          </w:p>
        </w:tc>
      </w:tr>
      <w:tr w:rsidR="003E1BFA" w:rsidRPr="00B0618E" w14:paraId="6E8399B4" w14:textId="77777777" w:rsidTr="00740460">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3938AA59" w14:textId="77777777" w:rsidR="003E1BFA" w:rsidRPr="00B0618E" w:rsidRDefault="003E1BFA" w:rsidP="00790868">
            <w:pPr>
              <w:pStyle w:val="TableText"/>
              <w:keepNext/>
              <w:rPr>
                <w:b w:val="0"/>
              </w:rPr>
            </w:pPr>
            <w:r w:rsidRPr="00B0618E">
              <w:rPr>
                <w:b w:val="0"/>
              </w:rPr>
              <w:t>7</w:t>
            </w:r>
          </w:p>
        </w:tc>
        <w:tc>
          <w:tcPr>
            <w:tcW w:w="3831" w:type="pct"/>
            <w:noWrap/>
            <w:hideMark/>
          </w:tcPr>
          <w:p w14:paraId="4DEBDD6A" w14:textId="77777777" w:rsidR="003E1BFA" w:rsidRPr="00B0618E" w:rsidRDefault="003E1BFA" w:rsidP="00036549">
            <w:pPr>
              <w:pStyle w:val="TableText"/>
              <w:keepNext/>
              <w:cnfStyle w:val="000000100000" w:firstRow="0" w:lastRow="0" w:firstColumn="0" w:lastColumn="0" w:oddVBand="0" w:evenVBand="0" w:oddHBand="1" w:evenHBand="0" w:firstRowFirstColumn="0" w:firstRowLastColumn="0" w:lastRowFirstColumn="0" w:lastRowLastColumn="0"/>
            </w:pPr>
            <w:r w:rsidRPr="00B0618E">
              <w:rPr>
                <w:i/>
              </w:rPr>
              <w:t>K</w:t>
            </w:r>
            <w:r w:rsidR="00036549" w:rsidRPr="00B0618E">
              <w:rPr>
                <w:i/>
                <w:vertAlign w:val="subscript"/>
              </w:rPr>
              <w:t>V</w:t>
            </w:r>
            <w:r w:rsidRPr="00B0618E">
              <w:t xml:space="preserve"> parameters at maximum</w:t>
            </w:r>
          </w:p>
        </w:tc>
        <w:tc>
          <w:tcPr>
            <w:tcW w:w="615" w:type="pct"/>
            <w:noWrap/>
            <w:hideMark/>
          </w:tcPr>
          <w:p w14:paraId="6C9A177A" w14:textId="77777777" w:rsidR="003E1BFA" w:rsidRPr="00B0618E" w:rsidRDefault="003E1BFA" w:rsidP="00740460">
            <w:pPr>
              <w:pStyle w:val="TableText"/>
              <w:keepNext/>
              <w:cnfStyle w:val="000000100000" w:firstRow="0" w:lastRow="0" w:firstColumn="0" w:lastColumn="0" w:oddVBand="0" w:evenVBand="0" w:oddHBand="1" w:evenHBand="0" w:firstRowFirstColumn="0" w:firstRowLastColumn="0" w:lastRowFirstColumn="0" w:lastRowLastColumn="0"/>
            </w:pPr>
            <w:r w:rsidRPr="00B0618E">
              <w:t>yes</w:t>
            </w:r>
          </w:p>
        </w:tc>
      </w:tr>
      <w:tr w:rsidR="003E1BFA" w:rsidRPr="00B0618E" w14:paraId="1E4FEDCD" w14:textId="77777777" w:rsidTr="00740460">
        <w:trPr>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49AC8E4B" w14:textId="77777777" w:rsidR="003E1BFA" w:rsidRPr="00B0618E" w:rsidRDefault="003E1BFA" w:rsidP="00790868">
            <w:pPr>
              <w:pStyle w:val="TableText"/>
              <w:keepNext/>
              <w:rPr>
                <w:b w:val="0"/>
              </w:rPr>
            </w:pPr>
            <w:r w:rsidRPr="00B0618E">
              <w:rPr>
                <w:b w:val="0"/>
              </w:rPr>
              <w:t>8</w:t>
            </w:r>
          </w:p>
        </w:tc>
        <w:tc>
          <w:tcPr>
            <w:tcW w:w="3831" w:type="pct"/>
            <w:noWrap/>
            <w:hideMark/>
          </w:tcPr>
          <w:p w14:paraId="7BDBAF7B" w14:textId="77777777" w:rsidR="003E1BFA" w:rsidRPr="00B0618E" w:rsidRDefault="003E1BFA" w:rsidP="00036549">
            <w:pPr>
              <w:pStyle w:val="TableText"/>
              <w:keepNext/>
              <w:cnfStyle w:val="000000000000" w:firstRow="0" w:lastRow="0" w:firstColumn="0" w:lastColumn="0" w:oddVBand="0" w:evenVBand="0" w:oddHBand="0" w:evenHBand="0" w:firstRowFirstColumn="0" w:firstRowLastColumn="0" w:lastRowFirstColumn="0" w:lastRowLastColumn="0"/>
            </w:pPr>
            <w:r w:rsidRPr="00B0618E">
              <w:rPr>
                <w:i/>
              </w:rPr>
              <w:t>S</w:t>
            </w:r>
            <w:r w:rsidR="00036549" w:rsidRPr="00B0618E">
              <w:rPr>
                <w:i/>
                <w:vertAlign w:val="subscript"/>
              </w:rPr>
              <w:t>S</w:t>
            </w:r>
            <w:r w:rsidRPr="00B0618E">
              <w:t xml:space="preserve"> parameters at minimum</w:t>
            </w:r>
          </w:p>
        </w:tc>
        <w:tc>
          <w:tcPr>
            <w:tcW w:w="615" w:type="pct"/>
            <w:noWrap/>
            <w:hideMark/>
          </w:tcPr>
          <w:p w14:paraId="35E7F287" w14:textId="77777777" w:rsidR="003E1BFA" w:rsidRPr="00B0618E" w:rsidRDefault="003E1BFA" w:rsidP="00740460">
            <w:pPr>
              <w:pStyle w:val="TableText"/>
              <w:keepNext/>
              <w:cnfStyle w:val="000000000000" w:firstRow="0" w:lastRow="0" w:firstColumn="0" w:lastColumn="0" w:oddVBand="0" w:evenVBand="0" w:oddHBand="0" w:evenHBand="0" w:firstRowFirstColumn="0" w:firstRowLastColumn="0" w:lastRowFirstColumn="0" w:lastRowLastColumn="0"/>
            </w:pPr>
            <w:r w:rsidRPr="00B0618E">
              <w:t>yes</w:t>
            </w:r>
          </w:p>
        </w:tc>
      </w:tr>
      <w:tr w:rsidR="003E1BFA" w:rsidRPr="00B0618E" w14:paraId="253362F2" w14:textId="77777777" w:rsidTr="00740460">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7B629342" w14:textId="77777777" w:rsidR="003E1BFA" w:rsidRPr="00B0618E" w:rsidRDefault="003E1BFA" w:rsidP="00790868">
            <w:pPr>
              <w:pStyle w:val="TableText"/>
              <w:keepNext/>
              <w:rPr>
                <w:b w:val="0"/>
              </w:rPr>
            </w:pPr>
            <w:r w:rsidRPr="00B0618E">
              <w:rPr>
                <w:b w:val="0"/>
              </w:rPr>
              <w:t>9</w:t>
            </w:r>
          </w:p>
        </w:tc>
        <w:tc>
          <w:tcPr>
            <w:tcW w:w="3831" w:type="pct"/>
            <w:noWrap/>
            <w:hideMark/>
          </w:tcPr>
          <w:p w14:paraId="0FB83740" w14:textId="77777777" w:rsidR="003E1BFA" w:rsidRPr="00B0618E" w:rsidRDefault="003E1BFA" w:rsidP="00036549">
            <w:pPr>
              <w:pStyle w:val="TableText"/>
              <w:keepNext/>
              <w:cnfStyle w:val="000000100000" w:firstRow="0" w:lastRow="0" w:firstColumn="0" w:lastColumn="0" w:oddVBand="0" w:evenVBand="0" w:oddHBand="1" w:evenHBand="0" w:firstRowFirstColumn="0" w:firstRowLastColumn="0" w:lastRowFirstColumn="0" w:lastRowLastColumn="0"/>
            </w:pPr>
            <w:r w:rsidRPr="00B0618E">
              <w:rPr>
                <w:i/>
              </w:rPr>
              <w:t>S</w:t>
            </w:r>
            <w:r w:rsidR="00036549" w:rsidRPr="00B0618E">
              <w:rPr>
                <w:i/>
                <w:vertAlign w:val="subscript"/>
              </w:rPr>
              <w:t>S</w:t>
            </w:r>
            <w:r w:rsidRPr="00B0618E">
              <w:t xml:space="preserve"> parameters at maximum</w:t>
            </w:r>
          </w:p>
        </w:tc>
        <w:tc>
          <w:tcPr>
            <w:tcW w:w="615" w:type="pct"/>
            <w:noWrap/>
            <w:hideMark/>
          </w:tcPr>
          <w:p w14:paraId="292C57DC" w14:textId="77777777" w:rsidR="003E1BFA" w:rsidRPr="00B0618E" w:rsidRDefault="003E1BFA" w:rsidP="00740460">
            <w:pPr>
              <w:pStyle w:val="TableText"/>
              <w:keepNext/>
              <w:cnfStyle w:val="000000100000" w:firstRow="0" w:lastRow="0" w:firstColumn="0" w:lastColumn="0" w:oddVBand="0" w:evenVBand="0" w:oddHBand="1" w:evenHBand="0" w:firstRowFirstColumn="0" w:firstRowLastColumn="0" w:lastRowFirstColumn="0" w:lastRowLastColumn="0"/>
            </w:pPr>
            <w:r w:rsidRPr="00B0618E">
              <w:t>yes</w:t>
            </w:r>
          </w:p>
        </w:tc>
      </w:tr>
      <w:tr w:rsidR="003E1BFA" w:rsidRPr="00B0618E" w14:paraId="0DA45990" w14:textId="77777777" w:rsidTr="00740460">
        <w:trPr>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3F67B774" w14:textId="77777777" w:rsidR="003E1BFA" w:rsidRPr="00B0618E" w:rsidRDefault="003E1BFA" w:rsidP="00790868">
            <w:pPr>
              <w:pStyle w:val="TableText"/>
              <w:keepNext/>
              <w:rPr>
                <w:b w:val="0"/>
              </w:rPr>
            </w:pPr>
            <w:r w:rsidRPr="00B0618E">
              <w:rPr>
                <w:b w:val="0"/>
              </w:rPr>
              <w:t>10</w:t>
            </w:r>
          </w:p>
        </w:tc>
        <w:tc>
          <w:tcPr>
            <w:tcW w:w="3831" w:type="pct"/>
            <w:noWrap/>
            <w:hideMark/>
          </w:tcPr>
          <w:p w14:paraId="08F5B94E" w14:textId="77777777" w:rsidR="003E1BFA" w:rsidRPr="00B0618E" w:rsidRDefault="003E1BFA" w:rsidP="00036549">
            <w:pPr>
              <w:pStyle w:val="TableText"/>
              <w:keepNext/>
              <w:cnfStyle w:val="000000000000" w:firstRow="0" w:lastRow="0" w:firstColumn="0" w:lastColumn="0" w:oddVBand="0" w:evenVBand="0" w:oddHBand="0" w:evenHBand="0" w:firstRowFirstColumn="0" w:firstRowLastColumn="0" w:lastRowFirstColumn="0" w:lastRowLastColumn="0"/>
            </w:pPr>
            <w:r w:rsidRPr="00B0618E">
              <w:rPr>
                <w:i/>
              </w:rPr>
              <w:t>K</w:t>
            </w:r>
            <w:r w:rsidR="00036549" w:rsidRPr="00B0618E">
              <w:rPr>
                <w:i/>
                <w:vertAlign w:val="subscript"/>
              </w:rPr>
              <w:t>H</w:t>
            </w:r>
            <w:r w:rsidR="001D5947" w:rsidRPr="00B0618E">
              <w:t xml:space="preserve"> and </w:t>
            </w:r>
            <w:r w:rsidRPr="00B0618E">
              <w:rPr>
                <w:i/>
              </w:rPr>
              <w:t>K</w:t>
            </w:r>
            <w:r w:rsidR="00036549" w:rsidRPr="00B0618E">
              <w:rPr>
                <w:i/>
                <w:vertAlign w:val="subscript"/>
              </w:rPr>
              <w:t>V</w:t>
            </w:r>
            <w:r w:rsidRPr="00B0618E">
              <w:t xml:space="preserve"> parameters at maximum, </w:t>
            </w:r>
            <w:r w:rsidRPr="00B0618E">
              <w:rPr>
                <w:i/>
              </w:rPr>
              <w:t>S</w:t>
            </w:r>
            <w:r w:rsidR="00036549" w:rsidRPr="00B0618E">
              <w:rPr>
                <w:i/>
                <w:vertAlign w:val="subscript"/>
              </w:rPr>
              <w:t>S</w:t>
            </w:r>
            <w:r w:rsidRPr="00B0618E">
              <w:t xml:space="preserve"> parameters at minimum (i.e. high diffusivity)</w:t>
            </w:r>
          </w:p>
        </w:tc>
        <w:tc>
          <w:tcPr>
            <w:tcW w:w="615" w:type="pct"/>
            <w:noWrap/>
            <w:hideMark/>
          </w:tcPr>
          <w:p w14:paraId="55D2A8D8" w14:textId="77777777" w:rsidR="003E1BFA" w:rsidRPr="00B0618E" w:rsidRDefault="003E1BFA" w:rsidP="00740460">
            <w:pPr>
              <w:pStyle w:val="TableText"/>
              <w:keepNext/>
              <w:cnfStyle w:val="000000000000" w:firstRow="0" w:lastRow="0" w:firstColumn="0" w:lastColumn="0" w:oddVBand="0" w:evenVBand="0" w:oddHBand="0" w:evenHBand="0" w:firstRowFirstColumn="0" w:firstRowLastColumn="0" w:lastRowFirstColumn="0" w:lastRowLastColumn="0"/>
            </w:pPr>
            <w:r w:rsidRPr="00B0618E">
              <w:t>no</w:t>
            </w:r>
          </w:p>
        </w:tc>
      </w:tr>
      <w:tr w:rsidR="003E1BFA" w:rsidRPr="00B0618E" w14:paraId="2C6DDB5D" w14:textId="77777777" w:rsidTr="00740460">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54" w:type="pct"/>
            <w:noWrap/>
            <w:hideMark/>
          </w:tcPr>
          <w:p w14:paraId="750C9CC9" w14:textId="77777777" w:rsidR="003E1BFA" w:rsidRPr="00B0618E" w:rsidRDefault="003E1BFA" w:rsidP="003E1BFA">
            <w:pPr>
              <w:pStyle w:val="TableText"/>
              <w:rPr>
                <w:b w:val="0"/>
              </w:rPr>
            </w:pPr>
            <w:r w:rsidRPr="00B0618E">
              <w:rPr>
                <w:b w:val="0"/>
              </w:rPr>
              <w:t>11</w:t>
            </w:r>
          </w:p>
        </w:tc>
        <w:tc>
          <w:tcPr>
            <w:tcW w:w="3831" w:type="pct"/>
            <w:noWrap/>
            <w:hideMark/>
          </w:tcPr>
          <w:p w14:paraId="7FE7C30D" w14:textId="77777777" w:rsidR="003E1BFA" w:rsidRPr="00B0618E" w:rsidRDefault="003E1BFA" w:rsidP="00036549">
            <w:pPr>
              <w:pStyle w:val="TableText"/>
              <w:cnfStyle w:val="000000100000" w:firstRow="0" w:lastRow="0" w:firstColumn="0" w:lastColumn="0" w:oddVBand="0" w:evenVBand="0" w:oddHBand="1" w:evenHBand="0" w:firstRowFirstColumn="0" w:firstRowLastColumn="0" w:lastRowFirstColumn="0" w:lastRowLastColumn="0"/>
            </w:pPr>
            <w:r w:rsidRPr="00B0618E">
              <w:rPr>
                <w:i/>
              </w:rPr>
              <w:t>K</w:t>
            </w:r>
            <w:r w:rsidR="00036549" w:rsidRPr="00B0618E">
              <w:rPr>
                <w:i/>
                <w:vertAlign w:val="subscript"/>
              </w:rPr>
              <w:t>H</w:t>
            </w:r>
            <w:r w:rsidR="001D5947" w:rsidRPr="00B0618E">
              <w:t xml:space="preserve"> and </w:t>
            </w:r>
            <w:r w:rsidRPr="00B0618E">
              <w:rPr>
                <w:i/>
              </w:rPr>
              <w:t>K</w:t>
            </w:r>
            <w:r w:rsidR="00036549" w:rsidRPr="00B0618E">
              <w:rPr>
                <w:i/>
                <w:vertAlign w:val="subscript"/>
              </w:rPr>
              <w:t>V</w:t>
            </w:r>
            <w:r w:rsidRPr="00B0618E">
              <w:t xml:space="preserve"> parameters at minimum, </w:t>
            </w:r>
            <w:r w:rsidRPr="00B0618E">
              <w:rPr>
                <w:i/>
              </w:rPr>
              <w:t>S</w:t>
            </w:r>
            <w:r w:rsidR="00036549" w:rsidRPr="00B0618E">
              <w:rPr>
                <w:i/>
                <w:vertAlign w:val="subscript"/>
              </w:rPr>
              <w:t>S</w:t>
            </w:r>
            <w:r w:rsidRPr="00B0618E">
              <w:t xml:space="preserve"> parameters at maximum (i.e. low diffusivity)</w:t>
            </w:r>
          </w:p>
        </w:tc>
        <w:tc>
          <w:tcPr>
            <w:tcW w:w="615" w:type="pct"/>
            <w:noWrap/>
            <w:hideMark/>
          </w:tcPr>
          <w:p w14:paraId="7932C99F" w14:textId="77777777" w:rsidR="003E1BFA" w:rsidRPr="00B0618E" w:rsidRDefault="003E1BFA" w:rsidP="00740460">
            <w:pPr>
              <w:pStyle w:val="TableText"/>
              <w:cnfStyle w:val="000000100000" w:firstRow="0" w:lastRow="0" w:firstColumn="0" w:lastColumn="0" w:oddVBand="0" w:evenVBand="0" w:oddHBand="1" w:evenHBand="0" w:firstRowFirstColumn="0" w:firstRowLastColumn="0" w:lastRowFirstColumn="0" w:lastRowLastColumn="0"/>
            </w:pPr>
            <w:r w:rsidRPr="00B0618E">
              <w:t>yes</w:t>
            </w:r>
          </w:p>
        </w:tc>
      </w:tr>
    </w:tbl>
    <w:p w14:paraId="0D854958" w14:textId="77777777" w:rsidR="003E1BFA" w:rsidRPr="00B0618E" w:rsidRDefault="003E1BFA" w:rsidP="003E1BFA">
      <w:pPr>
        <w:pStyle w:val="BodyText"/>
      </w:pPr>
    </w:p>
    <w:p w14:paraId="4538E0CE" w14:textId="0B5CF9F5" w:rsidR="003E1BFA" w:rsidRPr="00B0618E" w:rsidRDefault="00DF7303" w:rsidP="004E5193">
      <w:pPr>
        <w:pStyle w:val="BodyText"/>
      </w:pPr>
      <w:r w:rsidRPr="00B0618E">
        <w:rPr>
          <w:color w:val="auto"/>
        </w:rPr>
        <w:t>Seven of the 13 parameter combinations tested did not achieve convergence. These included</w:t>
      </w:r>
      <w:r w:rsidR="003E1BFA" w:rsidRPr="00B0618E">
        <w:rPr>
          <w:color w:val="auto"/>
        </w:rPr>
        <w:t xml:space="preserve">: when all parameters were set to their minimum or maximum values; when all </w:t>
      </w:r>
      <w:r w:rsidR="003E1BFA" w:rsidRPr="00B0618E">
        <w:rPr>
          <w:i/>
          <w:color w:val="auto"/>
        </w:rPr>
        <w:t>K</w:t>
      </w:r>
      <w:r w:rsidR="00036549" w:rsidRPr="00B0618E">
        <w:rPr>
          <w:i/>
          <w:color w:val="auto"/>
          <w:vertAlign w:val="subscript"/>
        </w:rPr>
        <w:t>H</w:t>
      </w:r>
      <w:r w:rsidR="003E1BFA" w:rsidRPr="00B0618E">
        <w:rPr>
          <w:color w:val="auto"/>
        </w:rPr>
        <w:t xml:space="preserve"> parameters were set to their minimum or maximum values; when all </w:t>
      </w:r>
      <w:r w:rsidR="003E1BFA" w:rsidRPr="00B0618E">
        <w:rPr>
          <w:i/>
          <w:color w:val="auto"/>
        </w:rPr>
        <w:t>K</w:t>
      </w:r>
      <w:r w:rsidR="00036549" w:rsidRPr="00B0618E">
        <w:rPr>
          <w:i/>
          <w:color w:val="auto"/>
          <w:vertAlign w:val="subscript"/>
        </w:rPr>
        <w:t>V</w:t>
      </w:r>
      <w:r w:rsidR="003E1BFA" w:rsidRPr="00B0618E">
        <w:rPr>
          <w:color w:val="auto"/>
        </w:rPr>
        <w:t xml:space="preserve"> parameters were set</w:t>
      </w:r>
      <w:r w:rsidR="003E1BFA" w:rsidRPr="00B0618E">
        <w:t xml:space="preserve"> </w:t>
      </w:r>
      <w:r w:rsidR="003E1BFA" w:rsidRPr="00B0618E">
        <w:rPr>
          <w:color w:val="auto"/>
        </w:rPr>
        <w:t>to their minimum value; and when all hydraulic diffusivity values were set to their maximum value.</w:t>
      </w:r>
      <w:r w:rsidR="00B34EE8" w:rsidRPr="00B0618E">
        <w:rPr>
          <w:color w:val="auto"/>
        </w:rPr>
        <w:t xml:space="preserve"> Based on these </w:t>
      </w:r>
      <w:r w:rsidR="00B34EE8" w:rsidRPr="00B0618E">
        <w:t xml:space="preserve">results, it was decided to </w:t>
      </w:r>
      <w:r w:rsidR="00467D88" w:rsidRPr="00B0618E">
        <w:t>reduce the initial parameter range from four to two orders of magnitude.</w:t>
      </w:r>
      <w:r w:rsidR="00F170EF" w:rsidRPr="00B0618E">
        <w:t xml:space="preserve"> For the latter conditions the model did converge</w:t>
      </w:r>
      <w:r w:rsidR="00124B5D" w:rsidRPr="00B0618E">
        <w:t>.</w:t>
      </w:r>
    </w:p>
    <w:p w14:paraId="32150D5D" w14:textId="2DC3DFB2" w:rsidR="004E5193" w:rsidRPr="00B0618E" w:rsidRDefault="0034157C" w:rsidP="004E5193">
      <w:pPr>
        <w:pStyle w:val="Heading2"/>
      </w:pPr>
      <w:bookmarkStart w:id="51" w:name="_Ref479501980"/>
      <w:bookmarkStart w:id="52" w:name="_Toc483127573"/>
      <w:r w:rsidRPr="00B0618E">
        <w:t>Prediction s</w:t>
      </w:r>
      <w:r w:rsidR="004E5193" w:rsidRPr="00B0618E">
        <w:t xml:space="preserve">ensitivity </w:t>
      </w:r>
      <w:r w:rsidRPr="00B0618E">
        <w:t xml:space="preserve">and uncertainty </w:t>
      </w:r>
      <w:r w:rsidR="004E5193" w:rsidRPr="00B0618E">
        <w:t>analysis</w:t>
      </w:r>
      <w:r w:rsidR="005071A4" w:rsidRPr="00B0618E">
        <w:t xml:space="preserve"> - Methods</w:t>
      </w:r>
      <w:bookmarkEnd w:id="51"/>
      <w:bookmarkEnd w:id="52"/>
    </w:p>
    <w:p w14:paraId="6CAE6A0C" w14:textId="2C51EEE4" w:rsidR="0059572B" w:rsidRDefault="00882D65" w:rsidP="00882D65">
      <w:pPr>
        <w:pStyle w:val="BodyText"/>
      </w:pPr>
      <w:r w:rsidRPr="00B0618E">
        <w:t xml:space="preserve">A global sensitivity analysis of the transient </w:t>
      </w:r>
      <w:r w:rsidR="00045A85">
        <w:t>CDM Smith (2016)</w:t>
      </w:r>
      <w:r w:rsidR="00E253E9" w:rsidRPr="00B0618E">
        <w:t xml:space="preserve"> </w:t>
      </w:r>
      <w:r w:rsidRPr="00B0618E">
        <w:t>coal seam gas production impact mod</w:t>
      </w:r>
      <w:r w:rsidR="004B07A1" w:rsidRPr="00B0618E">
        <w:t xml:space="preserve">el was undertaken using </w:t>
      </w:r>
      <w:r w:rsidR="00AA49F8" w:rsidRPr="00B0618E">
        <w:t xml:space="preserve">two global approaches: (1) the delta moment-independent measure (DMIM; </w:t>
      </w:r>
      <w:r w:rsidRPr="00B0618E">
        <w:t>Borgonovo</w:t>
      </w:r>
      <w:r w:rsidR="00AA49F8" w:rsidRPr="00B0618E">
        <w:t>,</w:t>
      </w:r>
      <w:r w:rsidRPr="00B0618E">
        <w:t xml:space="preserve"> 2007</w:t>
      </w:r>
      <w:r w:rsidR="00AA49F8" w:rsidRPr="00B0618E">
        <w:t xml:space="preserve">; </w:t>
      </w:r>
      <w:r w:rsidRPr="00B0618E">
        <w:t>Plischke et al.</w:t>
      </w:r>
      <w:r w:rsidR="00AA49F8" w:rsidRPr="00B0618E">
        <w:t>,</w:t>
      </w:r>
      <w:r w:rsidRPr="00B0618E">
        <w:t xml:space="preserve"> 2013)</w:t>
      </w:r>
      <w:r w:rsidR="00AA49F8" w:rsidRPr="00B0618E">
        <w:t>, and; (2) a variance-based measure (Sobol’, 2001).</w:t>
      </w:r>
      <w:r w:rsidR="008F6E15" w:rsidRPr="00B0618E">
        <w:t xml:space="preserve"> Global sensitivity analyses, which provide a comprehensive assessment of the sensitivity of modelled outputs to model parameter variation, is currently under-utilised</w:t>
      </w:r>
      <w:r w:rsidR="00FB659D" w:rsidRPr="00B0618E">
        <w:t xml:space="preserve"> (</w:t>
      </w:r>
      <w:r w:rsidR="00670232" w:rsidRPr="00B0618E">
        <w:t>Saltelli et al., 2008</w:t>
      </w:r>
      <w:r w:rsidR="00C6578C">
        <w:t>; Pianosi et al., 2016</w:t>
      </w:r>
      <w:r w:rsidR="00FB659D" w:rsidRPr="00B0618E">
        <w:t>)</w:t>
      </w:r>
      <w:r w:rsidR="008F6E15" w:rsidRPr="00B0618E">
        <w:t xml:space="preserve">. Instead, local, one-at-a-time (OAT) sensitivity analyses are employed in </w:t>
      </w:r>
      <w:r w:rsidR="008F6E15" w:rsidRPr="00B0618E">
        <w:rPr>
          <w:color w:val="auto"/>
        </w:rPr>
        <w:t>the vast majority</w:t>
      </w:r>
      <w:r w:rsidR="00A15FA6" w:rsidRPr="00B0618E">
        <w:rPr>
          <w:color w:val="auto"/>
        </w:rPr>
        <w:t xml:space="preserve"> (i.e., 96 %)</w:t>
      </w:r>
      <w:r w:rsidR="008F6E15" w:rsidRPr="00B0618E">
        <w:rPr>
          <w:color w:val="auto"/>
        </w:rPr>
        <w:t xml:space="preserve"> of </w:t>
      </w:r>
      <w:r w:rsidR="004955E1" w:rsidRPr="00B0618E">
        <w:rPr>
          <w:color w:val="auto"/>
        </w:rPr>
        <w:t>all published</w:t>
      </w:r>
      <w:r w:rsidR="008F6E15" w:rsidRPr="00B0618E">
        <w:rPr>
          <w:color w:val="auto"/>
        </w:rPr>
        <w:t xml:space="preserve"> model sensitivity analyses</w:t>
      </w:r>
      <w:r w:rsidR="00A15FA6" w:rsidRPr="00B0618E">
        <w:rPr>
          <w:color w:val="auto"/>
        </w:rPr>
        <w:t xml:space="preserve"> (Ferretti et al., 2016)</w:t>
      </w:r>
      <w:r w:rsidR="008F6E15" w:rsidRPr="00B0618E">
        <w:rPr>
          <w:color w:val="auto"/>
        </w:rPr>
        <w:t xml:space="preserve">. </w:t>
      </w:r>
      <w:r w:rsidR="00F31A7E">
        <w:rPr>
          <w:color w:val="auto"/>
        </w:rPr>
        <w:t xml:space="preserve">Model outputs generated through global sensitivity analyses were also used as bases for prediction uncertainty quantification. </w:t>
      </w:r>
      <w:r w:rsidR="00B34EE8" w:rsidRPr="00B0618E">
        <w:rPr>
          <w:color w:val="auto"/>
        </w:rPr>
        <w:t xml:space="preserve">In order </w:t>
      </w:r>
      <w:r w:rsidR="00B34EE8" w:rsidRPr="00B0618E">
        <w:t xml:space="preserve">to </w:t>
      </w:r>
      <w:r w:rsidR="00664903" w:rsidRPr="00B0618E">
        <w:t>explain</w:t>
      </w:r>
      <w:r w:rsidR="00B34EE8" w:rsidRPr="00B0618E">
        <w:t xml:space="preserve"> the advantages of global approaches </w:t>
      </w:r>
      <w:r w:rsidR="00670232" w:rsidRPr="00B0618E">
        <w:t xml:space="preserve">over local </w:t>
      </w:r>
      <w:r w:rsidR="00B34EE8" w:rsidRPr="00B0618E">
        <w:t xml:space="preserve">sensitivity analysis, </w:t>
      </w:r>
      <w:r w:rsidR="008F6E15" w:rsidRPr="00B0618E">
        <w:t xml:space="preserve">local OAT sensitivity analyses </w:t>
      </w:r>
      <w:r w:rsidR="00664903" w:rsidRPr="00B0618E">
        <w:t>are first described</w:t>
      </w:r>
      <w:r w:rsidR="008F6E15" w:rsidRPr="00B0618E">
        <w:t>.</w:t>
      </w:r>
    </w:p>
    <w:p w14:paraId="0E9F656D" w14:textId="77777777" w:rsidR="0083549A" w:rsidRPr="00B0618E" w:rsidRDefault="0083549A" w:rsidP="0083549A">
      <w:pPr>
        <w:pStyle w:val="Heading3"/>
      </w:pPr>
      <w:r w:rsidRPr="00B0618E">
        <w:t>One-at-a-time sensitivity analysis</w:t>
      </w:r>
    </w:p>
    <w:p w14:paraId="1402C95D" w14:textId="57995A24" w:rsidR="0083549A" w:rsidRPr="00B0618E" w:rsidRDefault="0083549A" w:rsidP="0083549A">
      <w:pPr>
        <w:pStyle w:val="BodyText"/>
        <w:rPr>
          <w:color w:val="auto"/>
        </w:rPr>
      </w:pPr>
      <w:r w:rsidRPr="00B0618E">
        <w:rPr>
          <w:color w:val="auto"/>
        </w:rPr>
        <w:t>Local sensitivity analysis is typically performed using a one-at-a-time procedure. Here, a base set of parameter values is assumed, which is often derived from deterministic model calibration. For a given modelled prediction, each model parameter value is adjusted by an infinitesimal amount (typically ±1 %) while all other parameters retain “base” values; e.</w:t>
      </w:r>
      <w:r>
        <w:rPr>
          <w:color w:val="auto"/>
        </w:rPr>
        <w:t>g.,</w:t>
      </w:r>
      <w:r w:rsidRPr="00B0618E">
        <w:rPr>
          <w:color w:val="auto"/>
        </w:rPr>
        <w:t xml:space="preserve"> </w:t>
      </w:r>
      <w:r>
        <w:rPr>
          <w:color w:val="auto"/>
        </w:rPr>
        <w:t xml:space="preserve">for a forward finite difference </w:t>
      </w:r>
      <w:r w:rsidRPr="00B0618E">
        <w:rPr>
          <w:color w:val="auto"/>
        </w:rPr>
        <w:t>(Saltelli et al., 2000)</w:t>
      </w:r>
      <w:r w:rsidR="0068249A">
        <w:rPr>
          <w:color w:val="auto"/>
        </w:rPr>
        <w:t>:</w:t>
      </w:r>
    </w:p>
    <w:p w14:paraId="49F3A231" w14:textId="1288AC53" w:rsidR="0083549A" w:rsidRPr="00B0618E" w:rsidRDefault="0083549A" w:rsidP="0083549A">
      <w:pPr>
        <w:pStyle w:val="BodyText"/>
        <w:tabs>
          <w:tab w:val="center" w:pos="4253"/>
          <w:tab w:val="right" w:pos="9638"/>
        </w:tabs>
      </w:pPr>
      <w:r w:rsidRPr="00B0618E">
        <w:tab/>
      </w:r>
      <m:oMath>
        <m:r>
          <w:rPr>
            <w:rFonts w:ascii="Cambria Math" w:hAnsi="Cambria Math"/>
          </w:rPr>
          <m:t>OAT</m:t>
        </m:r>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i</m:t>
                </m:r>
              </m:sub>
            </m:sSub>
          </m:e>
        </m:d>
        <m:r>
          <w:rPr>
            <w:rFonts w:ascii="Cambria Math" w:hAnsi="Cambria Math"/>
          </w:rPr>
          <m:t>=</m:t>
        </m:r>
        <m:f>
          <m:fPr>
            <m:ctrlPr>
              <w:rPr>
                <w:rFonts w:ascii="Cambria Math" w:hAnsi="Cambria Math"/>
                <w:i/>
              </w:rPr>
            </m:ctrlPr>
          </m:fPr>
          <m:num>
            <m:r>
              <w:rPr>
                <w:rFonts w:ascii="Cambria Math" w:hAnsi="Cambria Math"/>
              </w:rPr>
              <m:t>Y|</m:t>
            </m:r>
            <m:sSub>
              <m:sSubPr>
                <m:ctrlPr>
                  <w:rPr>
                    <w:rFonts w:ascii="Cambria Math" w:hAnsi="Cambria Math"/>
                    <w:i/>
                  </w:rPr>
                </m:ctrlPr>
              </m:sSubPr>
              <m:e>
                <m:r>
                  <w:rPr>
                    <w:rFonts w:ascii="Cambria Math" w:hAnsi="Cambria Math"/>
                  </w:rPr>
                  <m:t>X</m:t>
                </m:r>
              </m:e>
              <m:sub>
                <m:r>
                  <w:rPr>
                    <w:rFonts w:ascii="Cambria Math" w:hAnsi="Cambria Math"/>
                  </w:rPr>
                  <m:t>i=x*1.01</m:t>
                </m:r>
              </m:sub>
            </m:sSub>
            <m:r>
              <w:rPr>
                <w:rFonts w:ascii="Cambria Math" w:hAnsi="Cambria Math"/>
              </w:rPr>
              <m:t>-Y|</m:t>
            </m:r>
            <m:sSub>
              <m:sSubPr>
                <m:ctrlPr>
                  <w:rPr>
                    <w:rFonts w:ascii="Cambria Math" w:hAnsi="Cambria Math"/>
                    <w:i/>
                  </w:rPr>
                </m:ctrlPr>
              </m:sSubPr>
              <m:e>
                <m:r>
                  <w:rPr>
                    <w:rFonts w:ascii="Cambria Math" w:hAnsi="Cambria Math"/>
                  </w:rPr>
                  <m:t>X</m:t>
                </m:r>
              </m:e>
              <m:sub>
                <m:r>
                  <w:rPr>
                    <w:rFonts w:ascii="Cambria Math" w:hAnsi="Cambria Math"/>
                  </w:rPr>
                  <m:t>i=x</m:t>
                </m:r>
              </m:sub>
            </m:sSub>
          </m:num>
          <m:den>
            <m:sSub>
              <m:sSubPr>
                <m:ctrlPr>
                  <w:rPr>
                    <w:rFonts w:ascii="Cambria Math" w:hAnsi="Cambria Math"/>
                    <w:i/>
                  </w:rPr>
                </m:ctrlPr>
              </m:sSubPr>
              <m:e>
                <m:r>
                  <w:rPr>
                    <w:rFonts w:ascii="Cambria Math" w:hAnsi="Cambria Math"/>
                  </w:rPr>
                  <m:t>X</m:t>
                </m:r>
              </m:e>
              <m:sub>
                <m:r>
                  <w:rPr>
                    <w:rFonts w:ascii="Cambria Math" w:hAnsi="Cambria Math"/>
                  </w:rPr>
                  <m:t>i=x*1.01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i=x</m:t>
                </m:r>
              </m:sub>
            </m:sSub>
          </m:den>
        </m:f>
      </m:oMath>
      <w:r w:rsidRPr="00B0618E">
        <w:tab/>
        <w:t>(</w:t>
      </w:r>
      <w:r w:rsidR="00F63202">
        <w:t>2</w:t>
      </w:r>
      <w:r w:rsidRPr="00B0618E">
        <w:t>)</w:t>
      </w:r>
    </w:p>
    <w:p w14:paraId="22A20E7D" w14:textId="2310C3D4" w:rsidR="0083549A" w:rsidRDefault="0083549A" w:rsidP="0083549A">
      <w:pPr>
        <w:pStyle w:val="BodyText"/>
        <w:rPr>
          <w:color w:val="auto"/>
        </w:rPr>
      </w:pPr>
      <w:r w:rsidRPr="00111547">
        <w:rPr>
          <w:color w:val="auto"/>
        </w:rPr>
        <w:t xml:space="preserve">where </w:t>
      </w:r>
      <m:oMath>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 xml:space="preserve"> </m:t>
        </m:r>
      </m:oMath>
      <w:r w:rsidRPr="00111547">
        <w:rPr>
          <w:color w:val="auto"/>
        </w:rPr>
        <w:t xml:space="preserve">= parameter </w:t>
      </w:r>
      <m:oMath>
        <m:r>
          <w:rPr>
            <w:rFonts w:ascii="Cambria Math" w:hAnsi="Cambria Math"/>
          </w:rPr>
          <m:t>i</m:t>
        </m:r>
      </m:oMath>
      <w:r>
        <w:rPr>
          <w:i/>
          <w:color w:val="auto"/>
        </w:rPr>
        <w:t xml:space="preserve"> </w:t>
      </w:r>
      <w:r w:rsidRPr="00111547">
        <w:rPr>
          <w:color w:val="auto"/>
        </w:rPr>
        <w:t>from</w:t>
      </w:r>
      <w:r>
        <w:rPr>
          <w:i/>
          <w:color w:val="auto"/>
        </w:rPr>
        <w:t xml:space="preserve"> </w:t>
      </w:r>
      <w:r w:rsidRPr="00111547">
        <w:rPr>
          <w:color w:val="auto"/>
        </w:rPr>
        <w:t>a set of</w:t>
      </w:r>
      <w:r>
        <w:rPr>
          <w:i/>
          <w:color w:val="auto"/>
        </w:rPr>
        <w:t xml:space="preserve"> </w:t>
      </w:r>
      <w:r>
        <w:rPr>
          <w:color w:val="auto"/>
        </w:rPr>
        <w:t xml:space="preserve">parameters </w:t>
      </w:r>
      <m:oMath>
        <m:sSub>
          <m:sSubPr>
            <m:ctrlPr>
              <w:rPr>
                <w:rFonts w:ascii="Cambria Math" w:hAnsi="Cambria Math"/>
                <w:i/>
              </w:rPr>
            </m:ctrlPr>
          </m:sSubPr>
          <m:e>
            <m:r>
              <w:rPr>
                <w:rFonts w:ascii="Cambria Math" w:hAnsi="Cambria Math"/>
              </w:rPr>
              <m:t>X</m:t>
            </m:r>
          </m:e>
          <m:sub>
            <m:r>
              <w:rPr>
                <w:rFonts w:ascii="Cambria Math" w:hAnsi="Cambria Math"/>
              </w:rPr>
              <m:t>i=1…N</m:t>
            </m:r>
          </m:sub>
        </m:sSub>
      </m:oMath>
      <w:r>
        <w:t xml:space="preserve"> </w:t>
      </w:r>
      <w:r>
        <w:rPr>
          <w:color w:val="auto"/>
        </w:rPr>
        <w:t xml:space="preserve">, </w:t>
      </w:r>
      <m:oMath>
        <m:r>
          <w:rPr>
            <w:rFonts w:ascii="Cambria Math" w:hAnsi="Cambria Math"/>
          </w:rPr>
          <m:t>x</m:t>
        </m:r>
      </m:oMath>
      <w:r>
        <w:t xml:space="preserve"> </w:t>
      </w:r>
      <w:r>
        <w:rPr>
          <w:color w:val="auto"/>
        </w:rPr>
        <w:t xml:space="preserve">= the “base” value of parameter </w:t>
      </w:r>
      <m:oMath>
        <m:r>
          <w:rPr>
            <w:rFonts w:ascii="Cambria Math" w:hAnsi="Cambria Math"/>
          </w:rPr>
          <m:t>i</m:t>
        </m:r>
      </m:oMath>
      <w:r>
        <w:rPr>
          <w:color w:val="auto"/>
        </w:rPr>
        <w:t xml:space="preserve">, and </w:t>
      </w:r>
      <m:oMath>
        <m:r>
          <w:rPr>
            <w:rFonts w:ascii="Cambria Math" w:hAnsi="Cambria Math"/>
            <w:color w:val="auto"/>
          </w:rPr>
          <m:t>Y|X</m:t>
        </m:r>
      </m:oMath>
      <w:r>
        <w:rPr>
          <w:color w:val="auto"/>
        </w:rPr>
        <w:t xml:space="preserve"> </w:t>
      </w:r>
      <w:r w:rsidRPr="00111547">
        <w:rPr>
          <w:color w:val="auto"/>
        </w:rPr>
        <w:t xml:space="preserve">= the value of prediction </w:t>
      </w:r>
      <m:oMath>
        <m:r>
          <w:rPr>
            <w:rFonts w:ascii="Cambria Math" w:hAnsi="Cambria Math"/>
            <w:color w:val="auto"/>
          </w:rPr>
          <m:t>Y</m:t>
        </m:r>
      </m:oMath>
      <w:r w:rsidRPr="00111547">
        <w:rPr>
          <w:color w:val="auto"/>
        </w:rPr>
        <w:t xml:space="preserve"> when </w:t>
      </w:r>
      <w:r>
        <w:rPr>
          <w:color w:val="auto"/>
        </w:rPr>
        <w:t xml:space="preserve">using </w:t>
      </w:r>
      <w:r w:rsidRPr="00111547">
        <w:rPr>
          <w:color w:val="auto"/>
        </w:rPr>
        <w:t xml:space="preserve">parameter </w:t>
      </w:r>
      <w:r>
        <w:rPr>
          <w:color w:val="auto"/>
        </w:rPr>
        <w:t xml:space="preserve">set </w:t>
      </w:r>
      <m:oMath>
        <m:r>
          <w:rPr>
            <w:rFonts w:ascii="Cambria Math" w:hAnsi="Cambria Math"/>
            <w:color w:val="auto"/>
          </w:rPr>
          <m:t>X</m:t>
        </m:r>
      </m:oMath>
      <w:r w:rsidRPr="00111547">
        <w:rPr>
          <w:color w:val="auto"/>
        </w:rPr>
        <w:t>. Although trivial to apply, the inability to vary parameter values simultaneously in this approach</w:t>
      </w:r>
      <w:r w:rsidRPr="00B0618E">
        <w:rPr>
          <w:color w:val="auto"/>
        </w:rPr>
        <w:t xml:space="preserve"> typically results in gross undersampling of the range of possible models and, therefore, predictions. For example, OAT sensitivity analysis of a </w:t>
      </w:r>
      <w:r>
        <w:rPr>
          <w:color w:val="auto"/>
        </w:rPr>
        <w:t xml:space="preserve">twelve </w:t>
      </w:r>
      <w:r w:rsidRPr="00B0618E">
        <w:rPr>
          <w:color w:val="auto"/>
        </w:rPr>
        <w:t>parameter model will explore less than one</w:t>
      </w:r>
      <w:r>
        <w:rPr>
          <w:color w:val="auto"/>
        </w:rPr>
        <w:t xml:space="preserve">-thousandth </w:t>
      </w:r>
      <w:r w:rsidRPr="00B0618E">
        <w:rPr>
          <w:color w:val="auto"/>
        </w:rPr>
        <w:t>of the total number of possible parameter combinations (Saltelli</w:t>
      </w:r>
      <w:r>
        <w:rPr>
          <w:color w:val="auto"/>
        </w:rPr>
        <w:t xml:space="preserve"> and Annoni</w:t>
      </w:r>
      <w:r w:rsidRPr="00B0618E">
        <w:rPr>
          <w:color w:val="auto"/>
        </w:rPr>
        <w:t>, 201</w:t>
      </w:r>
      <w:r>
        <w:rPr>
          <w:color w:val="auto"/>
        </w:rPr>
        <w:t>0</w:t>
      </w:r>
      <w:r w:rsidRPr="00B0618E">
        <w:rPr>
          <w:color w:val="auto"/>
        </w:rPr>
        <w:t>).</w:t>
      </w:r>
      <w:r>
        <w:rPr>
          <w:color w:val="auto"/>
        </w:rPr>
        <w:t xml:space="preserve"> Furthermore, OAT approaches assume that relationships between a prediction and model parameters are independent. For models featuring considerable correlation between parameters (such as </w:t>
      </w:r>
      <w:r w:rsidR="004900B0">
        <w:rPr>
          <w:color w:val="auto"/>
        </w:rPr>
        <w:t>many</w:t>
      </w:r>
      <w:r w:rsidR="0043246D">
        <w:rPr>
          <w:color w:val="auto"/>
        </w:rPr>
        <w:t xml:space="preserve"> </w:t>
      </w:r>
      <w:r>
        <w:rPr>
          <w:color w:val="auto"/>
        </w:rPr>
        <w:t>groundwater flow models), this assumption may be invalidated. Consequently, for such models, estimates of prediction uncertainty based on OAT sensitivity analyses are not robust</w:t>
      </w:r>
      <w:r w:rsidRPr="00111547">
        <w:rPr>
          <w:color w:val="auto"/>
        </w:rPr>
        <w:t>.</w:t>
      </w:r>
      <w:r>
        <w:rPr>
          <w:color w:val="auto"/>
        </w:rPr>
        <w:t xml:space="preserve"> The ability to explore the effects of parameter correlation on prediction uncertainty was a key motivation behind the development of global sensitivity metrics.</w:t>
      </w:r>
    </w:p>
    <w:p w14:paraId="28957836" w14:textId="77777777" w:rsidR="00471FBE" w:rsidRPr="00B0618E" w:rsidRDefault="00471FBE" w:rsidP="00471FBE">
      <w:pPr>
        <w:pStyle w:val="Heading3"/>
      </w:pPr>
      <w:r w:rsidRPr="00B0618E">
        <w:t xml:space="preserve">Delta </w:t>
      </w:r>
      <w:r>
        <w:t>M</w:t>
      </w:r>
      <w:r w:rsidRPr="00B0618E">
        <w:t>oment-</w:t>
      </w:r>
      <w:r>
        <w:t>I</w:t>
      </w:r>
      <w:r w:rsidRPr="00B0618E">
        <w:t xml:space="preserve">ndependent </w:t>
      </w:r>
      <w:r>
        <w:t>M</w:t>
      </w:r>
      <w:r w:rsidRPr="00B0618E">
        <w:t>easure</w:t>
      </w:r>
    </w:p>
    <w:p w14:paraId="0931681E" w14:textId="010B85C5" w:rsidR="00471FBE" w:rsidRDefault="00471FBE" w:rsidP="00471FBE">
      <w:pPr>
        <w:pStyle w:val="BodyText"/>
      </w:pPr>
      <w:r w:rsidRPr="00B0618E">
        <w:t>The first global method used is known as the Delta Moment-Independent Measure (</w:t>
      </w:r>
      <w:r>
        <w:t xml:space="preserve">DMIM; </w:t>
      </w:r>
      <w:r w:rsidRPr="00B0618E">
        <w:t xml:space="preserve">Borgonovo et al., 2007; Plischke et al., 2013). </w:t>
      </w:r>
      <w:r>
        <w:t xml:space="preserve">The DMIM approach is based upon computing the differences in mass density between probability density functions (PDFs) of prediction values computed (A) when all parameter values are varied simultaneously and (B) when one parameter of interest is fixed at a constant value. An example of this approach is provided in </w:t>
      </w:r>
      <w:r>
        <w:rPr>
          <w:highlight w:val="yellow"/>
        </w:rPr>
        <w:fldChar w:fldCharType="begin"/>
      </w:r>
      <w:r>
        <w:instrText xml:space="preserve"> REF _Ref481070224 \h </w:instrText>
      </w:r>
      <w:r>
        <w:rPr>
          <w:highlight w:val="yellow"/>
        </w:rPr>
      </w:r>
      <w:r>
        <w:rPr>
          <w:highlight w:val="yellow"/>
        </w:rPr>
        <w:fldChar w:fldCharType="separate"/>
      </w:r>
      <w:r w:rsidR="000B6FA5" w:rsidRPr="00B0618E">
        <w:t xml:space="preserve">Figure </w:t>
      </w:r>
      <w:r w:rsidR="000B6FA5">
        <w:rPr>
          <w:noProof/>
        </w:rPr>
        <w:t>3</w:t>
      </w:r>
      <w:r w:rsidR="000B6FA5">
        <w:noBreakHyphen/>
      </w:r>
      <w:r w:rsidR="000B6FA5">
        <w:rPr>
          <w:noProof/>
        </w:rPr>
        <w:t>1</w:t>
      </w:r>
      <w:r>
        <w:rPr>
          <w:highlight w:val="yellow"/>
        </w:rPr>
        <w:fldChar w:fldCharType="end"/>
      </w:r>
      <w:r>
        <w:t xml:space="preserve">. The PDF of (A) is represented by a solid red line while the PDF of (B) is represented by a dashed blue line. The difference between these two PDFs is represented by the solid black shading. Mathematically, this difference in mass density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(x)</m:t>
            </m:r>
          </m:e>
        </m:d>
      </m:oMath>
      <w:r>
        <w:t xml:space="preserve"> is expressed as (Plischke et al., 2013)</w:t>
      </w:r>
      <w:r w:rsidR="0043246D">
        <w:t>:</w:t>
      </w:r>
    </w:p>
    <w:p w14:paraId="4773F8BA" w14:textId="6D922151" w:rsidR="00471FBE" w:rsidRDefault="00471FBE" w:rsidP="00471FBE">
      <w:pPr>
        <w:pStyle w:val="BodyText"/>
        <w:tabs>
          <w:tab w:val="center" w:pos="4253"/>
          <w:tab w:val="right" w:pos="9638"/>
        </w:tabs>
      </w:pPr>
      <w:r w:rsidRPr="00B0618E">
        <w:tab/>
      </w:r>
      <m:oMath>
        <m:r>
          <w:rPr>
            <w:rFonts w:ascii="Cambria Math" w:hAnsi="Cambria Math"/>
          </w:rPr>
          <m:t xml:space="preserve"> </m:t>
        </m:r>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(x)=</m:t>
        </m:r>
        <m:nary>
          <m:naryPr>
            <m:limLoc m:val="subSup"/>
            <m:ctrlPr>
              <w:rPr>
                <w:rFonts w:ascii="Cambria Math" w:hAnsi="Cambria Math"/>
                <w:i/>
              </w:rPr>
            </m:ctrlPr>
          </m:naryPr>
          <m:sub>
            <m:r>
              <w:rPr>
                <w:rFonts w:ascii="Cambria Math" w:hAnsi="Cambria Math"/>
              </w:rPr>
              <m:t>y</m:t>
            </m:r>
          </m:sub>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Y</m:t>
                    </m:r>
                  </m:sub>
                </m:sSub>
                <m:d>
                  <m:dPr>
                    <m:ctrlPr>
                      <w:rPr>
                        <w:rFonts w:ascii="Cambria Math" w:hAnsi="Cambria Math"/>
                        <w:i/>
                      </w:rPr>
                    </m:ctrlPr>
                  </m:dPr>
                  <m:e>
                    <m:r>
                      <w:rPr>
                        <w:rFonts w:ascii="Cambria Math" w:hAnsi="Cambria Math"/>
                      </w:rPr>
                      <m:t>y</m:t>
                    </m:r>
                  </m:e>
                </m:d>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Y|</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=x</m:t>
                    </m:r>
                  </m:sub>
                </m:sSub>
                <m:d>
                  <m:dPr>
                    <m:ctrlPr>
                      <w:rPr>
                        <w:rFonts w:ascii="Cambria Math" w:hAnsi="Cambria Math"/>
                        <w:i/>
                      </w:rPr>
                    </m:ctrlPr>
                  </m:dPr>
                  <m:e>
                    <m:r>
                      <w:rPr>
                        <w:rFonts w:ascii="Cambria Math" w:hAnsi="Cambria Math"/>
                      </w:rPr>
                      <m:t>y</m:t>
                    </m:r>
                  </m:e>
                </m:d>
              </m:e>
            </m:d>
            <m:r>
              <w:rPr>
                <w:rFonts w:ascii="Cambria Math" w:hAnsi="Cambria Math"/>
              </w:rPr>
              <m:t xml:space="preserve"> </m:t>
            </m:r>
            <m:r>
              <m:rPr>
                <m:sty m:val="p"/>
              </m:rPr>
              <w:rPr>
                <w:rFonts w:ascii="Cambria Math" w:hAnsi="Cambria Math"/>
              </w:rPr>
              <m:t>d</m:t>
            </m:r>
            <m:r>
              <w:rPr>
                <w:rFonts w:ascii="Cambria Math" w:hAnsi="Cambria Math"/>
              </w:rPr>
              <m:t>y</m:t>
            </m:r>
          </m:e>
        </m:nary>
      </m:oMath>
      <w:r w:rsidRPr="00B0618E">
        <w:tab/>
        <w:t>(</w:t>
      </w:r>
      <w:r w:rsidR="00F63202">
        <w:t>3</w:t>
      </w:r>
      <w:r w:rsidRPr="00B0618E">
        <w:t>)</w:t>
      </w:r>
    </w:p>
    <w:p w14:paraId="4719C964" w14:textId="77777777" w:rsidR="00471FBE" w:rsidRPr="00B0618E" w:rsidRDefault="00471FBE" w:rsidP="00471FBE">
      <w:pPr>
        <w:pStyle w:val="BodyText"/>
      </w:pPr>
      <w:r>
        <w:t xml:space="preserve">where </w:t>
      </w:r>
      <m:oMath>
        <m:sSub>
          <m:sSubPr>
            <m:ctrlPr>
              <w:rPr>
                <w:rFonts w:ascii="Cambria Math" w:hAnsi="Cambria Math"/>
                <w:i/>
              </w:rPr>
            </m:ctrlPr>
          </m:sSubPr>
          <m:e>
            <m:r>
              <w:rPr>
                <w:rFonts w:ascii="Cambria Math" w:hAnsi="Cambria Math"/>
              </w:rPr>
              <m:t>f</m:t>
            </m:r>
          </m:e>
          <m:sub>
            <m:r>
              <w:rPr>
                <w:rFonts w:ascii="Cambria Math" w:hAnsi="Cambria Math"/>
              </w:rPr>
              <m:t>Y</m:t>
            </m:r>
          </m:sub>
        </m:sSub>
        <m:d>
          <m:dPr>
            <m:ctrlPr>
              <w:rPr>
                <w:rFonts w:ascii="Cambria Math" w:hAnsi="Cambria Math"/>
                <w:i/>
              </w:rPr>
            </m:ctrlPr>
          </m:dPr>
          <m:e>
            <m:r>
              <w:rPr>
                <w:rFonts w:ascii="Cambria Math" w:hAnsi="Cambria Math"/>
              </w:rPr>
              <m:t>y</m:t>
            </m:r>
          </m:e>
        </m:d>
      </m:oMath>
      <w:r>
        <w:t xml:space="preserve"> represents the PDF of predictions </w:t>
      </w:r>
      <m:oMath>
        <m:r>
          <w:rPr>
            <w:rFonts w:ascii="Cambria Math" w:hAnsi="Cambria Math"/>
            <w:color w:val="auto"/>
          </w:rPr>
          <m:t>y</m:t>
        </m:r>
      </m:oMath>
      <w:r>
        <w:t xml:space="preserve"> and </w:t>
      </w:r>
      <m:oMath>
        <m:d>
          <m:dPr>
            <m:begChr m:val="|"/>
            <m:endChr m:val="|"/>
            <m:ctrlPr>
              <w:rPr>
                <w:rFonts w:ascii="Cambria Math" w:hAnsi="Cambria Math"/>
                <w:i/>
              </w:rPr>
            </m:ctrlPr>
          </m:dPr>
          <m:e>
            <m:r>
              <w:rPr>
                <w:rFonts w:ascii="Cambria Math" w:hAnsi="Cambria Math"/>
              </w:rPr>
              <m:t>∙</m:t>
            </m:r>
          </m:e>
        </m:d>
      </m:oMath>
      <w:r>
        <w:t xml:space="preserve"> represents the L</w:t>
      </w:r>
      <w:r w:rsidRPr="00111547">
        <w:rPr>
          <w:vertAlign w:val="superscript"/>
        </w:rPr>
        <w:t>1</w:t>
      </w:r>
      <w:r>
        <w:t xml:space="preserve"> norm; i.e., the sum of absolute values. Essentially, this equation is used to compute the integral with respect to </w:t>
      </w:r>
      <m:oMath>
        <m:r>
          <w:rPr>
            <w:rFonts w:ascii="Cambria Math" w:hAnsi="Cambria Math"/>
            <w:color w:val="auto"/>
          </w:rPr>
          <m:t>y</m:t>
        </m:r>
      </m:oMath>
      <w:r>
        <w:t xml:space="preserve"> of the absolute difference between the PDF of (A), expressed as </w:t>
      </w:r>
      <m:oMath>
        <m:sSub>
          <m:sSubPr>
            <m:ctrlPr>
              <w:rPr>
                <w:rFonts w:ascii="Cambria Math" w:hAnsi="Cambria Math"/>
                <w:i/>
              </w:rPr>
            </m:ctrlPr>
          </m:sSubPr>
          <m:e>
            <m:r>
              <w:rPr>
                <w:rFonts w:ascii="Cambria Math" w:hAnsi="Cambria Math"/>
              </w:rPr>
              <m:t>f</m:t>
            </m:r>
          </m:e>
          <m:sub>
            <m:r>
              <w:rPr>
                <w:rFonts w:ascii="Cambria Math" w:hAnsi="Cambria Math"/>
              </w:rPr>
              <m:t>Y</m:t>
            </m:r>
          </m:sub>
        </m:sSub>
        <m:d>
          <m:dPr>
            <m:ctrlPr>
              <w:rPr>
                <w:rFonts w:ascii="Cambria Math" w:hAnsi="Cambria Math"/>
                <w:i/>
              </w:rPr>
            </m:ctrlPr>
          </m:dPr>
          <m:e>
            <m:r>
              <w:rPr>
                <w:rFonts w:ascii="Cambria Math" w:hAnsi="Cambria Math"/>
              </w:rPr>
              <m:t>y</m:t>
            </m:r>
          </m:e>
        </m:d>
      </m:oMath>
      <w:r>
        <w:t xml:space="preserve"> , and the PDF of (B), expressed as </w:t>
      </w:r>
      <m:oMath>
        <m:sSub>
          <m:sSubPr>
            <m:ctrlPr>
              <w:rPr>
                <w:rFonts w:ascii="Cambria Math" w:hAnsi="Cambria Math"/>
                <w:i/>
              </w:rPr>
            </m:ctrlPr>
          </m:sSubPr>
          <m:e>
            <m:r>
              <w:rPr>
                <w:rFonts w:ascii="Cambria Math" w:hAnsi="Cambria Math"/>
              </w:rPr>
              <m:t>f</m:t>
            </m:r>
          </m:e>
          <m:sub>
            <m:r>
              <w:rPr>
                <w:rFonts w:ascii="Cambria Math" w:hAnsi="Cambria Math"/>
              </w:rPr>
              <m:t>Y|</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=x</m:t>
            </m:r>
          </m:sub>
        </m:sSub>
        <m:d>
          <m:dPr>
            <m:ctrlPr>
              <w:rPr>
                <w:rFonts w:ascii="Cambria Math" w:hAnsi="Cambria Math"/>
                <w:i/>
              </w:rPr>
            </m:ctrlPr>
          </m:dPr>
          <m:e>
            <m:r>
              <w:rPr>
                <w:rFonts w:ascii="Cambria Math" w:hAnsi="Cambria Math"/>
              </w:rPr>
              <m:t>y</m:t>
            </m:r>
          </m:e>
        </m:d>
      </m:oMath>
      <w:r>
        <w:t xml:space="preserve">. The DMIM </w:t>
      </w:r>
      <w:r w:rsidRPr="00B0618E">
        <w:t xml:space="preserve">sensitivity of </w:t>
      </w:r>
      <w:r>
        <w:t>a given model prediction</w:t>
      </w:r>
      <w:r w:rsidRPr="00B0618E">
        <w:t xml:space="preserve"> to </w:t>
      </w:r>
      <w:r>
        <w:t xml:space="preserve">a parameter of interest </w:t>
      </w:r>
      <m:oMath>
        <m:d>
          <m:dPr>
            <m:begChr m:val="["/>
            <m:endChr m:val="]"/>
            <m:ctrlPr>
              <w:rPr>
                <w:rFonts w:ascii="Cambria Math" w:hAnsi="Cambria Math"/>
                <w:i/>
              </w:rPr>
            </m:ctrlPr>
          </m:dPr>
          <m:e>
            <m:sSub>
              <m:sSubPr>
                <m:ctrlPr>
                  <w:rPr>
                    <w:rFonts w:ascii="Cambria Math" w:hAnsi="Cambria Math"/>
                    <w:i/>
                  </w:rPr>
                </m:ctrlPr>
              </m:sSubPr>
              <m:e>
                <m:r>
                  <w:rPr>
                    <w:rFonts w:ascii="Cambria Math" w:hAnsi="Cambria Math"/>
                  </w:rPr>
                  <m:t>δ</m:t>
                </m:r>
              </m:e>
              <m:sub>
                <m:r>
                  <w:rPr>
                    <w:rFonts w:ascii="Cambria Math" w:hAnsi="Cambria Math"/>
                  </w:rPr>
                  <m:t>i</m:t>
                </m:r>
              </m:sub>
            </m:sSub>
          </m:e>
        </m:d>
      </m:oMath>
      <w:r>
        <w:t xml:space="preserve"> , is then calculated as one half of the expected value of </w:t>
      </w:r>
      <m:oMath>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(x)</m:t>
        </m:r>
      </m:oMath>
      <w:r>
        <w:t>; i.e.: (Plischke et al., 2013)</w:t>
      </w:r>
    </w:p>
    <w:p w14:paraId="434FE8A8" w14:textId="358F094F" w:rsidR="00471FBE" w:rsidRPr="00B0618E" w:rsidRDefault="00471FBE" w:rsidP="00471FBE">
      <w:pPr>
        <w:pStyle w:val="BodyText"/>
        <w:tabs>
          <w:tab w:val="center" w:pos="4253"/>
          <w:tab w:val="right" w:pos="9638"/>
        </w:tabs>
      </w:pPr>
      <w:r>
        <w:rPr>
          <w:rFonts w:ascii="Cambria Math" w:hAnsi="Cambria Math"/>
        </w:rPr>
        <w:tab/>
      </w:r>
      <m:oMath>
        <m:sSub>
          <m:sSubPr>
            <m:ctrlPr>
              <w:rPr>
                <w:rFonts w:ascii="Cambria Math" w:hAnsi="Cambria Math"/>
                <w:i/>
              </w:rPr>
            </m:ctrlPr>
          </m:sSubPr>
          <m:e>
            <m:r>
              <w:rPr>
                <w:rFonts w:ascii="Cambria Math" w:hAnsi="Cambria Math"/>
              </w:rPr>
              <m:t>δ</m:t>
            </m:r>
          </m:e>
          <m:sub>
            <m:r>
              <w:rPr>
                <w:rFonts w:ascii="Cambria Math" w:hAnsi="Cambria Math"/>
              </w:rPr>
              <m:t>i</m:t>
            </m:r>
          </m:sub>
        </m:sSub>
        <m:r>
          <w:rPr>
            <w:rFonts w:ascii="Cambria Math" w:hAnsi="Cambria Math"/>
          </w:rPr>
          <m:t>=δ</m:t>
        </m:r>
        <m:d>
          <m:dPr>
            <m:ctrlPr>
              <w:rPr>
                <w:rFonts w:ascii="Cambria Math" w:hAnsi="Cambria Math"/>
                <w:i/>
              </w:rPr>
            </m:ctrlPr>
          </m:dPr>
          <m:e>
            <m:r>
              <w:rPr>
                <w:rFonts w:ascii="Cambria Math" w:hAnsi="Cambria Math"/>
              </w:rPr>
              <m:t>Y,</m:t>
            </m:r>
            <m:sSub>
              <m:sSubPr>
                <m:ctrlPr>
                  <w:rPr>
                    <w:rFonts w:ascii="Cambria Math" w:hAnsi="Cambria Math"/>
                    <w:i/>
                  </w:rPr>
                </m:ctrlPr>
              </m:sSubPr>
              <m:e>
                <m:r>
                  <w:rPr>
                    <w:rFonts w:ascii="Cambria Math" w:hAnsi="Cambria Math"/>
                  </w:rPr>
                  <m:t>X</m:t>
                </m:r>
              </m:e>
              <m:sub>
                <m:r>
                  <w:rPr>
                    <w:rFonts w:ascii="Cambria Math" w:hAnsi="Cambria Math"/>
                  </w:rPr>
                  <m:t>i</m:t>
                </m:r>
              </m:sub>
            </m:sSub>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E</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s</m:t>
                </m:r>
              </m:e>
              <m:sub>
                <m:r>
                  <w:rPr>
                    <w:rFonts w:ascii="Cambria Math" w:hAnsi="Cambria Math"/>
                  </w:rPr>
                  <m:t>i</m:t>
                </m:r>
              </m:sub>
            </m:sSub>
            <m:r>
              <w:rPr>
                <w:rFonts w:ascii="Cambria Math" w:hAnsi="Cambria Math"/>
              </w:rPr>
              <m:t>(x)</m:t>
            </m:r>
          </m:e>
        </m:d>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E</m:t>
        </m:r>
        <m:d>
          <m:dPr>
            <m:begChr m:val="["/>
            <m:endChr m:val="]"/>
            <m:ctrlPr>
              <w:rPr>
                <w:rFonts w:ascii="Cambria Math" w:hAnsi="Cambria Math"/>
                <w:i/>
              </w:rPr>
            </m:ctrlPr>
          </m:dPr>
          <m:e>
            <m:nary>
              <m:naryPr>
                <m:limLoc m:val="subSup"/>
                <m:ctrlPr>
                  <w:rPr>
                    <w:rFonts w:ascii="Cambria Math" w:hAnsi="Cambria Math"/>
                    <w:i/>
                  </w:rPr>
                </m:ctrlPr>
              </m:naryPr>
              <m:sub>
                <m:r>
                  <w:rPr>
                    <w:rFonts w:ascii="Cambria Math" w:hAnsi="Cambria Math"/>
                  </w:rPr>
                  <m:t>y</m:t>
                </m:r>
              </m:sub>
              <m:sup/>
              <m:e>
                <m:d>
                  <m:dPr>
                    <m:begChr m:val="|"/>
                    <m:endChr m:val="|"/>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Y</m:t>
                        </m:r>
                      </m:sub>
                    </m:sSub>
                    <m:d>
                      <m:dPr>
                        <m:ctrlPr>
                          <w:rPr>
                            <w:rFonts w:ascii="Cambria Math" w:hAnsi="Cambria Math"/>
                            <w:i/>
                          </w:rPr>
                        </m:ctrlPr>
                      </m:dPr>
                      <m:e>
                        <m:r>
                          <w:rPr>
                            <w:rFonts w:ascii="Cambria Math" w:hAnsi="Cambria Math"/>
                          </w:rPr>
                          <m:t>y</m:t>
                        </m:r>
                      </m:e>
                    </m:d>
                    <m:sSub>
                      <m:sSubPr>
                        <m:ctrlPr>
                          <w:rPr>
                            <w:rFonts w:ascii="Cambria Math" w:hAnsi="Cambria Math"/>
                            <w:i/>
                          </w:rPr>
                        </m:ctrlPr>
                      </m:sSubPr>
                      <m:e>
                        <m:r>
                          <w:rPr>
                            <w:rFonts w:ascii="Cambria Math" w:hAnsi="Cambria Math"/>
                          </w:rPr>
                          <m:t xml:space="preserve">  f</m:t>
                        </m:r>
                      </m:e>
                      <m:sub>
                        <m:r>
                          <w:rPr>
                            <w:rFonts w:ascii="Cambria Math" w:hAnsi="Cambria Math"/>
                          </w:rPr>
                          <m:t>Y|X=x</m:t>
                        </m:r>
                      </m:sub>
                    </m:sSub>
                    <m:d>
                      <m:dPr>
                        <m:ctrlPr>
                          <w:rPr>
                            <w:rFonts w:ascii="Cambria Math" w:hAnsi="Cambria Math"/>
                            <w:i/>
                          </w:rPr>
                        </m:ctrlPr>
                      </m:dPr>
                      <m:e>
                        <m:r>
                          <w:rPr>
                            <w:rFonts w:ascii="Cambria Math" w:hAnsi="Cambria Math"/>
                          </w:rPr>
                          <m:t>y</m:t>
                        </m:r>
                      </m:e>
                    </m:d>
                  </m:e>
                </m:d>
                <m:r>
                  <w:rPr>
                    <w:rFonts w:ascii="Cambria Math" w:hAnsi="Cambria Math"/>
                  </w:rPr>
                  <m:t xml:space="preserve"> </m:t>
                </m:r>
                <m:r>
                  <m:rPr>
                    <m:sty m:val="p"/>
                  </m:rPr>
                  <w:rPr>
                    <w:rFonts w:ascii="Cambria Math" w:hAnsi="Cambria Math"/>
                  </w:rPr>
                  <m:t>d</m:t>
                </m:r>
                <m:r>
                  <w:rPr>
                    <w:rFonts w:ascii="Cambria Math" w:hAnsi="Cambria Math"/>
                  </w:rPr>
                  <m:t>y</m:t>
                </m:r>
              </m:e>
            </m:nary>
          </m:e>
        </m:d>
      </m:oMath>
      <w:r>
        <w:rPr>
          <w:rFonts w:ascii="Cambria Math" w:hAnsi="Cambria Math"/>
        </w:rPr>
        <w:tab/>
      </w:r>
      <w:r w:rsidRPr="00B0618E">
        <w:t>(</w:t>
      </w:r>
      <w:r w:rsidR="00F63202">
        <w:t>4</w:t>
      </w:r>
      <w:r w:rsidRPr="00B0618E">
        <w:t>)</w:t>
      </w:r>
    </w:p>
    <w:p w14:paraId="6B9D3B03" w14:textId="4B64FDDB" w:rsidR="00471FBE" w:rsidRDefault="00471FBE" w:rsidP="00471FBE">
      <w:pPr>
        <w:pStyle w:val="BodyText"/>
      </w:pPr>
      <w:r w:rsidRPr="00B0618E">
        <w:rPr>
          <w:color w:val="auto"/>
        </w:rPr>
        <w:t>where</w:t>
      </w:r>
      <w:r>
        <w:rPr>
          <w:color w:val="auto"/>
        </w:rPr>
        <w:t xml:space="preserve"> </w:t>
      </w:r>
      <m:oMath>
        <m:r>
          <w:rPr>
            <w:rFonts w:ascii="Cambria Math" w:hAnsi="Cambria Math"/>
          </w:rPr>
          <m:t>E</m:t>
        </m:r>
      </m:oMath>
      <w:r>
        <w:rPr>
          <w:color w:val="auto"/>
        </w:rPr>
        <w:t xml:space="preserve"> is the expected value.</w:t>
      </w:r>
      <w:r w:rsidRPr="00B0618E">
        <w:rPr>
          <w:color w:val="auto"/>
        </w:rPr>
        <w:t xml:space="preserve"> </w:t>
      </w:r>
      <w:r>
        <w:rPr>
          <w:color w:val="auto"/>
        </w:rPr>
        <w:t>A</w:t>
      </w:r>
      <w:r w:rsidRPr="00B0618E">
        <w:t xml:space="preserve"> large </w:t>
      </w:r>
      <m:oMath>
        <m:sSub>
          <m:sSubPr>
            <m:ctrlPr>
              <w:rPr>
                <w:rFonts w:ascii="Cambria Math" w:hAnsi="Cambria Math"/>
                <w:i/>
              </w:rPr>
            </m:ctrlPr>
          </m:sSubPr>
          <m:e>
            <m:r>
              <w:rPr>
                <w:rFonts w:ascii="Cambria Math" w:hAnsi="Cambria Math"/>
              </w:rPr>
              <m:t>δ</m:t>
            </m:r>
          </m:e>
          <m:sub>
            <m:r>
              <w:rPr>
                <w:rFonts w:ascii="Cambria Math" w:hAnsi="Cambria Math"/>
              </w:rPr>
              <m:t>i</m:t>
            </m:r>
          </m:sub>
        </m:sSub>
      </m:oMath>
      <w:r w:rsidRPr="00B0618E">
        <w:t xml:space="preserve"> value indicates that the prediction of interest is highly sensitive to parameter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B0618E">
        <w:t xml:space="preserve">. </w:t>
      </w:r>
      <w:r w:rsidRPr="00B0618E">
        <w:rPr>
          <w:color w:val="auto"/>
        </w:rPr>
        <w:t xml:space="preserve">In practice, </w:t>
      </w:r>
      <w:r>
        <w:rPr>
          <w:color w:val="auto"/>
        </w:rPr>
        <w:t>the integrals in equations (</w:t>
      </w:r>
      <w:r w:rsidR="00F63202">
        <w:rPr>
          <w:color w:val="auto"/>
        </w:rPr>
        <w:t>3</w:t>
      </w:r>
      <w:r>
        <w:rPr>
          <w:color w:val="auto"/>
        </w:rPr>
        <w:t>) and (</w:t>
      </w:r>
      <w:r w:rsidR="00F63202">
        <w:rPr>
          <w:color w:val="auto"/>
        </w:rPr>
        <w:t>4</w:t>
      </w:r>
      <w:r>
        <w:rPr>
          <w:color w:val="auto"/>
        </w:rPr>
        <w:t xml:space="preserve">) </w:t>
      </w:r>
      <w:r w:rsidRPr="00B0618E">
        <w:rPr>
          <w:color w:val="auto"/>
        </w:rPr>
        <w:t>are evaluated numerically</w:t>
      </w:r>
      <w:r>
        <w:rPr>
          <w:color w:val="auto"/>
        </w:rPr>
        <w:t xml:space="preserve"> using </w:t>
      </w:r>
      <w:r w:rsidRPr="00B0618E">
        <w:t>a kernel density estimator</w:t>
      </w:r>
      <w:r>
        <w:t>.</w:t>
      </w:r>
      <w:r w:rsidRPr="00B0618E">
        <w:t xml:space="preserve"> </w:t>
      </w:r>
    </w:p>
    <w:p w14:paraId="09EDD4F5" w14:textId="77777777" w:rsidR="00471FBE" w:rsidRPr="00B0618E" w:rsidRDefault="00471FBE" w:rsidP="00471FBE">
      <w:pPr>
        <w:pStyle w:val="BodyText"/>
        <w:keepNext/>
        <w:jc w:val="center"/>
      </w:pPr>
      <w:r>
        <w:rPr>
          <w:noProof/>
        </w:rPr>
        <w:drawing>
          <wp:inline distT="0" distB="0" distL="0" distR="0" wp14:anchorId="61AED817" wp14:editId="1771B1A5">
            <wp:extent cx="3705860" cy="2494280"/>
            <wp:effectExtent l="0" t="0" r="8890" b="1270"/>
            <wp:docPr id="154" name="Picture 154" descr="Chart of the Delta Moment Independant Measure" title="Fig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ars.els-cdn.com/content/image/1-s2.0-S0951832006000883-gr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705860" cy="2494280"/>
                    </a:xfrm>
                    <a:prstGeom prst="rect">
                      <a:avLst/>
                    </a:prstGeom>
                    <a:noFill/>
                    <a:ln>
                      <a:noFill/>
                    </a:ln>
                  </pic:spPr>
                </pic:pic>
              </a:graphicData>
            </a:graphic>
          </wp:inline>
        </w:drawing>
      </w:r>
    </w:p>
    <w:p w14:paraId="040F8004" w14:textId="7C6B9272" w:rsidR="00471FBE" w:rsidRDefault="00471FBE" w:rsidP="00471FBE">
      <w:pPr>
        <w:pStyle w:val="Caption"/>
      </w:pPr>
      <w:bookmarkStart w:id="53" w:name="_Ref481070224"/>
      <w:bookmarkStart w:id="54" w:name="_Toc482034902"/>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w:t>
      </w:r>
      <w:r w:rsidR="00A2085C">
        <w:rPr>
          <w:noProof/>
        </w:rPr>
        <w:fldChar w:fldCharType="end"/>
      </w:r>
      <w:bookmarkEnd w:id="53"/>
      <w:r w:rsidRPr="00B0618E">
        <w:t xml:space="preserve">. </w:t>
      </w:r>
      <w:r>
        <w:t>Graphical representation of the Delta Moment Independent Measure (DMIM; Plischke et al., 2013) of global sensitivity (Borgonovo, 2007).</w:t>
      </w:r>
      <w:r w:rsidRPr="00B0618E">
        <w:t xml:space="preserve"> </w:t>
      </w:r>
      <w:r>
        <w:t>The exponential distribution (red solid line) represents the probability density function (PDF) of modelled predictions when all model parameters are varied simultaneously. The skewed Gaussian distribution (dashed blue line) represents the PDF of modelled predictions when all model parameters are varied except a given parameter of interest. The difference in mass density between these two PDFs (solid black shading) is used as the basis for the calculation of the DMIM sensitivity metric.</w:t>
      </w:r>
      <w:bookmarkEnd w:id="54"/>
    </w:p>
    <w:p w14:paraId="1D176668" w14:textId="77777777" w:rsidR="00020ACB" w:rsidRPr="00B0618E" w:rsidRDefault="00020ACB" w:rsidP="00020ACB">
      <w:pPr>
        <w:pStyle w:val="Heading3"/>
      </w:pPr>
      <w:r w:rsidRPr="00B0618E">
        <w:t>Sobol’ variance-based metric</w:t>
      </w:r>
    </w:p>
    <w:p w14:paraId="25C06DD0" w14:textId="77777777" w:rsidR="00020ACB" w:rsidRPr="00B0618E" w:rsidRDefault="00020ACB" w:rsidP="00020ACB">
      <w:pPr>
        <w:pStyle w:val="BodyText"/>
      </w:pPr>
      <w:r w:rsidRPr="00B0618E">
        <w:t>The second global method used was a relatively simple approach to global sensitivity analysis derived by Sobol’ (2001). This approach quantifies the uncertainty of a given prediction by the variance of the range of values. As such, it is implicitly assumed that the statistical distributions of predicted values can be characterised by their first two moments (i.e., mean and variance) alone. The primary advantage of this approach lies in its simplicity, whereby prediction uncertainty is characterised using scalar values while avoiding the need for numerical integration or quadrature.</w:t>
      </w:r>
    </w:p>
    <w:p w14:paraId="624189B8" w14:textId="1559D015" w:rsidR="00020ACB" w:rsidRPr="00B0618E" w:rsidRDefault="00020ACB" w:rsidP="00020ACB">
      <w:pPr>
        <w:pStyle w:val="BodyText"/>
      </w:pPr>
      <w:r w:rsidRPr="00B0618E">
        <w:t>The Sobol’ approach assumes that both prior and posterior distributions can be characterised by their first two moments and that their uncertainty can be quantified by the second moment (i.e., variance) of these distributions. The first</w:t>
      </w:r>
      <w:r w:rsidR="0043246D">
        <w:t>-</w:t>
      </w:r>
      <w:r w:rsidRPr="00B0618E">
        <w:t xml:space="preserve">order sensitivity of </w:t>
      </w:r>
      <w:r w:rsidRPr="00B0618E">
        <w:rPr>
          <w:color w:val="auto"/>
        </w:rPr>
        <w:t xml:space="preserve">model predictions to model parameters is quantified as the ratio (i.e., </w:t>
      </w:r>
      <w:r w:rsidRPr="00B0618E">
        <w:rPr>
          <w:i/>
          <w:color w:val="auto"/>
        </w:rPr>
        <w:t>S</w:t>
      </w:r>
      <w:r w:rsidRPr="00B0618E">
        <w:rPr>
          <w:color w:val="auto"/>
          <w:vertAlign w:val="subscript"/>
        </w:rPr>
        <w:t>1</w:t>
      </w:r>
      <w:r w:rsidRPr="00B0618E">
        <w:rPr>
          <w:color w:val="auto"/>
        </w:rPr>
        <w:t>) between two values (Saltelli et al., 2008)</w:t>
      </w:r>
      <w:r w:rsidR="0043246D">
        <w:rPr>
          <w:color w:val="auto"/>
        </w:rPr>
        <w:t>:</w:t>
      </w:r>
    </w:p>
    <w:p w14:paraId="074D4ACA" w14:textId="45DE2217" w:rsidR="00020ACB" w:rsidRPr="00B0618E" w:rsidRDefault="00020ACB" w:rsidP="00020ACB">
      <w:pPr>
        <w:pStyle w:val="BodyText"/>
        <w:tabs>
          <w:tab w:val="center" w:pos="4253"/>
          <w:tab w:val="right" w:pos="9638"/>
        </w:tabs>
      </w:pPr>
      <w:r w:rsidRPr="00B0618E">
        <w:tab/>
      </w:r>
      <m:oMath>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(i)=</m:t>
        </m:r>
        <m:f>
          <m:fPr>
            <m:ctrlPr>
              <w:rPr>
                <w:rFonts w:ascii="Cambria Math" w:hAnsi="Cambria Math"/>
                <w:i/>
              </w:rPr>
            </m:ctrlPr>
          </m:fPr>
          <m:num>
            <m:r>
              <w:rPr>
                <w:rFonts w:ascii="Cambria Math" w:hAnsi="Cambria Math"/>
              </w:rPr>
              <m:t>V</m:t>
            </m:r>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w:rPr>
                        <w:rFonts w:ascii="Cambria Math" w:hAnsi="Cambria Math"/>
                      </w:rPr>
                      <m:t>Y|</m:t>
                    </m:r>
                    <m:sSub>
                      <m:sSubPr>
                        <m:ctrlPr>
                          <w:rPr>
                            <w:rFonts w:ascii="Cambria Math" w:hAnsi="Cambria Math"/>
                            <w:i/>
                          </w:rPr>
                        </m:ctrlPr>
                      </m:sSubPr>
                      <m:e>
                        <m:r>
                          <w:rPr>
                            <w:rFonts w:ascii="Cambria Math" w:hAnsi="Cambria Math"/>
                          </w:rPr>
                          <m:t>X</m:t>
                        </m:r>
                      </m:e>
                      <m:sub>
                        <m:r>
                          <w:rPr>
                            <w:rFonts w:ascii="Cambria Math" w:hAnsi="Cambria Math"/>
                          </w:rPr>
                          <m:t>i</m:t>
                        </m:r>
                      </m:sub>
                    </m:sSub>
                  </m:e>
                </m:d>
              </m:e>
            </m:d>
          </m:num>
          <m:den>
            <m:r>
              <w:rPr>
                <w:rFonts w:ascii="Cambria Math" w:hAnsi="Cambria Math"/>
              </w:rPr>
              <m:t>V</m:t>
            </m:r>
            <m:d>
              <m:dPr>
                <m:ctrlPr>
                  <w:rPr>
                    <w:rFonts w:ascii="Cambria Math" w:hAnsi="Cambria Math"/>
                    <w:i/>
                  </w:rPr>
                </m:ctrlPr>
              </m:dPr>
              <m:e>
                <m:r>
                  <w:rPr>
                    <w:rFonts w:ascii="Cambria Math" w:hAnsi="Cambria Math"/>
                  </w:rPr>
                  <m:t>Y</m:t>
                </m:r>
              </m:e>
            </m:d>
          </m:den>
        </m:f>
      </m:oMath>
      <w:r w:rsidRPr="00B0618E">
        <w:tab/>
        <w:t>(</w:t>
      </w:r>
      <w:r w:rsidR="00F63202">
        <w:t>5</w:t>
      </w:r>
      <w:r w:rsidRPr="00B0618E">
        <w:t>)</w:t>
      </w:r>
    </w:p>
    <w:p w14:paraId="04648040" w14:textId="72BBF587" w:rsidR="009A1E13" w:rsidRDefault="00020ACB" w:rsidP="00020ACB">
      <w:pPr>
        <w:pStyle w:val="BodyText"/>
      </w:pPr>
      <w:r w:rsidRPr="00B0618E">
        <w:t xml:space="preserve">The numerator </w:t>
      </w:r>
      <m:oMath>
        <m:r>
          <w:rPr>
            <w:rFonts w:ascii="Cambria Math" w:hAnsi="Cambria Math"/>
          </w:rPr>
          <m:t>V</m:t>
        </m:r>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w:rPr>
                    <w:rFonts w:ascii="Cambria Math" w:hAnsi="Cambria Math"/>
                  </w:rPr>
                  <m:t>Y|</m:t>
                </m:r>
                <m:sSub>
                  <m:sSubPr>
                    <m:ctrlPr>
                      <w:rPr>
                        <w:rFonts w:ascii="Cambria Math" w:hAnsi="Cambria Math"/>
                        <w:i/>
                      </w:rPr>
                    </m:ctrlPr>
                  </m:sSubPr>
                  <m:e>
                    <m:r>
                      <w:rPr>
                        <w:rFonts w:ascii="Cambria Math" w:hAnsi="Cambria Math"/>
                      </w:rPr>
                      <m:t>X</m:t>
                    </m:r>
                  </m:e>
                  <m:sub>
                    <m:r>
                      <w:rPr>
                        <w:rFonts w:ascii="Cambria Math" w:hAnsi="Cambria Math"/>
                      </w:rPr>
                      <m:t>i</m:t>
                    </m:r>
                  </m:sub>
                </m:sSub>
              </m:e>
            </m:d>
          </m:e>
        </m:d>
      </m:oMath>
      <w:r w:rsidRPr="00B0618E">
        <w:t xml:space="preserve"> represents the variance of the expected values of </w:t>
      </w:r>
      <w:r w:rsidR="009A1E13">
        <w:t>prediction</w:t>
      </w:r>
      <w:r w:rsidRPr="00B0618E">
        <w:t xml:space="preserve"> </w:t>
      </w:r>
      <m:oMath>
        <m:r>
          <w:rPr>
            <w:rFonts w:ascii="Cambria Math" w:hAnsi="Cambria Math"/>
            <w:color w:val="auto"/>
          </w:rPr>
          <m:t>Y</m:t>
        </m:r>
      </m:oMath>
      <w:r w:rsidRPr="00B0618E">
        <w:t xml:space="preserve"> </w:t>
      </w:r>
      <w:r w:rsidR="009A1E13">
        <w:t xml:space="preserve">when </w:t>
      </w:r>
      <w:r w:rsidRPr="00B0618E">
        <w:t xml:space="preserve">parameter value </w:t>
      </w:r>
      <m:oMath>
        <m:sSub>
          <m:sSubPr>
            <m:ctrlPr>
              <w:rPr>
                <w:rFonts w:ascii="Cambria Math" w:hAnsi="Cambria Math"/>
                <w:i/>
                <w:color w:val="auto"/>
              </w:rPr>
            </m:ctrlPr>
          </m:sSubPr>
          <m:e>
            <m:r>
              <w:rPr>
                <w:rFonts w:ascii="Cambria Math" w:hAnsi="Cambria Math"/>
                <w:color w:val="auto"/>
              </w:rPr>
              <m:t>X</m:t>
            </m:r>
          </m:e>
          <m:sub>
            <m:r>
              <w:rPr>
                <w:rFonts w:ascii="Cambria Math" w:hAnsi="Cambria Math"/>
                <w:color w:val="auto"/>
              </w:rPr>
              <m:t>i</m:t>
            </m:r>
          </m:sub>
        </m:sSub>
      </m:oMath>
      <w:r w:rsidR="009A1E13">
        <w:t xml:space="preserve"> is held constant </w:t>
      </w:r>
      <w:r w:rsidRPr="00B0618E">
        <w:t>(</w:t>
      </w:r>
      <w:r w:rsidR="004900B0">
        <w:t>Saltelli et al., 2008</w:t>
      </w:r>
      <w:r w:rsidRPr="00B0618E">
        <w:t xml:space="preserve">). The denominator </w:t>
      </w:r>
      <m:oMath>
        <m:r>
          <w:rPr>
            <w:rFonts w:ascii="Cambria Math" w:hAnsi="Cambria Math"/>
          </w:rPr>
          <m:t>V</m:t>
        </m:r>
        <m:d>
          <m:dPr>
            <m:ctrlPr>
              <w:rPr>
                <w:rFonts w:ascii="Cambria Math" w:hAnsi="Cambria Math"/>
                <w:i/>
              </w:rPr>
            </m:ctrlPr>
          </m:dPr>
          <m:e>
            <m:r>
              <w:rPr>
                <w:rFonts w:ascii="Cambria Math" w:hAnsi="Cambria Math"/>
              </w:rPr>
              <m:t>Y</m:t>
            </m:r>
          </m:e>
        </m:d>
      </m:oMath>
      <w:r w:rsidRPr="00B0618E">
        <w:t xml:space="preserve"> represents</w:t>
      </w:r>
      <w:r w:rsidR="009A1E13">
        <w:t xml:space="preserve"> the sum of (A) the variance of all expected values of prediction </w:t>
      </w:r>
      <m:oMath>
        <m:r>
          <w:rPr>
            <w:rFonts w:ascii="Cambria Math" w:hAnsi="Cambria Math"/>
            <w:color w:val="auto"/>
          </w:rPr>
          <m:t>Y</m:t>
        </m:r>
      </m:oMath>
      <w:r w:rsidR="009A1E13">
        <w:t xml:space="preserve"> when </w:t>
      </w:r>
      <m:oMath>
        <m:sSub>
          <m:sSubPr>
            <m:ctrlPr>
              <w:rPr>
                <w:rFonts w:ascii="Cambria Math" w:hAnsi="Cambria Math"/>
                <w:i/>
                <w:color w:val="auto"/>
              </w:rPr>
            </m:ctrlPr>
          </m:sSubPr>
          <m:e>
            <m:r>
              <w:rPr>
                <w:rFonts w:ascii="Cambria Math" w:hAnsi="Cambria Math"/>
                <w:color w:val="auto"/>
              </w:rPr>
              <m:t>X</m:t>
            </m:r>
          </m:e>
          <m:sub>
            <m:r>
              <w:rPr>
                <w:rFonts w:ascii="Cambria Math" w:hAnsi="Cambria Math"/>
                <w:color w:val="auto"/>
              </w:rPr>
              <m:t>i</m:t>
            </m:r>
          </m:sub>
        </m:sSub>
      </m:oMath>
      <w:r w:rsidR="009A1E13">
        <w:rPr>
          <w:color w:val="auto"/>
        </w:rPr>
        <w:t xml:space="preserve"> </w:t>
      </w:r>
      <w:r w:rsidR="009A1E13">
        <w:t xml:space="preserve">is held constant and (B) the expected value of the variance of prediction </w:t>
      </w:r>
      <m:oMath>
        <m:r>
          <w:rPr>
            <w:rFonts w:ascii="Cambria Math" w:hAnsi="Cambria Math"/>
            <w:color w:val="auto"/>
          </w:rPr>
          <m:t>Y</m:t>
        </m:r>
      </m:oMath>
      <w:r w:rsidR="009A1E13">
        <w:t xml:space="preserve"> when </w:t>
      </w:r>
      <m:oMath>
        <m:sSub>
          <m:sSubPr>
            <m:ctrlPr>
              <w:rPr>
                <w:rFonts w:ascii="Cambria Math" w:hAnsi="Cambria Math"/>
                <w:i/>
                <w:color w:val="auto"/>
              </w:rPr>
            </m:ctrlPr>
          </m:sSubPr>
          <m:e>
            <m:r>
              <w:rPr>
                <w:rFonts w:ascii="Cambria Math" w:hAnsi="Cambria Math"/>
                <w:color w:val="auto"/>
              </w:rPr>
              <m:t>X</m:t>
            </m:r>
          </m:e>
          <m:sub>
            <m:r>
              <w:rPr>
                <w:rFonts w:ascii="Cambria Math" w:hAnsi="Cambria Math"/>
                <w:color w:val="auto"/>
              </w:rPr>
              <m:t>i</m:t>
            </m:r>
          </m:sub>
        </m:sSub>
      </m:oMath>
      <w:r w:rsidR="009A1E13">
        <w:rPr>
          <w:color w:val="auto"/>
        </w:rPr>
        <w:t xml:space="preserve"> </w:t>
      </w:r>
      <w:r w:rsidR="009A1E13">
        <w:t>is held constant; i.e.</w:t>
      </w:r>
      <w:r w:rsidR="009A1E13" w:rsidRPr="009A1E13">
        <w:rPr>
          <w:color w:val="auto"/>
        </w:rPr>
        <w:t xml:space="preserve"> </w:t>
      </w:r>
      <w:r w:rsidR="009A1E13" w:rsidRPr="00B0618E">
        <w:rPr>
          <w:color w:val="auto"/>
        </w:rPr>
        <w:t>(Saltelli et al., 2008)</w:t>
      </w:r>
      <w:r w:rsidR="0043246D">
        <w:rPr>
          <w:color w:val="auto"/>
        </w:rPr>
        <w:t>:</w:t>
      </w:r>
    </w:p>
    <w:p w14:paraId="30D979AA" w14:textId="75CE9DCD" w:rsidR="009A1E13" w:rsidRPr="00B0618E" w:rsidRDefault="009A1E13" w:rsidP="009A1E13">
      <w:pPr>
        <w:pStyle w:val="BodyText"/>
        <w:tabs>
          <w:tab w:val="center" w:pos="4253"/>
          <w:tab w:val="right" w:pos="9638"/>
        </w:tabs>
      </w:pPr>
      <w:r w:rsidRPr="00B0618E">
        <w:tab/>
      </w:r>
      <m:oMath>
        <m:r>
          <w:rPr>
            <w:rFonts w:ascii="Cambria Math" w:hAnsi="Cambria Math"/>
          </w:rPr>
          <m:t>V</m:t>
        </m:r>
        <m:d>
          <m:dPr>
            <m:ctrlPr>
              <w:rPr>
                <w:rFonts w:ascii="Cambria Math" w:hAnsi="Cambria Math"/>
                <w:i/>
              </w:rPr>
            </m:ctrlPr>
          </m:dPr>
          <m:e>
            <m:r>
              <w:rPr>
                <w:rFonts w:ascii="Cambria Math" w:hAnsi="Cambria Math"/>
              </w:rPr>
              <m:t>Y</m:t>
            </m:r>
          </m:e>
        </m:d>
        <m:r>
          <w:rPr>
            <w:rFonts w:ascii="Cambria Math" w:hAnsi="Cambria Math"/>
          </w:rPr>
          <m:t>=V</m:t>
        </m:r>
        <m:d>
          <m:dPr>
            <m:begChr m:val="["/>
            <m:endChr m:val="]"/>
            <m:ctrlPr>
              <w:rPr>
                <w:rFonts w:ascii="Cambria Math" w:hAnsi="Cambria Math"/>
                <w:i/>
              </w:rPr>
            </m:ctrlPr>
          </m:dPr>
          <m:e>
            <m:r>
              <w:rPr>
                <w:rFonts w:ascii="Cambria Math" w:hAnsi="Cambria Math"/>
              </w:rPr>
              <m:t>E</m:t>
            </m:r>
            <m:d>
              <m:dPr>
                <m:ctrlPr>
                  <w:rPr>
                    <w:rFonts w:ascii="Cambria Math" w:hAnsi="Cambria Math"/>
                    <w:i/>
                  </w:rPr>
                </m:ctrlPr>
              </m:dPr>
              <m:e>
                <m:r>
                  <w:rPr>
                    <w:rFonts w:ascii="Cambria Math" w:hAnsi="Cambria Math"/>
                  </w:rPr>
                  <m:t>Y|</m:t>
                </m:r>
                <m:sSub>
                  <m:sSubPr>
                    <m:ctrlPr>
                      <w:rPr>
                        <w:rFonts w:ascii="Cambria Math" w:hAnsi="Cambria Math"/>
                        <w:i/>
                      </w:rPr>
                    </m:ctrlPr>
                  </m:sSubPr>
                  <m:e>
                    <m:r>
                      <w:rPr>
                        <w:rFonts w:ascii="Cambria Math" w:hAnsi="Cambria Math"/>
                      </w:rPr>
                      <m:t>X</m:t>
                    </m:r>
                  </m:e>
                  <m:sub>
                    <m:r>
                      <w:rPr>
                        <w:rFonts w:ascii="Cambria Math" w:hAnsi="Cambria Math"/>
                      </w:rPr>
                      <m:t>i</m:t>
                    </m:r>
                  </m:sub>
                </m:sSub>
              </m:e>
            </m:d>
          </m:e>
        </m:d>
        <m:r>
          <w:rPr>
            <w:rFonts w:ascii="Cambria Math" w:hAnsi="Cambria Math"/>
          </w:rPr>
          <m:t>+E</m:t>
        </m:r>
        <m:d>
          <m:dPr>
            <m:begChr m:val="["/>
            <m:endChr m:val="]"/>
            <m:ctrlPr>
              <w:rPr>
                <w:rFonts w:ascii="Cambria Math" w:hAnsi="Cambria Math"/>
                <w:i/>
              </w:rPr>
            </m:ctrlPr>
          </m:dPr>
          <m:e>
            <m:r>
              <w:rPr>
                <w:rFonts w:ascii="Cambria Math" w:hAnsi="Cambria Math"/>
              </w:rPr>
              <m:t>V</m:t>
            </m:r>
            <m:d>
              <m:dPr>
                <m:ctrlPr>
                  <w:rPr>
                    <w:rFonts w:ascii="Cambria Math" w:hAnsi="Cambria Math"/>
                    <w:i/>
                  </w:rPr>
                </m:ctrlPr>
              </m:dPr>
              <m:e>
                <m:r>
                  <w:rPr>
                    <w:rFonts w:ascii="Cambria Math" w:hAnsi="Cambria Math"/>
                  </w:rPr>
                  <m:t>Y|</m:t>
                </m:r>
                <m:sSub>
                  <m:sSubPr>
                    <m:ctrlPr>
                      <w:rPr>
                        <w:rFonts w:ascii="Cambria Math" w:hAnsi="Cambria Math"/>
                        <w:i/>
                      </w:rPr>
                    </m:ctrlPr>
                  </m:sSubPr>
                  <m:e>
                    <m:r>
                      <w:rPr>
                        <w:rFonts w:ascii="Cambria Math" w:hAnsi="Cambria Math"/>
                      </w:rPr>
                      <m:t>X</m:t>
                    </m:r>
                  </m:e>
                  <m:sub>
                    <m:r>
                      <w:rPr>
                        <w:rFonts w:ascii="Cambria Math" w:hAnsi="Cambria Math"/>
                      </w:rPr>
                      <m:t>i</m:t>
                    </m:r>
                  </m:sub>
                </m:sSub>
              </m:e>
            </m:d>
          </m:e>
        </m:d>
      </m:oMath>
      <w:r w:rsidRPr="00B0618E">
        <w:tab/>
        <w:t>(</w:t>
      </w:r>
      <w:r w:rsidR="00F63202">
        <w:t>6</w:t>
      </w:r>
      <w:r w:rsidRPr="00B0618E">
        <w:t>)</w:t>
      </w:r>
    </w:p>
    <w:p w14:paraId="3B3ACCEC" w14:textId="0CFB2821" w:rsidR="00020ACB" w:rsidRDefault="00020ACB" w:rsidP="00020ACB">
      <w:pPr>
        <w:pStyle w:val="BodyText"/>
      </w:pPr>
      <w:r w:rsidRPr="00B0618E">
        <w:t xml:space="preserve">Consequently, the Sobol’ sensitivity metric represents the variance of model outputs when a parameter is fixed at a given value, normalised by the total model output variance. In practice, the sensitivity metric can be calculated for all model parameters; i.e., from </w:t>
      </w:r>
      <m:oMath>
        <m:sSub>
          <m:sSubPr>
            <m:ctrlPr>
              <w:rPr>
                <w:rFonts w:ascii="Cambria Math" w:hAnsi="Cambria Math"/>
                <w:i/>
              </w:rPr>
            </m:ctrlPr>
          </m:sSubPr>
          <m:e>
            <m:r>
              <w:rPr>
                <w:rFonts w:ascii="Cambria Math" w:hAnsi="Cambria Math"/>
              </w:rPr>
              <m:t>X</m:t>
            </m:r>
          </m:e>
          <m:sub>
            <m:r>
              <w:rPr>
                <w:rFonts w:ascii="Cambria Math" w:hAnsi="Cambria Math"/>
              </w:rPr>
              <m:t>i=1</m:t>
            </m:r>
          </m:sub>
        </m:sSub>
      </m:oMath>
      <w:r w:rsidRPr="00B0618E">
        <w:t xml:space="preserve"> to </w:t>
      </w:r>
      <m:oMath>
        <m:sSub>
          <m:sSubPr>
            <m:ctrlPr>
              <w:rPr>
                <w:rFonts w:ascii="Cambria Math" w:hAnsi="Cambria Math"/>
                <w:i/>
              </w:rPr>
            </m:ctrlPr>
          </m:sSubPr>
          <m:e>
            <m:r>
              <w:rPr>
                <w:rFonts w:ascii="Cambria Math" w:hAnsi="Cambria Math"/>
              </w:rPr>
              <m:t>X</m:t>
            </m:r>
          </m:e>
          <m:sub>
            <m:r>
              <w:rPr>
                <w:rFonts w:ascii="Cambria Math" w:hAnsi="Cambria Math"/>
              </w:rPr>
              <m:t>i=N</m:t>
            </m:r>
          </m:sub>
        </m:sSub>
      </m:oMath>
      <w:r w:rsidRPr="00B0618E">
        <w:t>.</w:t>
      </w:r>
    </w:p>
    <w:p w14:paraId="7B802438" w14:textId="77777777" w:rsidR="00AA49F8" w:rsidRPr="00B0618E" w:rsidRDefault="00AA49F8" w:rsidP="00AA49F8">
      <w:pPr>
        <w:pStyle w:val="Heading3"/>
      </w:pPr>
      <w:r w:rsidRPr="00B0618E">
        <w:t>Implementation of methods</w:t>
      </w:r>
    </w:p>
    <w:p w14:paraId="0BFB0FAD" w14:textId="749A706E" w:rsidR="00882D65" w:rsidRPr="00B0618E" w:rsidRDefault="00C82F89" w:rsidP="00882D65">
      <w:pPr>
        <w:pStyle w:val="BodyText"/>
      </w:pPr>
      <w:r w:rsidRPr="00B0618E">
        <w:t xml:space="preserve">DMIM </w:t>
      </w:r>
      <w:r w:rsidR="0083549A">
        <w:t xml:space="preserve">and Sobol’ </w:t>
      </w:r>
      <w:r w:rsidR="000E57E1">
        <w:t xml:space="preserve">global sensitivity analyses </w:t>
      </w:r>
      <w:r w:rsidR="0083549A">
        <w:t xml:space="preserve">were </w:t>
      </w:r>
      <w:r w:rsidR="00AA49F8" w:rsidRPr="00B0618E">
        <w:t>implemented using the Python language library SALib (Herman</w:t>
      </w:r>
      <w:r w:rsidR="00B36003" w:rsidRPr="00B0618E">
        <w:t xml:space="preserve"> and Usher, 2016</w:t>
      </w:r>
      <w:r w:rsidR="00AA49F8" w:rsidRPr="00B0618E">
        <w:t xml:space="preserve">). </w:t>
      </w:r>
      <w:r w:rsidR="00882D65" w:rsidRPr="00B0618E">
        <w:t>The Monte Carlo sampling employed by th</w:t>
      </w:r>
      <w:r w:rsidR="003638C4" w:rsidRPr="00B0618E">
        <w:t>e</w:t>
      </w:r>
      <w:r w:rsidR="00882D65" w:rsidRPr="00B0618E">
        <w:t>s</w:t>
      </w:r>
      <w:r w:rsidR="003638C4" w:rsidRPr="00B0618E">
        <w:t>e</w:t>
      </w:r>
      <w:r w:rsidR="00882D65" w:rsidRPr="00B0618E">
        <w:t xml:space="preserve"> </w:t>
      </w:r>
      <w:r w:rsidR="003638C4" w:rsidRPr="00B0618E">
        <w:t>algorithms</w:t>
      </w:r>
      <w:r w:rsidR="00882D65" w:rsidRPr="00B0618E">
        <w:t xml:space="preserve"> </w:t>
      </w:r>
      <w:r w:rsidR="0083549A">
        <w:t xml:space="preserve">provided the basis for prediction uncertainty analyses, which were visualised as </w:t>
      </w:r>
      <w:r w:rsidR="00882D65" w:rsidRPr="00B0618E">
        <w:t>scatterplot</w:t>
      </w:r>
      <w:r w:rsidR="0083549A">
        <w:t>s (see Appendix)</w:t>
      </w:r>
      <w:r w:rsidR="00882D65" w:rsidRPr="00B0618E">
        <w:t xml:space="preserve">. A </w:t>
      </w:r>
      <w:r w:rsidR="003638C4" w:rsidRPr="00B0618E">
        <w:t xml:space="preserve">sample size </w:t>
      </w:r>
      <w:r w:rsidR="00882D65" w:rsidRPr="00B0618E">
        <w:t xml:space="preserve">of 300 </w:t>
      </w:r>
      <w:r w:rsidR="003638C4" w:rsidRPr="00B0618E">
        <w:t>model runs provided the basis for both algorithms</w:t>
      </w:r>
      <w:r w:rsidR="00882D65" w:rsidRPr="00B0618E">
        <w:t>.</w:t>
      </w:r>
      <w:r w:rsidR="00C90DC5" w:rsidRPr="00B0618E">
        <w:t xml:space="preserve"> Uniform prior distributions with a range of two orders of magnitude were specified for all parameters tested. </w:t>
      </w:r>
      <w:r w:rsidR="00C228F8" w:rsidRPr="00B0618E">
        <w:t xml:space="preserve">Mean values were specified according to the parameter values described by </w:t>
      </w:r>
      <w:r w:rsidR="00045A85">
        <w:t>CDM Smith (2016)</w:t>
      </w:r>
      <w:r w:rsidR="00C228F8" w:rsidRPr="00B0618E">
        <w:t xml:space="preserve">. </w:t>
      </w:r>
      <w:r w:rsidR="00C90DC5" w:rsidRPr="00B0618E">
        <w:t xml:space="preserve">Parameter sampling was </w:t>
      </w:r>
      <w:r w:rsidR="00C228F8" w:rsidRPr="00B0618E">
        <w:t xml:space="preserve">undertaken using a Latin Hypercube approach, implemented using the </w:t>
      </w:r>
      <w:r w:rsidR="009C1AFE" w:rsidRPr="00B0618E">
        <w:rPr>
          <w:i/>
        </w:rPr>
        <w:t>SALib</w:t>
      </w:r>
      <w:r w:rsidR="00C228F8" w:rsidRPr="00B0618E">
        <w:rPr>
          <w:i/>
        </w:rPr>
        <w:t xml:space="preserve"> </w:t>
      </w:r>
      <w:r w:rsidR="00C228F8" w:rsidRPr="00B0618E">
        <w:t>library</w:t>
      </w:r>
      <w:r w:rsidR="00C228F8" w:rsidRPr="00B0618E">
        <w:rPr>
          <w:i/>
        </w:rPr>
        <w:t>.</w:t>
      </w:r>
      <w:r w:rsidR="00C228F8" w:rsidRPr="00B0618E">
        <w:t xml:space="preserve"> Custom</w:t>
      </w:r>
      <w:r w:rsidR="00B8394D">
        <w:t>ised</w:t>
      </w:r>
      <w:r w:rsidR="00C228F8" w:rsidRPr="00B0618E">
        <w:t xml:space="preserve"> Python scripts were used to generate </w:t>
      </w:r>
      <w:r w:rsidR="00446986" w:rsidRPr="00B0618E">
        <w:t xml:space="preserve">MODFLOW </w:t>
      </w:r>
      <w:r w:rsidR="00C228F8" w:rsidRPr="00B0618E">
        <w:t>model input files, to undertake parallel model runs, and to post</w:t>
      </w:r>
      <w:r w:rsidR="00E71B33" w:rsidRPr="00B0618E">
        <w:t>-</w:t>
      </w:r>
      <w:r w:rsidR="00C228F8" w:rsidRPr="00B0618E">
        <w:t>process model outputs, including the calculation of sensitivity metrics</w:t>
      </w:r>
      <w:r w:rsidR="004005EC">
        <w:t xml:space="preserve"> (quantitative sensitivity analysis) and the generation of scatter plots of prediction versus parameter values for each of the four groundwater impact metrics (qualitative sensitivity analysis)</w:t>
      </w:r>
      <w:r w:rsidR="00AC0B78">
        <w:t xml:space="preserve"> (see Pianosi et al. (2016) for a review of helpful visualisation tools for </w:t>
      </w:r>
      <w:r w:rsidR="00F22162">
        <w:t>global sensitivity analysis</w:t>
      </w:r>
      <w:r w:rsidR="00AC0B78">
        <w:t>)</w:t>
      </w:r>
      <w:r w:rsidR="004005EC">
        <w:t>.</w:t>
      </w:r>
    </w:p>
    <w:p w14:paraId="399525E8" w14:textId="77777777" w:rsidR="00DF7303" w:rsidRPr="00B0618E" w:rsidRDefault="00DF7303" w:rsidP="00DF7303">
      <w:pPr>
        <w:pStyle w:val="Heading3"/>
      </w:pPr>
      <w:r w:rsidRPr="00B0618E">
        <w:t>Real</w:t>
      </w:r>
      <w:r w:rsidR="00903E81" w:rsidRPr="00B0618E">
        <w:t>-</w:t>
      </w:r>
      <w:r w:rsidRPr="00B0618E">
        <w:t>time parameter re</w:t>
      </w:r>
      <w:r w:rsidR="00740460" w:rsidRPr="00B0618E">
        <w:t>-</w:t>
      </w:r>
      <w:r w:rsidRPr="00B0618E">
        <w:t>sampling</w:t>
      </w:r>
    </w:p>
    <w:p w14:paraId="5EF3F235" w14:textId="0DCEEA3C" w:rsidR="00987984" w:rsidRPr="00B0618E" w:rsidRDefault="005C5D0E" w:rsidP="001B3004">
      <w:pPr>
        <w:pStyle w:val="BodyText"/>
        <w:rPr>
          <w:color w:val="auto"/>
        </w:rPr>
      </w:pPr>
      <w:r w:rsidRPr="00B0618E">
        <w:rPr>
          <w:color w:val="auto"/>
        </w:rPr>
        <w:t xml:space="preserve">As indicated by model stress testing results (Section </w:t>
      </w:r>
      <w:r w:rsidRPr="00B0618E">
        <w:rPr>
          <w:color w:val="auto"/>
        </w:rPr>
        <w:fldChar w:fldCharType="begin"/>
      </w:r>
      <w:r w:rsidRPr="00B0618E">
        <w:rPr>
          <w:color w:val="auto"/>
        </w:rPr>
        <w:instrText xml:space="preserve"> REF _Ref465074536 \r \h </w:instrText>
      </w:r>
      <w:r w:rsidR="00B0618E">
        <w:rPr>
          <w:color w:val="auto"/>
        </w:rPr>
        <w:instrText xml:space="preserve"> \* MERGEFORMAT </w:instrText>
      </w:r>
      <w:r w:rsidRPr="00B0618E">
        <w:rPr>
          <w:color w:val="auto"/>
        </w:rPr>
      </w:r>
      <w:r w:rsidRPr="00B0618E">
        <w:rPr>
          <w:color w:val="auto"/>
        </w:rPr>
        <w:fldChar w:fldCharType="separate"/>
      </w:r>
      <w:r w:rsidR="000B6FA5">
        <w:rPr>
          <w:color w:val="auto"/>
        </w:rPr>
        <w:t>3.3</w:t>
      </w:r>
      <w:r w:rsidRPr="00B0618E">
        <w:rPr>
          <w:color w:val="auto"/>
        </w:rPr>
        <w:fldChar w:fldCharType="end"/>
      </w:r>
      <w:r w:rsidRPr="00B0618E">
        <w:rPr>
          <w:color w:val="auto"/>
        </w:rPr>
        <w:t xml:space="preserve">), the numerical convergence of the </w:t>
      </w:r>
      <w:r w:rsidR="00045A85">
        <w:rPr>
          <w:color w:val="auto"/>
        </w:rPr>
        <w:t>CDM Smith (2016)</w:t>
      </w:r>
      <w:r w:rsidR="00E253E9" w:rsidRPr="00B0618E">
        <w:rPr>
          <w:color w:val="auto"/>
        </w:rPr>
        <w:t xml:space="preserve"> </w:t>
      </w:r>
      <w:r w:rsidRPr="00B0618E">
        <w:rPr>
          <w:color w:val="auto"/>
        </w:rPr>
        <w:t xml:space="preserve">model was not unconditionally robust, given the specified parameter prior distributions. Therefore it was not known prior to undertaking global sensitivity analyses whether parameter sets generated by the </w:t>
      </w:r>
      <w:r w:rsidR="009C1AFE" w:rsidRPr="00B0618E">
        <w:rPr>
          <w:i/>
          <w:color w:val="auto"/>
        </w:rPr>
        <w:t>SALib</w:t>
      </w:r>
      <w:r w:rsidRPr="00B0618E">
        <w:rPr>
          <w:color w:val="auto"/>
        </w:rPr>
        <w:t xml:space="preserve"> library would be convergent. For this reason, parameter resampling was incorporated into the GSA algorithm. After the completion of each model run, a model convergence check as performed. If the model was found to have not converged </w:t>
      </w:r>
      <w:r w:rsidRPr="00B0618E">
        <w:t>then</w:t>
      </w:r>
      <w:r w:rsidRPr="00B0618E">
        <w:rPr>
          <w:color w:val="auto"/>
        </w:rPr>
        <w:t xml:space="preserve"> a new parameter set was generated and the model was rerun. This procedure was repeated until a convergent parameter set was achieved, which was then recorded. </w:t>
      </w:r>
      <w:r w:rsidR="00994757" w:rsidRPr="00B0618E">
        <w:rPr>
          <w:color w:val="auto"/>
        </w:rPr>
        <w:t>Inspection of the final set of 300 convergent parameter sets confirmed that comprehensive sampling of the ranges specified for each parameter w</w:t>
      </w:r>
      <w:r w:rsidR="00B40D21" w:rsidRPr="00B0618E">
        <w:rPr>
          <w:color w:val="auto"/>
        </w:rPr>
        <w:t>as</w:t>
      </w:r>
      <w:r w:rsidR="00994757" w:rsidRPr="00B0618E">
        <w:rPr>
          <w:color w:val="auto"/>
        </w:rPr>
        <w:t xml:space="preserve"> achieved (</w:t>
      </w:r>
      <w:r w:rsidR="00921DC2" w:rsidRPr="00B0618E">
        <w:rPr>
          <w:color w:val="auto"/>
        </w:rPr>
        <w:fldChar w:fldCharType="begin"/>
      </w:r>
      <w:r w:rsidR="00921DC2" w:rsidRPr="00B0618E">
        <w:rPr>
          <w:color w:val="auto"/>
        </w:rPr>
        <w:instrText xml:space="preserve"> REF _Ref468449385 \h </w:instrText>
      </w:r>
      <w:r w:rsidR="00B0618E">
        <w:rPr>
          <w:color w:val="auto"/>
        </w:rPr>
        <w:instrText xml:space="preserve"> \* MERGEFORMAT </w:instrText>
      </w:r>
      <w:r w:rsidR="00921DC2" w:rsidRPr="00B0618E">
        <w:rPr>
          <w:color w:val="auto"/>
        </w:rPr>
      </w:r>
      <w:r w:rsidR="00921DC2" w:rsidRPr="00B0618E">
        <w:rPr>
          <w:color w:val="auto"/>
        </w:rPr>
        <w:fldChar w:fldCharType="separate"/>
      </w:r>
      <w:r w:rsidR="000B6FA5" w:rsidRPr="00B0618E">
        <w:t xml:space="preserve">Table </w:t>
      </w:r>
      <w:r w:rsidR="000B6FA5">
        <w:rPr>
          <w:noProof/>
        </w:rPr>
        <w:t>3</w:t>
      </w:r>
      <w:r w:rsidR="000B6FA5">
        <w:rPr>
          <w:noProof/>
        </w:rPr>
        <w:noBreakHyphen/>
        <w:t>2</w:t>
      </w:r>
      <w:r w:rsidR="00921DC2" w:rsidRPr="00B0618E">
        <w:rPr>
          <w:color w:val="auto"/>
        </w:rPr>
        <w:fldChar w:fldCharType="end"/>
      </w:r>
      <w:r w:rsidR="00994757" w:rsidRPr="00B0618E">
        <w:rPr>
          <w:color w:val="auto"/>
        </w:rPr>
        <w:t>).</w:t>
      </w:r>
      <w:bookmarkStart w:id="55" w:name="_Ref467659046"/>
    </w:p>
    <w:p w14:paraId="29DC08C1" w14:textId="615027FE" w:rsidR="000B123D" w:rsidRPr="00B0618E" w:rsidRDefault="00987984" w:rsidP="001B3004">
      <w:pPr>
        <w:pStyle w:val="BodyText"/>
        <w:rPr>
          <w:b/>
          <w:bCs/>
          <w:color w:val="007E9A" w:themeColor="accent1" w:themeShade="BF"/>
          <w:sz w:val="20"/>
          <w:szCs w:val="18"/>
        </w:rPr>
      </w:pPr>
      <w:r w:rsidRPr="00B0618E">
        <w:rPr>
          <w:color w:val="auto"/>
        </w:rPr>
        <w:t>Mean values for a uniform or log-uniform distribution function are calculated as mean = (minimum + maximum)/2. Based on a log-uniform distribution, the mean log</w:t>
      </w:r>
      <w:r w:rsidRPr="00B0618E">
        <w:rPr>
          <w:color w:val="auto"/>
          <w:vertAlign w:val="subscript"/>
        </w:rPr>
        <w:t>10</w:t>
      </w:r>
      <w:r w:rsidRPr="00B0618E">
        <w:rPr>
          <w:color w:val="auto"/>
        </w:rPr>
        <w:t xml:space="preserve"> </w:t>
      </w:r>
      <w:r w:rsidRPr="00B0618E">
        <w:rPr>
          <w:i/>
          <w:color w:val="auto"/>
        </w:rPr>
        <w:t>K</w:t>
      </w:r>
      <w:r w:rsidRPr="00B0618E">
        <w:rPr>
          <w:color w:val="auto"/>
          <w:vertAlign w:val="subscript"/>
        </w:rPr>
        <w:t>V</w:t>
      </w:r>
      <w:r w:rsidRPr="00B0618E">
        <w:rPr>
          <w:color w:val="auto"/>
        </w:rPr>
        <w:t xml:space="preserve"> </w:t>
      </w:r>
      <w:r w:rsidR="004C3E74">
        <w:rPr>
          <w:color w:val="auto"/>
        </w:rPr>
        <w:t xml:space="preserve">(with </w:t>
      </w:r>
      <w:r w:rsidR="004C3E74" w:rsidRPr="00B0618E">
        <w:rPr>
          <w:i/>
          <w:color w:val="auto"/>
        </w:rPr>
        <w:t>K</w:t>
      </w:r>
      <w:r w:rsidR="004C3E74" w:rsidRPr="00B0618E">
        <w:rPr>
          <w:color w:val="auto"/>
          <w:vertAlign w:val="subscript"/>
        </w:rPr>
        <w:t>V</w:t>
      </w:r>
      <w:r w:rsidR="004C3E74">
        <w:rPr>
          <w:color w:val="auto"/>
        </w:rPr>
        <w:t xml:space="preserve"> in m/day) </w:t>
      </w:r>
      <w:r w:rsidRPr="00B0618E">
        <w:rPr>
          <w:color w:val="auto"/>
        </w:rPr>
        <w:t>for both the upper and lower aquitard is calculated to</w:t>
      </w:r>
      <w:r w:rsidR="004C3E74">
        <w:rPr>
          <w:color w:val="auto"/>
        </w:rPr>
        <w:t xml:space="preserve"> be </w:t>
      </w:r>
      <w:r w:rsidR="004C3E74" w:rsidRPr="00B0618E">
        <w:rPr>
          <w:color w:val="auto"/>
        </w:rPr>
        <w:t>log</w:t>
      </w:r>
      <w:r w:rsidR="004C3E74" w:rsidRPr="00B0618E">
        <w:rPr>
          <w:color w:val="auto"/>
          <w:vertAlign w:val="subscript"/>
        </w:rPr>
        <w:t>10</w:t>
      </w:r>
      <w:r w:rsidR="004C3E74" w:rsidRPr="00B0618E">
        <w:rPr>
          <w:color w:val="auto"/>
        </w:rPr>
        <w:t xml:space="preserve"> </w:t>
      </w:r>
      <w:r w:rsidR="004C3E74" w:rsidRPr="00B0618E">
        <w:rPr>
          <w:i/>
          <w:color w:val="auto"/>
        </w:rPr>
        <w:t>K</w:t>
      </w:r>
      <w:r w:rsidR="004C3E74" w:rsidRPr="00B0618E">
        <w:rPr>
          <w:color w:val="auto"/>
          <w:vertAlign w:val="subscript"/>
        </w:rPr>
        <w:t>V</w:t>
      </w:r>
      <w:r w:rsidR="004C3E74">
        <w:rPr>
          <w:color w:val="auto"/>
          <w:vertAlign w:val="subscript"/>
        </w:rPr>
        <w:t xml:space="preserve"> </w:t>
      </w:r>
      <w:r w:rsidR="004C3E74" w:rsidRPr="004C3E74">
        <w:rPr>
          <w:color w:val="auto"/>
        </w:rPr>
        <w:t>=</w:t>
      </w:r>
      <w:r w:rsidRPr="00B0618E">
        <w:rPr>
          <w:color w:val="auto"/>
        </w:rPr>
        <w:t xml:space="preserve"> -5</w:t>
      </w:r>
      <w:r w:rsidR="004C3E74">
        <w:rPr>
          <w:color w:val="auto"/>
        </w:rPr>
        <w:t>.0</w:t>
      </w:r>
      <w:r w:rsidRPr="00B0618E">
        <w:rPr>
          <w:color w:val="auto"/>
        </w:rPr>
        <w:t xml:space="preserve">. This value will be compared with updated values following the improved aquitard characterisation (Section </w:t>
      </w:r>
      <w:r w:rsidRPr="00B0618E">
        <w:rPr>
          <w:color w:val="auto"/>
        </w:rPr>
        <w:fldChar w:fldCharType="begin"/>
      </w:r>
      <w:r w:rsidRPr="00B0618E">
        <w:rPr>
          <w:color w:val="auto"/>
        </w:rPr>
        <w:instrText xml:space="preserve"> REF _Ref476303051 \r \h </w:instrText>
      </w:r>
      <w:r w:rsidR="00B0618E">
        <w:rPr>
          <w:color w:val="auto"/>
        </w:rPr>
        <w:instrText xml:space="preserve"> \* MERGEFORMAT </w:instrText>
      </w:r>
      <w:r w:rsidRPr="00B0618E">
        <w:rPr>
          <w:color w:val="auto"/>
        </w:rPr>
      </w:r>
      <w:r w:rsidRPr="00B0618E">
        <w:rPr>
          <w:color w:val="auto"/>
        </w:rPr>
        <w:fldChar w:fldCharType="separate"/>
      </w:r>
      <w:r w:rsidR="000B6FA5">
        <w:rPr>
          <w:color w:val="auto"/>
        </w:rPr>
        <w:t>4</w:t>
      </w:r>
      <w:r w:rsidRPr="00B0618E">
        <w:rPr>
          <w:color w:val="auto"/>
        </w:rPr>
        <w:fldChar w:fldCharType="end"/>
      </w:r>
      <w:r w:rsidRPr="00B0618E">
        <w:rPr>
          <w:color w:val="auto"/>
        </w:rPr>
        <w:t>).</w:t>
      </w:r>
      <w:r w:rsidR="000B123D" w:rsidRPr="00B0618E">
        <w:br w:type="page"/>
      </w:r>
    </w:p>
    <w:p w14:paraId="794894EC" w14:textId="4B631D5E" w:rsidR="001E4485" w:rsidRPr="00B0618E" w:rsidRDefault="001E4485" w:rsidP="00994757">
      <w:pPr>
        <w:pStyle w:val="Caption"/>
      </w:pPr>
      <w:bookmarkStart w:id="56" w:name="_Ref468449385"/>
      <w:bookmarkStart w:id="57" w:name="_Toc503253888"/>
      <w:r w:rsidRPr="00B0618E">
        <w:t xml:space="preserve">Table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2</w:t>
      </w:r>
      <w:r w:rsidR="00A2085C">
        <w:rPr>
          <w:noProof/>
        </w:rPr>
        <w:fldChar w:fldCharType="end"/>
      </w:r>
      <w:bookmarkEnd w:id="55"/>
      <w:bookmarkEnd w:id="56"/>
      <w:r w:rsidRPr="00B0618E">
        <w:t>.</w:t>
      </w:r>
      <w:r w:rsidR="00BB71AC" w:rsidRPr="00B0618E">
        <w:t xml:space="preserve"> Specified and sampled minimum and maximum parameter values used in preliminary global sensitivity analysis of the </w:t>
      </w:r>
      <w:r w:rsidR="006B1865" w:rsidRPr="00B0618E">
        <w:t xml:space="preserve">preliminary </w:t>
      </w:r>
      <w:r w:rsidR="00045A85">
        <w:t>CDM Smith (2016)</w:t>
      </w:r>
      <w:r w:rsidR="00E253E9" w:rsidRPr="00B0618E">
        <w:t xml:space="preserve"> </w:t>
      </w:r>
      <w:r w:rsidR="00BB71AC" w:rsidRPr="00B0618E">
        <w:t>groundwater flow model.</w:t>
      </w:r>
      <w:r w:rsidR="00503808" w:rsidRPr="00B0618E">
        <w:t xml:space="preserve"> </w:t>
      </w:r>
      <w:r w:rsidR="00C3691C">
        <w:t>A</w:t>
      </w:r>
      <w:r w:rsidR="008E5D3E" w:rsidRPr="00B0618E">
        <w:t>ll parameters were log</w:t>
      </w:r>
      <w:r w:rsidR="008E5D3E" w:rsidRPr="00B0618E">
        <w:rPr>
          <w:vertAlign w:val="subscript"/>
        </w:rPr>
        <w:t>10</w:t>
      </w:r>
      <w:r w:rsidR="008E5D3E" w:rsidRPr="00B0618E">
        <w:t xml:space="preserve"> transformed and </w:t>
      </w:r>
      <w:r w:rsidR="00D12FDC" w:rsidRPr="00B0618E">
        <w:t xml:space="preserve">random sampling of parameters was undertaken from </w:t>
      </w:r>
      <w:r w:rsidR="008E5D3E" w:rsidRPr="00B0618E">
        <w:t>log-u</w:t>
      </w:r>
      <w:r w:rsidR="00503808" w:rsidRPr="00B0618E">
        <w:t>niform distribution</w:t>
      </w:r>
      <w:r w:rsidR="008E5D3E" w:rsidRPr="00B0618E">
        <w:t>s</w:t>
      </w:r>
      <w:r w:rsidR="00503808" w:rsidRPr="00B0618E">
        <w:t>.</w:t>
      </w:r>
      <w:r w:rsidR="00B41C09">
        <w:t xml:space="preserve"> </w:t>
      </w:r>
      <w:r w:rsidR="004900B0" w:rsidRPr="00994828">
        <w:rPr>
          <w:i/>
        </w:rPr>
        <w:t>K</w:t>
      </w:r>
      <w:r w:rsidR="004900B0" w:rsidRPr="00994828">
        <w:rPr>
          <w:vertAlign w:val="subscript"/>
        </w:rPr>
        <w:t>H</w:t>
      </w:r>
      <w:r w:rsidR="004900B0" w:rsidRPr="00994828">
        <w:rPr>
          <w:i/>
        </w:rPr>
        <w:t xml:space="preserve"> </w:t>
      </w:r>
      <w:r w:rsidR="00B41C09">
        <w:t xml:space="preserve">and </w:t>
      </w:r>
      <w:r w:rsidR="004900B0" w:rsidRPr="00994828">
        <w:rPr>
          <w:i/>
        </w:rPr>
        <w:t>K</w:t>
      </w:r>
      <w:r w:rsidR="004900B0" w:rsidRPr="00994828">
        <w:rPr>
          <w:vertAlign w:val="subscript"/>
        </w:rPr>
        <w:t>V</w:t>
      </w:r>
      <w:r w:rsidR="004900B0" w:rsidRPr="00994828" w:rsidDel="004900B0">
        <w:rPr>
          <w:i/>
        </w:rPr>
        <w:t xml:space="preserve"> </w:t>
      </w:r>
      <w:r w:rsidR="00B41C09">
        <w:t xml:space="preserve">in m/day, SS in </w:t>
      </w:r>
      <w:r w:rsidR="00994828">
        <w:t>m</w:t>
      </w:r>
      <w:r w:rsidR="00994828" w:rsidRPr="00994828">
        <w:rPr>
          <w:vertAlign w:val="superscript"/>
        </w:rPr>
        <w:t>-1</w:t>
      </w:r>
      <w:r w:rsidR="00994828">
        <w:t>.</w:t>
      </w:r>
      <w:bookmarkEnd w:id="57"/>
    </w:p>
    <w:tbl>
      <w:tblPr>
        <w:tblStyle w:val="TableCSIRO"/>
        <w:tblW w:w="5000" w:type="pct"/>
        <w:tblInd w:w="0" w:type="dxa"/>
        <w:tblLayout w:type="fixed"/>
        <w:tblLook w:val="04A0" w:firstRow="1" w:lastRow="0" w:firstColumn="1" w:lastColumn="0" w:noHBand="0" w:noVBand="1"/>
        <w:tblCaption w:val="Table 3-2"/>
        <w:tblDescription w:val="Table of values used in sensitivity analysis"/>
      </w:tblPr>
      <w:tblGrid>
        <w:gridCol w:w="527"/>
        <w:gridCol w:w="3162"/>
        <w:gridCol w:w="1190"/>
        <w:gridCol w:w="1190"/>
        <w:gridCol w:w="1189"/>
        <w:gridCol w:w="1189"/>
        <w:gridCol w:w="1191"/>
      </w:tblGrid>
      <w:tr w:rsidR="000B6D10" w:rsidRPr="00B0618E" w14:paraId="13251DB8" w14:textId="77777777" w:rsidTr="0028010B">
        <w:trPr>
          <w:cnfStyle w:val="100000000000" w:firstRow="1" w:lastRow="0" w:firstColumn="0" w:lastColumn="0" w:oddVBand="0" w:evenVBand="0" w:oddHBand="0" w:evenHBand="0" w:firstRowFirstColumn="0" w:firstRowLastColumn="0" w:lastRowFirstColumn="0" w:lastRowLastColumn="0"/>
          <w:trHeight w:val="264"/>
          <w:tblHeader/>
        </w:trPr>
        <w:tc>
          <w:tcPr>
            <w:cnfStyle w:val="001000000000" w:firstRow="0" w:lastRow="0" w:firstColumn="1" w:lastColumn="0" w:oddVBand="0" w:evenVBand="0" w:oddHBand="0" w:evenHBand="0" w:firstRowFirstColumn="0" w:firstRowLastColumn="0" w:lastRowFirstColumn="0" w:lastRowLastColumn="0"/>
            <w:tcW w:w="273" w:type="pct"/>
            <w:noWrap/>
            <w:vAlign w:val="center"/>
            <w:hideMark/>
          </w:tcPr>
          <w:p w14:paraId="70862681" w14:textId="77777777" w:rsidR="000B6D10" w:rsidRPr="00B0618E" w:rsidRDefault="000B6D10" w:rsidP="000B6D10">
            <w:pPr>
              <w:pStyle w:val="RowHeading"/>
              <w:rPr>
                <w:rFonts w:asciiTheme="minorHAnsi" w:hAnsiTheme="minorHAnsi"/>
                <w:szCs w:val="18"/>
              </w:rPr>
            </w:pPr>
            <w:r w:rsidRPr="00B0618E">
              <w:rPr>
                <w:rFonts w:asciiTheme="minorHAnsi" w:hAnsiTheme="minorHAnsi"/>
                <w:szCs w:val="18"/>
              </w:rPr>
              <w:t>n</w:t>
            </w:r>
          </w:p>
        </w:tc>
        <w:tc>
          <w:tcPr>
            <w:tcW w:w="1640" w:type="pct"/>
            <w:vAlign w:val="center"/>
          </w:tcPr>
          <w:p w14:paraId="65801DF8" w14:textId="77777777" w:rsidR="000B6D10" w:rsidRPr="00B0618E" w:rsidRDefault="000B6D10" w:rsidP="000B6D10">
            <w:pPr>
              <w:pStyle w:val="RowHeading"/>
              <w:cnfStyle w:val="100000000000" w:firstRow="1"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Hydrostratigraphic unit</w:t>
            </w:r>
          </w:p>
        </w:tc>
        <w:tc>
          <w:tcPr>
            <w:tcW w:w="617" w:type="pct"/>
            <w:noWrap/>
            <w:vAlign w:val="center"/>
            <w:hideMark/>
          </w:tcPr>
          <w:p w14:paraId="7F0A9DB7" w14:textId="77777777" w:rsidR="000B6D10" w:rsidRPr="00B0618E" w:rsidRDefault="000B6D10" w:rsidP="000B6D10">
            <w:pPr>
              <w:pStyle w:val="RowHeading"/>
              <w:jc w:val="right"/>
              <w:cnfStyle w:val="100000000000" w:firstRow="1"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Parameter</w:t>
            </w:r>
          </w:p>
        </w:tc>
        <w:tc>
          <w:tcPr>
            <w:tcW w:w="617" w:type="pct"/>
            <w:vAlign w:val="center"/>
          </w:tcPr>
          <w:p w14:paraId="55516187" w14:textId="77777777" w:rsidR="000B6D10" w:rsidRPr="00B0618E" w:rsidRDefault="000B6D10" w:rsidP="000B6D10">
            <w:pPr>
              <w:pStyle w:val="RowHeading"/>
              <w:jc w:val="right"/>
              <w:cnfStyle w:val="100000000000" w:firstRow="1"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Specified  minimum</w:t>
            </w:r>
          </w:p>
        </w:tc>
        <w:tc>
          <w:tcPr>
            <w:tcW w:w="617" w:type="pct"/>
            <w:vAlign w:val="center"/>
          </w:tcPr>
          <w:p w14:paraId="2E174F30" w14:textId="77777777" w:rsidR="000B6D10" w:rsidRPr="00B0618E" w:rsidRDefault="000B6D10" w:rsidP="000B6D10">
            <w:pPr>
              <w:pStyle w:val="RowHeading"/>
              <w:jc w:val="right"/>
              <w:cnfStyle w:val="100000000000" w:firstRow="1"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Sampled  minimum</w:t>
            </w:r>
          </w:p>
        </w:tc>
        <w:tc>
          <w:tcPr>
            <w:tcW w:w="617" w:type="pct"/>
            <w:vAlign w:val="center"/>
          </w:tcPr>
          <w:p w14:paraId="4F45A16E" w14:textId="77777777" w:rsidR="000B6D10" w:rsidRPr="00B0618E" w:rsidRDefault="000B6D10" w:rsidP="000B6D10">
            <w:pPr>
              <w:pStyle w:val="RowHeading"/>
              <w:jc w:val="right"/>
              <w:cnfStyle w:val="100000000000" w:firstRow="1"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Specified maximum</w:t>
            </w:r>
          </w:p>
        </w:tc>
        <w:tc>
          <w:tcPr>
            <w:tcW w:w="618" w:type="pct"/>
            <w:vAlign w:val="center"/>
          </w:tcPr>
          <w:p w14:paraId="3D4ECD41" w14:textId="77777777" w:rsidR="000B6D10" w:rsidRPr="00B0618E" w:rsidRDefault="000B6D10" w:rsidP="000B6D10">
            <w:pPr>
              <w:pStyle w:val="RowHeading"/>
              <w:jc w:val="right"/>
              <w:cnfStyle w:val="100000000000" w:firstRow="1"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Sampled  maximum</w:t>
            </w:r>
          </w:p>
        </w:tc>
      </w:tr>
      <w:tr w:rsidR="000B6D10" w:rsidRPr="00B0618E" w14:paraId="5ACAEDFA"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hideMark/>
          </w:tcPr>
          <w:p w14:paraId="11F1CCED" w14:textId="77777777" w:rsidR="000B6D10" w:rsidRPr="00B0618E" w:rsidRDefault="000B6D10" w:rsidP="000B6D10">
            <w:pPr>
              <w:pStyle w:val="TableText"/>
              <w:rPr>
                <w:rFonts w:asciiTheme="minorHAnsi" w:hAnsiTheme="minorHAnsi"/>
                <w:b w:val="0"/>
                <w:color w:val="auto"/>
                <w:szCs w:val="18"/>
              </w:rPr>
            </w:pPr>
            <w:r w:rsidRPr="00B0618E">
              <w:rPr>
                <w:rFonts w:asciiTheme="minorHAnsi" w:hAnsiTheme="minorHAnsi"/>
                <w:b w:val="0"/>
                <w:color w:val="auto"/>
                <w:szCs w:val="18"/>
              </w:rPr>
              <w:t>1</w:t>
            </w:r>
          </w:p>
        </w:tc>
        <w:tc>
          <w:tcPr>
            <w:tcW w:w="1640" w:type="pct"/>
          </w:tcPr>
          <w:p w14:paraId="044F529A"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Namoi Alluvium</w:t>
            </w:r>
            <w:r w:rsidR="0028010B" w:rsidRPr="00B0618E">
              <w:rPr>
                <w:rFonts w:asciiTheme="minorHAnsi" w:hAnsiTheme="minorHAnsi"/>
                <w:color w:val="auto"/>
                <w:szCs w:val="18"/>
              </w:rPr>
              <w:t xml:space="preserve"> aquifer</w:t>
            </w:r>
          </w:p>
        </w:tc>
        <w:tc>
          <w:tcPr>
            <w:tcW w:w="617" w:type="pct"/>
            <w:noWrap/>
          </w:tcPr>
          <w:p w14:paraId="7220A1C1" w14:textId="5A908FAF"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i/>
                <w:color w:val="auto"/>
                <w:szCs w:val="18"/>
              </w:rPr>
              <w:t>K</w:t>
            </w:r>
            <w:r w:rsidR="00036549" w:rsidRPr="00B0618E">
              <w:rPr>
                <w:rFonts w:asciiTheme="minorHAnsi" w:hAnsiTheme="minorHAnsi"/>
                <w:i/>
                <w:color w:val="auto"/>
                <w:szCs w:val="18"/>
                <w:vertAlign w:val="subscript"/>
              </w:rPr>
              <w:t>H</w:t>
            </w:r>
            <w:r w:rsidRPr="00B0618E">
              <w:rPr>
                <w:rFonts w:asciiTheme="minorHAnsi" w:hAnsiTheme="minorHAnsi"/>
                <w:color w:val="auto"/>
                <w:szCs w:val="18"/>
              </w:rPr>
              <w:t>01</w:t>
            </w:r>
          </w:p>
        </w:tc>
        <w:tc>
          <w:tcPr>
            <w:tcW w:w="617" w:type="pct"/>
            <w:vAlign w:val="center"/>
          </w:tcPr>
          <w:p w14:paraId="68EA51B6"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-0.300</w:t>
            </w:r>
          </w:p>
        </w:tc>
        <w:tc>
          <w:tcPr>
            <w:tcW w:w="617" w:type="pct"/>
            <w:vAlign w:val="center"/>
          </w:tcPr>
          <w:p w14:paraId="004DA2D7"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color w:val="auto"/>
                <w:sz w:val="18"/>
              </w:rPr>
            </w:pPr>
            <w:r w:rsidRPr="00B0618E">
              <w:rPr>
                <w:color w:val="auto"/>
                <w:sz w:val="18"/>
              </w:rPr>
              <w:t xml:space="preserve"> 0.338</w:t>
            </w:r>
          </w:p>
        </w:tc>
        <w:tc>
          <w:tcPr>
            <w:tcW w:w="617" w:type="pct"/>
            <w:vAlign w:val="center"/>
          </w:tcPr>
          <w:p w14:paraId="3D6CBEEA"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1.700</w:t>
            </w:r>
          </w:p>
        </w:tc>
        <w:tc>
          <w:tcPr>
            <w:tcW w:w="618" w:type="pct"/>
            <w:vAlign w:val="center"/>
          </w:tcPr>
          <w:p w14:paraId="0FE4E251"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color w:val="auto"/>
                <w:sz w:val="18"/>
              </w:rPr>
            </w:pPr>
            <w:r w:rsidRPr="00B0618E">
              <w:rPr>
                <w:color w:val="auto"/>
                <w:sz w:val="18"/>
              </w:rPr>
              <w:t xml:space="preserve"> 1.613</w:t>
            </w:r>
          </w:p>
        </w:tc>
      </w:tr>
      <w:tr w:rsidR="000B6D10" w:rsidRPr="00B0618E" w14:paraId="46172B96"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hideMark/>
          </w:tcPr>
          <w:p w14:paraId="361884A2"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2</w:t>
            </w:r>
          </w:p>
        </w:tc>
        <w:tc>
          <w:tcPr>
            <w:tcW w:w="1640" w:type="pct"/>
          </w:tcPr>
          <w:p w14:paraId="65A51B82" w14:textId="77777777" w:rsidR="000B6D10" w:rsidRPr="00B0618E" w:rsidRDefault="00AD2BD2"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Wallumbilla Formation</w:t>
            </w:r>
            <w:r w:rsidR="0028010B" w:rsidRPr="00B0618E">
              <w:rPr>
                <w:rFonts w:asciiTheme="minorHAnsi" w:hAnsiTheme="minorHAnsi"/>
                <w:color w:val="auto"/>
                <w:szCs w:val="18"/>
              </w:rPr>
              <w:t xml:space="preserve"> aquitard</w:t>
            </w:r>
          </w:p>
        </w:tc>
        <w:tc>
          <w:tcPr>
            <w:tcW w:w="617" w:type="pct"/>
            <w:noWrap/>
          </w:tcPr>
          <w:p w14:paraId="0A1D3035" w14:textId="4DDA43A9"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H</w:t>
            </w:r>
            <w:r w:rsidRPr="00B0618E">
              <w:rPr>
                <w:rFonts w:asciiTheme="minorHAnsi" w:hAnsiTheme="minorHAnsi"/>
                <w:szCs w:val="18"/>
              </w:rPr>
              <w:t>02</w:t>
            </w:r>
          </w:p>
        </w:tc>
        <w:tc>
          <w:tcPr>
            <w:tcW w:w="617" w:type="pct"/>
            <w:vAlign w:val="center"/>
          </w:tcPr>
          <w:p w14:paraId="1CCF1CE6"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-5.000</w:t>
            </w:r>
          </w:p>
        </w:tc>
        <w:tc>
          <w:tcPr>
            <w:tcW w:w="617" w:type="pct"/>
            <w:vAlign w:val="center"/>
          </w:tcPr>
          <w:p w14:paraId="50946D82"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-4.993</w:t>
            </w:r>
          </w:p>
        </w:tc>
        <w:tc>
          <w:tcPr>
            <w:tcW w:w="617" w:type="pct"/>
            <w:vAlign w:val="center"/>
          </w:tcPr>
          <w:p w14:paraId="6939F8C7"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-3.000</w:t>
            </w:r>
          </w:p>
        </w:tc>
        <w:tc>
          <w:tcPr>
            <w:tcW w:w="618" w:type="pct"/>
            <w:vAlign w:val="center"/>
          </w:tcPr>
          <w:p w14:paraId="7009E15A"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-3.002</w:t>
            </w:r>
          </w:p>
        </w:tc>
      </w:tr>
      <w:tr w:rsidR="000B6D10" w:rsidRPr="00B0618E" w14:paraId="3895E4C0"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hideMark/>
          </w:tcPr>
          <w:p w14:paraId="01EFF6EF"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3</w:t>
            </w:r>
          </w:p>
        </w:tc>
        <w:tc>
          <w:tcPr>
            <w:tcW w:w="1640" w:type="pct"/>
          </w:tcPr>
          <w:p w14:paraId="6DE0CF57"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Blythesdale Group</w:t>
            </w:r>
            <w:r w:rsidR="0028010B" w:rsidRPr="00B0618E">
              <w:rPr>
                <w:rFonts w:asciiTheme="minorHAnsi" w:hAnsiTheme="minorHAnsi"/>
                <w:color w:val="auto"/>
                <w:szCs w:val="18"/>
              </w:rPr>
              <w:t xml:space="preserve"> aquitard</w:t>
            </w:r>
          </w:p>
        </w:tc>
        <w:tc>
          <w:tcPr>
            <w:tcW w:w="617" w:type="pct"/>
            <w:noWrap/>
          </w:tcPr>
          <w:p w14:paraId="647F365D" w14:textId="6166DB43"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H</w:t>
            </w:r>
            <w:r w:rsidRPr="00B0618E">
              <w:rPr>
                <w:rFonts w:asciiTheme="minorHAnsi" w:hAnsiTheme="minorHAnsi"/>
                <w:szCs w:val="18"/>
              </w:rPr>
              <w:t>03</w:t>
            </w:r>
          </w:p>
        </w:tc>
        <w:tc>
          <w:tcPr>
            <w:tcW w:w="617" w:type="pct"/>
            <w:vAlign w:val="center"/>
          </w:tcPr>
          <w:p w14:paraId="7F5584FE"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7" w:type="pct"/>
            <w:vAlign w:val="center"/>
          </w:tcPr>
          <w:p w14:paraId="0EDC041B"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-3.994</w:t>
            </w:r>
          </w:p>
        </w:tc>
        <w:tc>
          <w:tcPr>
            <w:tcW w:w="617" w:type="pct"/>
            <w:vAlign w:val="center"/>
          </w:tcPr>
          <w:p w14:paraId="29962ECA"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-2.000</w:t>
            </w:r>
          </w:p>
        </w:tc>
        <w:tc>
          <w:tcPr>
            <w:tcW w:w="618" w:type="pct"/>
            <w:vAlign w:val="center"/>
          </w:tcPr>
          <w:p w14:paraId="018DD0F4"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-2.002</w:t>
            </w:r>
          </w:p>
        </w:tc>
      </w:tr>
      <w:tr w:rsidR="000B6D10" w:rsidRPr="00B0618E" w14:paraId="7FA29A0A"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hideMark/>
          </w:tcPr>
          <w:p w14:paraId="697577DC"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4</w:t>
            </w:r>
          </w:p>
        </w:tc>
        <w:tc>
          <w:tcPr>
            <w:tcW w:w="1640" w:type="pct"/>
          </w:tcPr>
          <w:p w14:paraId="5A841D9E" w14:textId="77777777" w:rsidR="000B6D10" w:rsidRPr="00B0618E" w:rsidRDefault="000B6D10"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Pilliga Sandstone</w:t>
            </w:r>
            <w:r w:rsidR="0028010B" w:rsidRPr="00B0618E">
              <w:rPr>
                <w:rFonts w:asciiTheme="minorHAnsi" w:hAnsiTheme="minorHAnsi"/>
                <w:color w:val="auto"/>
                <w:szCs w:val="18"/>
              </w:rPr>
              <w:t xml:space="preserve"> aquifer</w:t>
            </w:r>
          </w:p>
        </w:tc>
        <w:tc>
          <w:tcPr>
            <w:tcW w:w="617" w:type="pct"/>
            <w:noWrap/>
          </w:tcPr>
          <w:p w14:paraId="1971296B" w14:textId="2B030B77"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H</w:t>
            </w:r>
            <w:r w:rsidRPr="00B0618E">
              <w:rPr>
                <w:rFonts w:asciiTheme="minorHAnsi" w:hAnsiTheme="minorHAnsi"/>
                <w:szCs w:val="18"/>
              </w:rPr>
              <w:t>04</w:t>
            </w:r>
          </w:p>
        </w:tc>
        <w:tc>
          <w:tcPr>
            <w:tcW w:w="617" w:type="pct"/>
            <w:vAlign w:val="center"/>
          </w:tcPr>
          <w:p w14:paraId="254E9A61"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-2.000</w:t>
            </w:r>
          </w:p>
        </w:tc>
        <w:tc>
          <w:tcPr>
            <w:tcW w:w="617" w:type="pct"/>
            <w:vAlign w:val="center"/>
          </w:tcPr>
          <w:p w14:paraId="53855108"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-1.941</w:t>
            </w:r>
          </w:p>
        </w:tc>
        <w:tc>
          <w:tcPr>
            <w:tcW w:w="617" w:type="pct"/>
            <w:vAlign w:val="center"/>
          </w:tcPr>
          <w:p w14:paraId="3C8278EC"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0.000</w:t>
            </w:r>
          </w:p>
        </w:tc>
        <w:tc>
          <w:tcPr>
            <w:tcW w:w="618" w:type="pct"/>
            <w:vAlign w:val="center"/>
          </w:tcPr>
          <w:p w14:paraId="7465C77A"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-0.016</w:t>
            </w:r>
          </w:p>
        </w:tc>
      </w:tr>
      <w:tr w:rsidR="000B6D10" w:rsidRPr="00B0618E" w14:paraId="3C1ECE1C"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hideMark/>
          </w:tcPr>
          <w:p w14:paraId="1BFC6241"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5</w:t>
            </w:r>
          </w:p>
        </w:tc>
        <w:tc>
          <w:tcPr>
            <w:tcW w:w="1640" w:type="pct"/>
          </w:tcPr>
          <w:p w14:paraId="3C520B64"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Upper aquitard sequence</w:t>
            </w:r>
          </w:p>
        </w:tc>
        <w:tc>
          <w:tcPr>
            <w:tcW w:w="617" w:type="pct"/>
            <w:noWrap/>
          </w:tcPr>
          <w:p w14:paraId="328BC283" w14:textId="39F459C4"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H</w:t>
            </w:r>
            <w:r w:rsidRPr="00B0618E">
              <w:rPr>
                <w:rFonts w:asciiTheme="minorHAnsi" w:hAnsiTheme="minorHAnsi"/>
                <w:szCs w:val="18"/>
              </w:rPr>
              <w:t>05</w:t>
            </w:r>
          </w:p>
        </w:tc>
        <w:tc>
          <w:tcPr>
            <w:tcW w:w="617" w:type="pct"/>
            <w:vAlign w:val="center"/>
          </w:tcPr>
          <w:p w14:paraId="36B1E47F"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7" w:type="pct"/>
            <w:vAlign w:val="center"/>
          </w:tcPr>
          <w:p w14:paraId="6197ABDC"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-3.994</w:t>
            </w:r>
          </w:p>
        </w:tc>
        <w:tc>
          <w:tcPr>
            <w:tcW w:w="617" w:type="pct"/>
            <w:vAlign w:val="center"/>
          </w:tcPr>
          <w:p w14:paraId="12A8FAF4"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-2.000</w:t>
            </w:r>
          </w:p>
        </w:tc>
        <w:tc>
          <w:tcPr>
            <w:tcW w:w="618" w:type="pct"/>
            <w:vAlign w:val="center"/>
          </w:tcPr>
          <w:p w14:paraId="77B028EC"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-2.006</w:t>
            </w:r>
          </w:p>
        </w:tc>
      </w:tr>
      <w:tr w:rsidR="000B6D10" w:rsidRPr="00B0618E" w14:paraId="57961993"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hideMark/>
          </w:tcPr>
          <w:p w14:paraId="04D5E310"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6</w:t>
            </w:r>
          </w:p>
        </w:tc>
        <w:tc>
          <w:tcPr>
            <w:tcW w:w="1640" w:type="pct"/>
          </w:tcPr>
          <w:p w14:paraId="1C749CF4" w14:textId="77777777" w:rsidR="000B6D10" w:rsidRPr="00B0618E" w:rsidRDefault="000B6D10"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Hoskissons Coal</w:t>
            </w:r>
          </w:p>
        </w:tc>
        <w:tc>
          <w:tcPr>
            <w:tcW w:w="617" w:type="pct"/>
            <w:noWrap/>
          </w:tcPr>
          <w:p w14:paraId="40B602B3" w14:textId="0C8F407B"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H</w:t>
            </w:r>
            <w:r w:rsidRPr="00B0618E">
              <w:rPr>
                <w:rFonts w:asciiTheme="minorHAnsi" w:hAnsiTheme="minorHAnsi"/>
                <w:szCs w:val="18"/>
              </w:rPr>
              <w:t>06</w:t>
            </w:r>
          </w:p>
        </w:tc>
        <w:tc>
          <w:tcPr>
            <w:tcW w:w="617" w:type="pct"/>
            <w:vAlign w:val="center"/>
          </w:tcPr>
          <w:p w14:paraId="21926080"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-2.000</w:t>
            </w:r>
          </w:p>
        </w:tc>
        <w:tc>
          <w:tcPr>
            <w:tcW w:w="617" w:type="pct"/>
            <w:vAlign w:val="center"/>
          </w:tcPr>
          <w:p w14:paraId="078CCF51"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-1.993</w:t>
            </w:r>
          </w:p>
        </w:tc>
        <w:tc>
          <w:tcPr>
            <w:tcW w:w="617" w:type="pct"/>
            <w:vAlign w:val="center"/>
          </w:tcPr>
          <w:p w14:paraId="3FFA0E79"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0.000</w:t>
            </w:r>
          </w:p>
        </w:tc>
        <w:tc>
          <w:tcPr>
            <w:tcW w:w="618" w:type="pct"/>
            <w:vAlign w:val="center"/>
          </w:tcPr>
          <w:p w14:paraId="770A0CB3"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-0.006</w:t>
            </w:r>
          </w:p>
        </w:tc>
      </w:tr>
      <w:tr w:rsidR="000B6D10" w:rsidRPr="00B0618E" w14:paraId="611B2EE0"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hideMark/>
          </w:tcPr>
          <w:p w14:paraId="346001A2"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7</w:t>
            </w:r>
          </w:p>
        </w:tc>
        <w:tc>
          <w:tcPr>
            <w:tcW w:w="1640" w:type="pct"/>
          </w:tcPr>
          <w:p w14:paraId="622B6689"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Lower aquitard sequence</w:t>
            </w:r>
          </w:p>
        </w:tc>
        <w:tc>
          <w:tcPr>
            <w:tcW w:w="617" w:type="pct"/>
            <w:noWrap/>
          </w:tcPr>
          <w:p w14:paraId="360988EF" w14:textId="73558E7F"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H</w:t>
            </w:r>
            <w:r w:rsidRPr="00B0618E">
              <w:rPr>
                <w:rFonts w:asciiTheme="minorHAnsi" w:hAnsiTheme="minorHAnsi"/>
                <w:szCs w:val="18"/>
              </w:rPr>
              <w:t>07</w:t>
            </w:r>
          </w:p>
        </w:tc>
        <w:tc>
          <w:tcPr>
            <w:tcW w:w="617" w:type="pct"/>
            <w:vAlign w:val="center"/>
          </w:tcPr>
          <w:p w14:paraId="26D719A2"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7" w:type="pct"/>
            <w:vAlign w:val="center"/>
          </w:tcPr>
          <w:p w14:paraId="24FF2968"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-3.990</w:t>
            </w:r>
          </w:p>
        </w:tc>
        <w:tc>
          <w:tcPr>
            <w:tcW w:w="617" w:type="pct"/>
            <w:vAlign w:val="center"/>
          </w:tcPr>
          <w:p w14:paraId="6BE42E2E"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-2.000</w:t>
            </w:r>
          </w:p>
        </w:tc>
        <w:tc>
          <w:tcPr>
            <w:tcW w:w="618" w:type="pct"/>
            <w:vAlign w:val="center"/>
          </w:tcPr>
          <w:p w14:paraId="2BCC8BC7"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-2.002</w:t>
            </w:r>
          </w:p>
        </w:tc>
      </w:tr>
      <w:tr w:rsidR="000B6D10" w:rsidRPr="00B0618E" w14:paraId="13E2B99C"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hideMark/>
          </w:tcPr>
          <w:p w14:paraId="6AE2428E"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8</w:t>
            </w:r>
          </w:p>
        </w:tc>
        <w:tc>
          <w:tcPr>
            <w:tcW w:w="1640" w:type="pct"/>
          </w:tcPr>
          <w:p w14:paraId="0520331B" w14:textId="77777777" w:rsidR="000B6D10" w:rsidRPr="00B0618E" w:rsidRDefault="000B6D10"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Maules Creek Formation interburden</w:t>
            </w:r>
          </w:p>
        </w:tc>
        <w:tc>
          <w:tcPr>
            <w:tcW w:w="617" w:type="pct"/>
            <w:noWrap/>
          </w:tcPr>
          <w:p w14:paraId="3F554D7A" w14:textId="5CC1F176"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H</w:t>
            </w:r>
            <w:r w:rsidRPr="00B0618E">
              <w:rPr>
                <w:rFonts w:asciiTheme="minorHAnsi" w:hAnsiTheme="minorHAnsi"/>
                <w:szCs w:val="18"/>
              </w:rPr>
              <w:t>08</w:t>
            </w:r>
          </w:p>
        </w:tc>
        <w:tc>
          <w:tcPr>
            <w:tcW w:w="617" w:type="pct"/>
            <w:vAlign w:val="center"/>
          </w:tcPr>
          <w:p w14:paraId="468A23C7"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7" w:type="pct"/>
            <w:vAlign w:val="center"/>
          </w:tcPr>
          <w:p w14:paraId="3C8B56B2"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-3.984</w:t>
            </w:r>
          </w:p>
        </w:tc>
        <w:tc>
          <w:tcPr>
            <w:tcW w:w="617" w:type="pct"/>
            <w:vAlign w:val="center"/>
          </w:tcPr>
          <w:p w14:paraId="4889B67E"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-2.000</w:t>
            </w:r>
          </w:p>
        </w:tc>
        <w:tc>
          <w:tcPr>
            <w:tcW w:w="618" w:type="pct"/>
            <w:vAlign w:val="center"/>
          </w:tcPr>
          <w:p w14:paraId="662AD2B8"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-2.002</w:t>
            </w:r>
          </w:p>
        </w:tc>
      </w:tr>
      <w:tr w:rsidR="000B6D10" w:rsidRPr="00B0618E" w14:paraId="23C152AD"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tcBorders>
              <w:bottom w:val="nil"/>
            </w:tcBorders>
            <w:noWrap/>
            <w:hideMark/>
          </w:tcPr>
          <w:p w14:paraId="7BF74433"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9</w:t>
            </w:r>
          </w:p>
        </w:tc>
        <w:tc>
          <w:tcPr>
            <w:tcW w:w="1640" w:type="pct"/>
            <w:tcBorders>
              <w:bottom w:val="nil"/>
            </w:tcBorders>
          </w:tcPr>
          <w:p w14:paraId="58005103"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Maules Creek Formation coal</w:t>
            </w:r>
          </w:p>
        </w:tc>
        <w:tc>
          <w:tcPr>
            <w:tcW w:w="617" w:type="pct"/>
            <w:tcBorders>
              <w:bottom w:val="nil"/>
            </w:tcBorders>
            <w:noWrap/>
          </w:tcPr>
          <w:p w14:paraId="1F30BCEE" w14:textId="506329C3"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H</w:t>
            </w:r>
            <w:r w:rsidRPr="00B0618E">
              <w:rPr>
                <w:rFonts w:asciiTheme="minorHAnsi" w:hAnsiTheme="minorHAnsi"/>
                <w:szCs w:val="18"/>
              </w:rPr>
              <w:t>09</w:t>
            </w:r>
          </w:p>
        </w:tc>
        <w:tc>
          <w:tcPr>
            <w:tcW w:w="617" w:type="pct"/>
            <w:tcBorders>
              <w:bottom w:val="nil"/>
            </w:tcBorders>
            <w:vAlign w:val="center"/>
          </w:tcPr>
          <w:p w14:paraId="2BCCABF6"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-2.000</w:t>
            </w:r>
          </w:p>
        </w:tc>
        <w:tc>
          <w:tcPr>
            <w:tcW w:w="617" w:type="pct"/>
            <w:tcBorders>
              <w:bottom w:val="nil"/>
            </w:tcBorders>
            <w:vAlign w:val="center"/>
          </w:tcPr>
          <w:p w14:paraId="65EDCA5E"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-1.996</w:t>
            </w:r>
          </w:p>
        </w:tc>
        <w:tc>
          <w:tcPr>
            <w:tcW w:w="617" w:type="pct"/>
            <w:tcBorders>
              <w:bottom w:val="nil"/>
            </w:tcBorders>
            <w:vAlign w:val="center"/>
          </w:tcPr>
          <w:p w14:paraId="6E79555B"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0.000</w:t>
            </w:r>
          </w:p>
        </w:tc>
        <w:tc>
          <w:tcPr>
            <w:tcW w:w="618" w:type="pct"/>
            <w:tcBorders>
              <w:bottom w:val="nil"/>
            </w:tcBorders>
            <w:vAlign w:val="center"/>
          </w:tcPr>
          <w:p w14:paraId="3FCC82C3"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-0.000</w:t>
            </w:r>
          </w:p>
        </w:tc>
      </w:tr>
      <w:tr w:rsidR="000B6D10" w:rsidRPr="00B0618E" w14:paraId="5E20EDE2"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tcBorders>
              <w:bottom w:val="single" w:sz="4" w:space="0" w:color="auto"/>
            </w:tcBorders>
            <w:noWrap/>
            <w:hideMark/>
          </w:tcPr>
          <w:p w14:paraId="4A8D7689"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10</w:t>
            </w:r>
          </w:p>
        </w:tc>
        <w:tc>
          <w:tcPr>
            <w:tcW w:w="1640" w:type="pct"/>
            <w:tcBorders>
              <w:bottom w:val="single" w:sz="4" w:space="0" w:color="auto"/>
            </w:tcBorders>
          </w:tcPr>
          <w:p w14:paraId="30094EBF" w14:textId="77777777" w:rsidR="000B6D10" w:rsidRPr="00B0618E" w:rsidRDefault="000B6D10"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Maules Creek Formation interburden</w:t>
            </w:r>
          </w:p>
        </w:tc>
        <w:tc>
          <w:tcPr>
            <w:tcW w:w="617" w:type="pct"/>
            <w:tcBorders>
              <w:bottom w:val="single" w:sz="4" w:space="0" w:color="auto"/>
            </w:tcBorders>
            <w:noWrap/>
          </w:tcPr>
          <w:p w14:paraId="701EBB38" w14:textId="21080DB9"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H</w:t>
            </w:r>
            <w:r w:rsidRPr="00B0618E">
              <w:rPr>
                <w:rFonts w:asciiTheme="minorHAnsi" w:hAnsiTheme="minorHAnsi"/>
                <w:szCs w:val="18"/>
              </w:rPr>
              <w:t>10</w:t>
            </w:r>
          </w:p>
        </w:tc>
        <w:tc>
          <w:tcPr>
            <w:tcW w:w="617" w:type="pct"/>
            <w:tcBorders>
              <w:bottom w:val="single" w:sz="4" w:space="0" w:color="auto"/>
            </w:tcBorders>
            <w:vAlign w:val="center"/>
          </w:tcPr>
          <w:p w14:paraId="66013845"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7" w:type="pct"/>
            <w:tcBorders>
              <w:bottom w:val="single" w:sz="4" w:space="0" w:color="auto"/>
            </w:tcBorders>
            <w:vAlign w:val="center"/>
          </w:tcPr>
          <w:p w14:paraId="57D8A2AE"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-3.993</w:t>
            </w:r>
          </w:p>
        </w:tc>
        <w:tc>
          <w:tcPr>
            <w:tcW w:w="617" w:type="pct"/>
            <w:tcBorders>
              <w:bottom w:val="single" w:sz="4" w:space="0" w:color="auto"/>
            </w:tcBorders>
            <w:vAlign w:val="center"/>
          </w:tcPr>
          <w:p w14:paraId="2CE5D177"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-2.000</w:t>
            </w:r>
          </w:p>
        </w:tc>
        <w:tc>
          <w:tcPr>
            <w:tcW w:w="618" w:type="pct"/>
            <w:tcBorders>
              <w:bottom w:val="single" w:sz="4" w:space="0" w:color="auto"/>
            </w:tcBorders>
            <w:vAlign w:val="center"/>
          </w:tcPr>
          <w:p w14:paraId="07A19D6C"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-2.005</w:t>
            </w:r>
          </w:p>
        </w:tc>
      </w:tr>
      <w:tr w:rsidR="0028010B" w:rsidRPr="00B0618E" w14:paraId="2D0D718B"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tcBorders>
              <w:top w:val="single" w:sz="4" w:space="0" w:color="auto"/>
            </w:tcBorders>
            <w:noWrap/>
            <w:hideMark/>
          </w:tcPr>
          <w:p w14:paraId="3052D30A" w14:textId="77777777" w:rsidR="0028010B" w:rsidRPr="00B0618E" w:rsidRDefault="0028010B" w:rsidP="0028010B">
            <w:pPr>
              <w:pStyle w:val="TableText"/>
              <w:rPr>
                <w:rFonts w:asciiTheme="minorHAnsi" w:hAnsiTheme="minorHAnsi"/>
                <w:b w:val="0"/>
                <w:szCs w:val="18"/>
              </w:rPr>
            </w:pPr>
            <w:r w:rsidRPr="00B0618E">
              <w:rPr>
                <w:rFonts w:asciiTheme="minorHAnsi" w:hAnsiTheme="minorHAnsi"/>
                <w:b w:val="0"/>
                <w:szCs w:val="18"/>
              </w:rPr>
              <w:t>11</w:t>
            </w:r>
          </w:p>
        </w:tc>
        <w:tc>
          <w:tcPr>
            <w:tcW w:w="1640" w:type="pct"/>
            <w:tcBorders>
              <w:top w:val="single" w:sz="4" w:space="0" w:color="auto"/>
            </w:tcBorders>
          </w:tcPr>
          <w:p w14:paraId="7476FB99" w14:textId="77777777" w:rsidR="0028010B" w:rsidRPr="00B0618E" w:rsidRDefault="0028010B" w:rsidP="0028010B">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Namoi Alluvium aquifer</w:t>
            </w:r>
          </w:p>
        </w:tc>
        <w:tc>
          <w:tcPr>
            <w:tcW w:w="617" w:type="pct"/>
            <w:tcBorders>
              <w:top w:val="single" w:sz="4" w:space="0" w:color="auto"/>
            </w:tcBorders>
            <w:noWrap/>
          </w:tcPr>
          <w:p w14:paraId="139F1C0A" w14:textId="0F8F7C4E" w:rsidR="0028010B" w:rsidRPr="00B0618E" w:rsidRDefault="0028010B"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V</w:t>
            </w:r>
            <w:r w:rsidRPr="00B0618E">
              <w:rPr>
                <w:rFonts w:asciiTheme="minorHAnsi" w:hAnsiTheme="minorHAnsi"/>
                <w:szCs w:val="18"/>
              </w:rPr>
              <w:t>01</w:t>
            </w:r>
          </w:p>
        </w:tc>
        <w:tc>
          <w:tcPr>
            <w:tcW w:w="617" w:type="pct"/>
            <w:tcBorders>
              <w:top w:val="single" w:sz="4" w:space="0" w:color="auto"/>
            </w:tcBorders>
            <w:vAlign w:val="center"/>
          </w:tcPr>
          <w:p w14:paraId="5A035E0F" w14:textId="77777777" w:rsidR="0028010B" w:rsidRPr="00B0618E" w:rsidRDefault="0028010B" w:rsidP="0028010B">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-1.300</w:t>
            </w:r>
          </w:p>
        </w:tc>
        <w:tc>
          <w:tcPr>
            <w:tcW w:w="617" w:type="pct"/>
            <w:tcBorders>
              <w:top w:val="single" w:sz="4" w:space="0" w:color="auto"/>
            </w:tcBorders>
            <w:vAlign w:val="center"/>
          </w:tcPr>
          <w:p w14:paraId="4E3C48A7" w14:textId="77777777" w:rsidR="0028010B" w:rsidRPr="00B0618E" w:rsidRDefault="0028010B" w:rsidP="0028010B">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-1.295</w:t>
            </w:r>
          </w:p>
        </w:tc>
        <w:tc>
          <w:tcPr>
            <w:tcW w:w="617" w:type="pct"/>
            <w:tcBorders>
              <w:top w:val="single" w:sz="4" w:space="0" w:color="auto"/>
            </w:tcBorders>
            <w:vAlign w:val="center"/>
          </w:tcPr>
          <w:p w14:paraId="79BC1B63" w14:textId="77777777" w:rsidR="0028010B" w:rsidRPr="00B0618E" w:rsidRDefault="0028010B" w:rsidP="0028010B">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0.700</w:t>
            </w:r>
          </w:p>
        </w:tc>
        <w:tc>
          <w:tcPr>
            <w:tcW w:w="618" w:type="pct"/>
            <w:tcBorders>
              <w:top w:val="single" w:sz="4" w:space="0" w:color="auto"/>
            </w:tcBorders>
            <w:vAlign w:val="center"/>
          </w:tcPr>
          <w:p w14:paraId="4073944F" w14:textId="77777777" w:rsidR="0028010B" w:rsidRPr="00B0618E" w:rsidRDefault="0028010B" w:rsidP="0028010B">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 xml:space="preserve"> 0.697</w:t>
            </w:r>
          </w:p>
        </w:tc>
      </w:tr>
      <w:tr w:rsidR="0028010B" w:rsidRPr="00B0618E" w14:paraId="51B1DA35"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77C9A8F9" w14:textId="77777777" w:rsidR="0028010B" w:rsidRPr="00B0618E" w:rsidRDefault="0028010B" w:rsidP="0028010B">
            <w:pPr>
              <w:pStyle w:val="TableText"/>
              <w:rPr>
                <w:rFonts w:asciiTheme="minorHAnsi" w:hAnsiTheme="minorHAnsi"/>
                <w:b w:val="0"/>
                <w:color w:val="auto"/>
                <w:szCs w:val="18"/>
              </w:rPr>
            </w:pPr>
            <w:r w:rsidRPr="00B0618E">
              <w:rPr>
                <w:rFonts w:asciiTheme="minorHAnsi" w:hAnsiTheme="minorHAnsi"/>
                <w:b w:val="0"/>
                <w:color w:val="auto"/>
                <w:szCs w:val="18"/>
              </w:rPr>
              <w:t>12</w:t>
            </w:r>
          </w:p>
        </w:tc>
        <w:tc>
          <w:tcPr>
            <w:tcW w:w="1640" w:type="pct"/>
          </w:tcPr>
          <w:p w14:paraId="0E64639A" w14:textId="77777777" w:rsidR="0028010B" w:rsidRPr="00B0618E" w:rsidRDefault="00AD2BD2" w:rsidP="0028010B">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 xml:space="preserve">Wallumbilla Formation </w:t>
            </w:r>
            <w:r w:rsidR="0028010B" w:rsidRPr="00B0618E">
              <w:rPr>
                <w:rFonts w:asciiTheme="minorHAnsi" w:hAnsiTheme="minorHAnsi"/>
                <w:color w:val="auto"/>
                <w:szCs w:val="18"/>
              </w:rPr>
              <w:t>aquitard</w:t>
            </w:r>
          </w:p>
        </w:tc>
        <w:tc>
          <w:tcPr>
            <w:tcW w:w="617" w:type="pct"/>
            <w:noWrap/>
          </w:tcPr>
          <w:p w14:paraId="3C4DCA43" w14:textId="3E8C121A" w:rsidR="0028010B" w:rsidRPr="00B0618E" w:rsidRDefault="0028010B"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i/>
                <w:color w:val="auto"/>
                <w:szCs w:val="18"/>
              </w:rPr>
              <w:t>K</w:t>
            </w:r>
            <w:r w:rsidR="00036549" w:rsidRPr="00B0618E">
              <w:rPr>
                <w:rFonts w:asciiTheme="minorHAnsi" w:hAnsiTheme="minorHAnsi"/>
                <w:i/>
                <w:color w:val="auto"/>
                <w:szCs w:val="18"/>
                <w:vertAlign w:val="subscript"/>
              </w:rPr>
              <w:t>V</w:t>
            </w:r>
            <w:r w:rsidRPr="00B0618E">
              <w:rPr>
                <w:rFonts w:asciiTheme="minorHAnsi" w:hAnsiTheme="minorHAnsi"/>
                <w:color w:val="auto"/>
                <w:szCs w:val="18"/>
              </w:rPr>
              <w:t>02</w:t>
            </w:r>
          </w:p>
        </w:tc>
        <w:tc>
          <w:tcPr>
            <w:tcW w:w="617" w:type="pct"/>
            <w:vAlign w:val="center"/>
          </w:tcPr>
          <w:p w14:paraId="0F55327A" w14:textId="77777777" w:rsidR="0028010B" w:rsidRPr="00B0618E" w:rsidRDefault="0028010B" w:rsidP="0028010B">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-6.000</w:t>
            </w:r>
          </w:p>
        </w:tc>
        <w:tc>
          <w:tcPr>
            <w:tcW w:w="617" w:type="pct"/>
            <w:vAlign w:val="center"/>
          </w:tcPr>
          <w:p w14:paraId="527E2665" w14:textId="77777777" w:rsidR="0028010B" w:rsidRPr="00B0618E" w:rsidRDefault="0028010B" w:rsidP="0028010B">
            <w:pPr>
              <w:spacing w:before="60" w:after="60"/>
              <w:jc w:val="right"/>
              <w:cnfStyle w:val="000000000000" w:firstRow="0" w:lastRow="0" w:firstColumn="0" w:lastColumn="0" w:oddVBand="0" w:evenVBand="0" w:oddHBand="0" w:evenHBand="0" w:firstRowFirstColumn="0" w:firstRowLastColumn="0" w:lastRowFirstColumn="0" w:lastRowLastColumn="0"/>
              <w:rPr>
                <w:color w:val="auto"/>
                <w:sz w:val="18"/>
              </w:rPr>
            </w:pPr>
            <w:r w:rsidRPr="00B0618E">
              <w:rPr>
                <w:color w:val="auto"/>
                <w:sz w:val="18"/>
              </w:rPr>
              <w:t>-6.295</w:t>
            </w:r>
          </w:p>
        </w:tc>
        <w:tc>
          <w:tcPr>
            <w:tcW w:w="617" w:type="pct"/>
            <w:vAlign w:val="center"/>
          </w:tcPr>
          <w:p w14:paraId="4C93D3BF" w14:textId="77777777" w:rsidR="0028010B" w:rsidRPr="00B0618E" w:rsidRDefault="0028010B" w:rsidP="0028010B">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-4.000</w:t>
            </w:r>
          </w:p>
        </w:tc>
        <w:tc>
          <w:tcPr>
            <w:tcW w:w="618" w:type="pct"/>
            <w:vAlign w:val="center"/>
          </w:tcPr>
          <w:p w14:paraId="5E2F252B" w14:textId="77777777" w:rsidR="0028010B" w:rsidRPr="00B0618E" w:rsidRDefault="0028010B" w:rsidP="0028010B">
            <w:pPr>
              <w:spacing w:before="60" w:after="60"/>
              <w:jc w:val="right"/>
              <w:cnfStyle w:val="000000000000" w:firstRow="0" w:lastRow="0" w:firstColumn="0" w:lastColumn="0" w:oddVBand="0" w:evenVBand="0" w:oddHBand="0" w:evenHBand="0" w:firstRowFirstColumn="0" w:firstRowLastColumn="0" w:lastRowFirstColumn="0" w:lastRowLastColumn="0"/>
              <w:rPr>
                <w:color w:val="auto"/>
                <w:sz w:val="18"/>
              </w:rPr>
            </w:pPr>
            <w:r w:rsidRPr="00B0618E">
              <w:rPr>
                <w:color w:val="auto"/>
                <w:sz w:val="18"/>
              </w:rPr>
              <w:t>-4.305</w:t>
            </w:r>
          </w:p>
        </w:tc>
      </w:tr>
      <w:tr w:rsidR="0028010B" w:rsidRPr="00B0618E" w14:paraId="4B32A243"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2F0CF933" w14:textId="77777777" w:rsidR="0028010B" w:rsidRPr="00B0618E" w:rsidRDefault="0028010B" w:rsidP="0028010B">
            <w:pPr>
              <w:pStyle w:val="TableText"/>
              <w:rPr>
                <w:rFonts w:asciiTheme="minorHAnsi" w:hAnsiTheme="minorHAnsi"/>
                <w:b w:val="0"/>
                <w:szCs w:val="18"/>
              </w:rPr>
            </w:pPr>
            <w:r w:rsidRPr="00B0618E">
              <w:rPr>
                <w:rFonts w:asciiTheme="minorHAnsi" w:hAnsiTheme="minorHAnsi"/>
                <w:b w:val="0"/>
                <w:szCs w:val="18"/>
              </w:rPr>
              <w:t>13</w:t>
            </w:r>
          </w:p>
        </w:tc>
        <w:tc>
          <w:tcPr>
            <w:tcW w:w="1640" w:type="pct"/>
          </w:tcPr>
          <w:p w14:paraId="1FC0DA1E" w14:textId="77777777" w:rsidR="0028010B" w:rsidRPr="00B0618E" w:rsidRDefault="0028010B" w:rsidP="0028010B">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Blythesdale Group aquitard</w:t>
            </w:r>
          </w:p>
        </w:tc>
        <w:tc>
          <w:tcPr>
            <w:tcW w:w="617" w:type="pct"/>
            <w:noWrap/>
          </w:tcPr>
          <w:p w14:paraId="447C7A67" w14:textId="08B04C7D" w:rsidR="0028010B" w:rsidRPr="00B0618E" w:rsidRDefault="0028010B"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V</w:t>
            </w:r>
            <w:r w:rsidRPr="00B0618E">
              <w:rPr>
                <w:rFonts w:asciiTheme="minorHAnsi" w:hAnsiTheme="minorHAnsi"/>
                <w:szCs w:val="18"/>
              </w:rPr>
              <w:t>03</w:t>
            </w:r>
          </w:p>
        </w:tc>
        <w:tc>
          <w:tcPr>
            <w:tcW w:w="617" w:type="pct"/>
            <w:vAlign w:val="center"/>
          </w:tcPr>
          <w:p w14:paraId="7670A286" w14:textId="77777777" w:rsidR="0028010B" w:rsidRPr="00B0618E" w:rsidRDefault="0028010B" w:rsidP="0028010B">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5A17D81A" w14:textId="77777777" w:rsidR="0028010B" w:rsidRPr="00B0618E" w:rsidRDefault="0028010B" w:rsidP="0028010B">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-5.990</w:t>
            </w:r>
          </w:p>
        </w:tc>
        <w:tc>
          <w:tcPr>
            <w:tcW w:w="617" w:type="pct"/>
            <w:vAlign w:val="center"/>
          </w:tcPr>
          <w:p w14:paraId="5FCA4D29" w14:textId="77777777" w:rsidR="0028010B" w:rsidRPr="00B0618E" w:rsidRDefault="0028010B" w:rsidP="0028010B">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6EFF176D" w14:textId="77777777" w:rsidR="0028010B" w:rsidRPr="00B0618E" w:rsidRDefault="0028010B" w:rsidP="0028010B">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-4.010</w:t>
            </w:r>
          </w:p>
        </w:tc>
      </w:tr>
      <w:tr w:rsidR="0028010B" w:rsidRPr="00B0618E" w14:paraId="1D077592"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7087D34E" w14:textId="77777777" w:rsidR="0028010B" w:rsidRPr="00B0618E" w:rsidRDefault="0028010B" w:rsidP="0028010B">
            <w:pPr>
              <w:pStyle w:val="TableText"/>
              <w:rPr>
                <w:rFonts w:asciiTheme="minorHAnsi" w:hAnsiTheme="minorHAnsi"/>
                <w:b w:val="0"/>
                <w:szCs w:val="18"/>
              </w:rPr>
            </w:pPr>
            <w:r w:rsidRPr="00B0618E">
              <w:rPr>
                <w:rFonts w:asciiTheme="minorHAnsi" w:hAnsiTheme="minorHAnsi"/>
                <w:b w:val="0"/>
                <w:szCs w:val="18"/>
              </w:rPr>
              <w:t>14</w:t>
            </w:r>
          </w:p>
        </w:tc>
        <w:tc>
          <w:tcPr>
            <w:tcW w:w="1640" w:type="pct"/>
          </w:tcPr>
          <w:p w14:paraId="25C257EA" w14:textId="77777777" w:rsidR="0028010B" w:rsidRPr="00B0618E" w:rsidRDefault="0028010B" w:rsidP="0028010B">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Pilliga Sandstone aquifer</w:t>
            </w:r>
          </w:p>
        </w:tc>
        <w:tc>
          <w:tcPr>
            <w:tcW w:w="617" w:type="pct"/>
            <w:noWrap/>
          </w:tcPr>
          <w:p w14:paraId="2BB37A29" w14:textId="5149D78C" w:rsidR="0028010B" w:rsidRPr="00B0618E" w:rsidRDefault="0028010B"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V</w:t>
            </w:r>
            <w:r w:rsidRPr="00B0618E">
              <w:rPr>
                <w:rFonts w:asciiTheme="minorHAnsi" w:hAnsiTheme="minorHAnsi"/>
                <w:szCs w:val="18"/>
              </w:rPr>
              <w:t>04</w:t>
            </w:r>
          </w:p>
        </w:tc>
        <w:tc>
          <w:tcPr>
            <w:tcW w:w="617" w:type="pct"/>
            <w:vAlign w:val="center"/>
          </w:tcPr>
          <w:p w14:paraId="1F623BAE" w14:textId="77777777" w:rsidR="0028010B" w:rsidRPr="00B0618E" w:rsidRDefault="0028010B" w:rsidP="0028010B">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-3.000</w:t>
            </w:r>
          </w:p>
        </w:tc>
        <w:tc>
          <w:tcPr>
            <w:tcW w:w="617" w:type="pct"/>
            <w:vAlign w:val="center"/>
          </w:tcPr>
          <w:p w14:paraId="16985250" w14:textId="77777777" w:rsidR="0028010B" w:rsidRPr="00B0618E" w:rsidRDefault="0028010B" w:rsidP="0028010B">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-2.996</w:t>
            </w:r>
          </w:p>
        </w:tc>
        <w:tc>
          <w:tcPr>
            <w:tcW w:w="617" w:type="pct"/>
            <w:vAlign w:val="center"/>
          </w:tcPr>
          <w:p w14:paraId="6C9A8134" w14:textId="77777777" w:rsidR="0028010B" w:rsidRPr="00B0618E" w:rsidRDefault="0028010B" w:rsidP="0028010B">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-1.000</w:t>
            </w:r>
          </w:p>
        </w:tc>
        <w:tc>
          <w:tcPr>
            <w:tcW w:w="618" w:type="pct"/>
            <w:vAlign w:val="center"/>
          </w:tcPr>
          <w:p w14:paraId="7E5BA64B" w14:textId="77777777" w:rsidR="0028010B" w:rsidRPr="00B0618E" w:rsidRDefault="0028010B" w:rsidP="0028010B">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-1.000</w:t>
            </w:r>
          </w:p>
        </w:tc>
      </w:tr>
      <w:tr w:rsidR="000B6D10" w:rsidRPr="00B0618E" w14:paraId="76870FB4"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4236324A"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15</w:t>
            </w:r>
          </w:p>
        </w:tc>
        <w:tc>
          <w:tcPr>
            <w:tcW w:w="1640" w:type="pct"/>
          </w:tcPr>
          <w:p w14:paraId="343408F7"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Upper aquitard sequence</w:t>
            </w:r>
          </w:p>
        </w:tc>
        <w:tc>
          <w:tcPr>
            <w:tcW w:w="617" w:type="pct"/>
            <w:noWrap/>
          </w:tcPr>
          <w:p w14:paraId="4B48BB87" w14:textId="3B2B7CDF"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V</w:t>
            </w:r>
            <w:r w:rsidRPr="00B0618E">
              <w:rPr>
                <w:rFonts w:asciiTheme="minorHAnsi" w:hAnsiTheme="minorHAnsi"/>
                <w:szCs w:val="18"/>
              </w:rPr>
              <w:t>05</w:t>
            </w:r>
          </w:p>
        </w:tc>
        <w:tc>
          <w:tcPr>
            <w:tcW w:w="617" w:type="pct"/>
            <w:vAlign w:val="center"/>
          </w:tcPr>
          <w:p w14:paraId="404F150A"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34E70929"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-5.968</w:t>
            </w:r>
          </w:p>
        </w:tc>
        <w:tc>
          <w:tcPr>
            <w:tcW w:w="617" w:type="pct"/>
            <w:vAlign w:val="center"/>
          </w:tcPr>
          <w:p w14:paraId="1E572C49"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114A9D73"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-4.007</w:t>
            </w:r>
          </w:p>
        </w:tc>
      </w:tr>
      <w:tr w:rsidR="000B6D10" w:rsidRPr="00B0618E" w14:paraId="4CA9540C"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36725ECF"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16</w:t>
            </w:r>
          </w:p>
        </w:tc>
        <w:tc>
          <w:tcPr>
            <w:tcW w:w="1640" w:type="pct"/>
          </w:tcPr>
          <w:p w14:paraId="5CABECC3" w14:textId="77777777" w:rsidR="000B6D10" w:rsidRPr="00B0618E" w:rsidRDefault="000B6D10"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Hoskissons Coal</w:t>
            </w:r>
          </w:p>
        </w:tc>
        <w:tc>
          <w:tcPr>
            <w:tcW w:w="617" w:type="pct"/>
            <w:noWrap/>
          </w:tcPr>
          <w:p w14:paraId="4AA6CC35" w14:textId="6E6839FC"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V</w:t>
            </w:r>
            <w:r w:rsidRPr="00B0618E">
              <w:rPr>
                <w:rFonts w:asciiTheme="minorHAnsi" w:hAnsiTheme="minorHAnsi"/>
                <w:szCs w:val="18"/>
              </w:rPr>
              <w:t>06</w:t>
            </w:r>
          </w:p>
        </w:tc>
        <w:tc>
          <w:tcPr>
            <w:tcW w:w="617" w:type="pct"/>
            <w:vAlign w:val="center"/>
          </w:tcPr>
          <w:p w14:paraId="7BF4DF26"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-3.000</w:t>
            </w:r>
          </w:p>
        </w:tc>
        <w:tc>
          <w:tcPr>
            <w:tcW w:w="617" w:type="pct"/>
            <w:vAlign w:val="center"/>
          </w:tcPr>
          <w:p w14:paraId="7C21A319"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-2.981</w:t>
            </w:r>
          </w:p>
        </w:tc>
        <w:tc>
          <w:tcPr>
            <w:tcW w:w="617" w:type="pct"/>
            <w:vAlign w:val="center"/>
          </w:tcPr>
          <w:p w14:paraId="317ADE4F"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-1.000</w:t>
            </w:r>
          </w:p>
        </w:tc>
        <w:tc>
          <w:tcPr>
            <w:tcW w:w="618" w:type="pct"/>
            <w:vAlign w:val="center"/>
          </w:tcPr>
          <w:p w14:paraId="51AF49A6"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-1.001</w:t>
            </w:r>
          </w:p>
        </w:tc>
      </w:tr>
      <w:tr w:rsidR="000B6D10" w:rsidRPr="00B0618E" w14:paraId="6611B5C0"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170A3C09"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17</w:t>
            </w:r>
          </w:p>
        </w:tc>
        <w:tc>
          <w:tcPr>
            <w:tcW w:w="1640" w:type="pct"/>
          </w:tcPr>
          <w:p w14:paraId="7EADD96B"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Lower aquitard sequence</w:t>
            </w:r>
          </w:p>
        </w:tc>
        <w:tc>
          <w:tcPr>
            <w:tcW w:w="617" w:type="pct"/>
            <w:noWrap/>
          </w:tcPr>
          <w:p w14:paraId="6E7AC7E4" w14:textId="2A76DD8A"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V</w:t>
            </w:r>
            <w:r w:rsidRPr="00B0618E">
              <w:rPr>
                <w:rFonts w:asciiTheme="minorHAnsi" w:hAnsiTheme="minorHAnsi"/>
                <w:szCs w:val="18"/>
              </w:rPr>
              <w:t>07</w:t>
            </w:r>
          </w:p>
        </w:tc>
        <w:tc>
          <w:tcPr>
            <w:tcW w:w="617" w:type="pct"/>
            <w:vAlign w:val="center"/>
          </w:tcPr>
          <w:p w14:paraId="775376ED"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5806611A"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-5.989</w:t>
            </w:r>
          </w:p>
        </w:tc>
        <w:tc>
          <w:tcPr>
            <w:tcW w:w="617" w:type="pct"/>
            <w:vAlign w:val="center"/>
          </w:tcPr>
          <w:p w14:paraId="07C7F7CB"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1D79D5F4"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-4.004</w:t>
            </w:r>
          </w:p>
        </w:tc>
      </w:tr>
      <w:tr w:rsidR="000B6D10" w:rsidRPr="00B0618E" w14:paraId="2FBE839D"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507664DC"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18</w:t>
            </w:r>
          </w:p>
        </w:tc>
        <w:tc>
          <w:tcPr>
            <w:tcW w:w="1640" w:type="pct"/>
          </w:tcPr>
          <w:p w14:paraId="69082B27" w14:textId="77777777" w:rsidR="000B6D10" w:rsidRPr="00B0618E" w:rsidRDefault="000B6D10"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Maules Creek Formation interburden</w:t>
            </w:r>
          </w:p>
        </w:tc>
        <w:tc>
          <w:tcPr>
            <w:tcW w:w="617" w:type="pct"/>
            <w:noWrap/>
          </w:tcPr>
          <w:p w14:paraId="796C7232" w14:textId="6885790E"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V</w:t>
            </w:r>
            <w:r w:rsidRPr="00B0618E">
              <w:rPr>
                <w:rFonts w:asciiTheme="minorHAnsi" w:hAnsiTheme="minorHAnsi"/>
                <w:szCs w:val="18"/>
              </w:rPr>
              <w:t>08</w:t>
            </w:r>
          </w:p>
        </w:tc>
        <w:tc>
          <w:tcPr>
            <w:tcW w:w="617" w:type="pct"/>
            <w:vAlign w:val="center"/>
          </w:tcPr>
          <w:p w14:paraId="5065F21B"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7205DF15"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-5.993</w:t>
            </w:r>
          </w:p>
        </w:tc>
        <w:tc>
          <w:tcPr>
            <w:tcW w:w="617" w:type="pct"/>
            <w:vAlign w:val="center"/>
          </w:tcPr>
          <w:p w14:paraId="664C0A55"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0E3559B1"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-4.012</w:t>
            </w:r>
          </w:p>
        </w:tc>
      </w:tr>
      <w:tr w:rsidR="000B6D10" w:rsidRPr="00B0618E" w14:paraId="4B77B7B3"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tcBorders>
              <w:bottom w:val="nil"/>
            </w:tcBorders>
            <w:noWrap/>
          </w:tcPr>
          <w:p w14:paraId="3ACBED3C"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19</w:t>
            </w:r>
          </w:p>
        </w:tc>
        <w:tc>
          <w:tcPr>
            <w:tcW w:w="1640" w:type="pct"/>
            <w:tcBorders>
              <w:bottom w:val="nil"/>
            </w:tcBorders>
          </w:tcPr>
          <w:p w14:paraId="3C58F069"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Maules Creek Formation coal</w:t>
            </w:r>
          </w:p>
        </w:tc>
        <w:tc>
          <w:tcPr>
            <w:tcW w:w="617" w:type="pct"/>
            <w:tcBorders>
              <w:bottom w:val="nil"/>
            </w:tcBorders>
            <w:noWrap/>
          </w:tcPr>
          <w:p w14:paraId="3B0BCF46" w14:textId="0B858B6F"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V</w:t>
            </w:r>
            <w:r w:rsidRPr="00B0618E">
              <w:rPr>
                <w:rFonts w:asciiTheme="minorHAnsi" w:hAnsiTheme="minorHAnsi"/>
                <w:szCs w:val="18"/>
              </w:rPr>
              <w:t>09</w:t>
            </w:r>
          </w:p>
        </w:tc>
        <w:tc>
          <w:tcPr>
            <w:tcW w:w="617" w:type="pct"/>
            <w:tcBorders>
              <w:bottom w:val="nil"/>
            </w:tcBorders>
            <w:vAlign w:val="center"/>
          </w:tcPr>
          <w:p w14:paraId="4F1B962F"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-3.000</w:t>
            </w:r>
          </w:p>
        </w:tc>
        <w:tc>
          <w:tcPr>
            <w:tcW w:w="617" w:type="pct"/>
            <w:tcBorders>
              <w:bottom w:val="nil"/>
            </w:tcBorders>
            <w:vAlign w:val="center"/>
          </w:tcPr>
          <w:p w14:paraId="705D562C"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-2.993</w:t>
            </w:r>
          </w:p>
        </w:tc>
        <w:tc>
          <w:tcPr>
            <w:tcW w:w="617" w:type="pct"/>
            <w:tcBorders>
              <w:bottom w:val="nil"/>
            </w:tcBorders>
            <w:vAlign w:val="center"/>
          </w:tcPr>
          <w:p w14:paraId="47BFD2AA"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-1.000</w:t>
            </w:r>
          </w:p>
        </w:tc>
        <w:tc>
          <w:tcPr>
            <w:tcW w:w="618" w:type="pct"/>
            <w:tcBorders>
              <w:bottom w:val="nil"/>
            </w:tcBorders>
            <w:vAlign w:val="center"/>
          </w:tcPr>
          <w:p w14:paraId="2501A731"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-1.000</w:t>
            </w:r>
          </w:p>
        </w:tc>
      </w:tr>
      <w:tr w:rsidR="000B6D10" w:rsidRPr="00B0618E" w14:paraId="1AFDA700"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tcBorders>
              <w:bottom w:val="single" w:sz="4" w:space="0" w:color="auto"/>
            </w:tcBorders>
            <w:noWrap/>
          </w:tcPr>
          <w:p w14:paraId="4ACF3102"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20</w:t>
            </w:r>
          </w:p>
        </w:tc>
        <w:tc>
          <w:tcPr>
            <w:tcW w:w="1640" w:type="pct"/>
            <w:tcBorders>
              <w:bottom w:val="single" w:sz="4" w:space="0" w:color="auto"/>
            </w:tcBorders>
          </w:tcPr>
          <w:p w14:paraId="0997F18C" w14:textId="77777777" w:rsidR="000B6D10" w:rsidRPr="00B0618E" w:rsidRDefault="000B6D10"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Maules Creek Formation interburden</w:t>
            </w:r>
          </w:p>
        </w:tc>
        <w:tc>
          <w:tcPr>
            <w:tcW w:w="617" w:type="pct"/>
            <w:tcBorders>
              <w:bottom w:val="single" w:sz="4" w:space="0" w:color="auto"/>
            </w:tcBorders>
            <w:noWrap/>
          </w:tcPr>
          <w:p w14:paraId="251A36D7" w14:textId="296E9CB0"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K</w:t>
            </w:r>
            <w:r w:rsidR="00036549" w:rsidRPr="00B0618E">
              <w:rPr>
                <w:rFonts w:asciiTheme="minorHAnsi" w:hAnsiTheme="minorHAnsi"/>
                <w:i/>
                <w:szCs w:val="18"/>
                <w:vertAlign w:val="subscript"/>
              </w:rPr>
              <w:t>V</w:t>
            </w:r>
            <w:r w:rsidRPr="00B0618E">
              <w:rPr>
                <w:rFonts w:asciiTheme="minorHAnsi" w:hAnsiTheme="minorHAnsi"/>
                <w:szCs w:val="18"/>
              </w:rPr>
              <w:t>10</w:t>
            </w:r>
          </w:p>
        </w:tc>
        <w:tc>
          <w:tcPr>
            <w:tcW w:w="617" w:type="pct"/>
            <w:tcBorders>
              <w:bottom w:val="single" w:sz="4" w:space="0" w:color="auto"/>
            </w:tcBorders>
            <w:vAlign w:val="center"/>
          </w:tcPr>
          <w:p w14:paraId="79B6ABAC"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tcBorders>
              <w:bottom w:val="single" w:sz="4" w:space="0" w:color="auto"/>
            </w:tcBorders>
            <w:vAlign w:val="center"/>
          </w:tcPr>
          <w:p w14:paraId="6FE4CFF4"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-5.999</w:t>
            </w:r>
          </w:p>
        </w:tc>
        <w:tc>
          <w:tcPr>
            <w:tcW w:w="617" w:type="pct"/>
            <w:tcBorders>
              <w:bottom w:val="single" w:sz="4" w:space="0" w:color="auto"/>
            </w:tcBorders>
            <w:vAlign w:val="center"/>
          </w:tcPr>
          <w:p w14:paraId="380AC831"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tcBorders>
              <w:bottom w:val="single" w:sz="4" w:space="0" w:color="auto"/>
            </w:tcBorders>
            <w:vAlign w:val="center"/>
          </w:tcPr>
          <w:p w14:paraId="10AEBFB8"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-4.001</w:t>
            </w:r>
          </w:p>
        </w:tc>
      </w:tr>
      <w:tr w:rsidR="0028010B" w:rsidRPr="00B0618E" w14:paraId="34F80727"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tcBorders>
              <w:top w:val="single" w:sz="4" w:space="0" w:color="auto"/>
            </w:tcBorders>
            <w:noWrap/>
          </w:tcPr>
          <w:p w14:paraId="0FFC6479" w14:textId="77777777" w:rsidR="0028010B" w:rsidRPr="00B0618E" w:rsidRDefault="0028010B" w:rsidP="0028010B">
            <w:pPr>
              <w:pStyle w:val="TableText"/>
              <w:rPr>
                <w:rFonts w:asciiTheme="minorHAnsi" w:hAnsiTheme="minorHAnsi"/>
                <w:b w:val="0"/>
                <w:szCs w:val="18"/>
              </w:rPr>
            </w:pPr>
            <w:r w:rsidRPr="00B0618E">
              <w:rPr>
                <w:rFonts w:asciiTheme="minorHAnsi" w:hAnsiTheme="minorHAnsi"/>
                <w:b w:val="0"/>
                <w:szCs w:val="18"/>
              </w:rPr>
              <w:t>21</w:t>
            </w:r>
          </w:p>
        </w:tc>
        <w:tc>
          <w:tcPr>
            <w:tcW w:w="1640" w:type="pct"/>
            <w:tcBorders>
              <w:top w:val="single" w:sz="4" w:space="0" w:color="auto"/>
            </w:tcBorders>
          </w:tcPr>
          <w:p w14:paraId="60A735A5" w14:textId="77777777" w:rsidR="0028010B" w:rsidRPr="00B0618E" w:rsidRDefault="0028010B" w:rsidP="0028010B">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Namoi Alluvium aquifer</w:t>
            </w:r>
          </w:p>
        </w:tc>
        <w:tc>
          <w:tcPr>
            <w:tcW w:w="617" w:type="pct"/>
            <w:tcBorders>
              <w:top w:val="single" w:sz="4" w:space="0" w:color="auto"/>
            </w:tcBorders>
            <w:noWrap/>
          </w:tcPr>
          <w:p w14:paraId="09C1E3EB" w14:textId="77777777" w:rsidR="0028010B" w:rsidRPr="00B0618E" w:rsidRDefault="0028010B"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S</w:t>
            </w:r>
            <w:r w:rsidR="00036549" w:rsidRPr="00B0618E">
              <w:rPr>
                <w:rFonts w:asciiTheme="minorHAnsi" w:hAnsiTheme="minorHAnsi"/>
                <w:i/>
                <w:szCs w:val="18"/>
                <w:vertAlign w:val="subscript"/>
              </w:rPr>
              <w:t>S</w:t>
            </w:r>
            <w:r w:rsidRPr="00B0618E">
              <w:rPr>
                <w:rFonts w:asciiTheme="minorHAnsi" w:hAnsiTheme="minorHAnsi"/>
                <w:szCs w:val="18"/>
              </w:rPr>
              <w:t>01</w:t>
            </w:r>
          </w:p>
        </w:tc>
        <w:tc>
          <w:tcPr>
            <w:tcW w:w="617" w:type="pct"/>
            <w:tcBorders>
              <w:top w:val="single" w:sz="4" w:space="0" w:color="auto"/>
            </w:tcBorders>
            <w:vAlign w:val="center"/>
          </w:tcPr>
          <w:p w14:paraId="6E517434" w14:textId="77777777" w:rsidR="0028010B" w:rsidRPr="00B0618E" w:rsidRDefault="0028010B" w:rsidP="0028010B">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tcBorders>
              <w:top w:val="single" w:sz="4" w:space="0" w:color="auto"/>
            </w:tcBorders>
            <w:vAlign w:val="center"/>
          </w:tcPr>
          <w:p w14:paraId="45E3D3D2" w14:textId="77777777" w:rsidR="0028010B" w:rsidRPr="00B0618E" w:rsidRDefault="0028010B" w:rsidP="0028010B">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-5.999</w:t>
            </w:r>
          </w:p>
        </w:tc>
        <w:tc>
          <w:tcPr>
            <w:tcW w:w="617" w:type="pct"/>
            <w:tcBorders>
              <w:top w:val="single" w:sz="4" w:space="0" w:color="auto"/>
            </w:tcBorders>
            <w:vAlign w:val="center"/>
          </w:tcPr>
          <w:p w14:paraId="5041EC8A" w14:textId="77777777" w:rsidR="0028010B" w:rsidRPr="00B0618E" w:rsidRDefault="0028010B" w:rsidP="0028010B">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tcBorders>
              <w:top w:val="single" w:sz="4" w:space="0" w:color="auto"/>
            </w:tcBorders>
            <w:vAlign w:val="center"/>
          </w:tcPr>
          <w:p w14:paraId="0C1C4E64" w14:textId="77777777" w:rsidR="0028010B" w:rsidRPr="00B0618E" w:rsidRDefault="0028010B" w:rsidP="0028010B">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-4.003</w:t>
            </w:r>
          </w:p>
        </w:tc>
      </w:tr>
      <w:tr w:rsidR="0028010B" w:rsidRPr="00B0618E" w14:paraId="30126357"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2A373F2E" w14:textId="77777777" w:rsidR="0028010B" w:rsidRPr="00B0618E" w:rsidRDefault="0028010B" w:rsidP="0028010B">
            <w:pPr>
              <w:pStyle w:val="TableText"/>
              <w:rPr>
                <w:rFonts w:asciiTheme="minorHAnsi" w:hAnsiTheme="minorHAnsi"/>
                <w:b w:val="0"/>
                <w:szCs w:val="18"/>
              </w:rPr>
            </w:pPr>
            <w:r w:rsidRPr="00B0618E">
              <w:rPr>
                <w:rFonts w:asciiTheme="minorHAnsi" w:hAnsiTheme="minorHAnsi"/>
                <w:b w:val="0"/>
                <w:szCs w:val="18"/>
              </w:rPr>
              <w:t>22</w:t>
            </w:r>
          </w:p>
        </w:tc>
        <w:tc>
          <w:tcPr>
            <w:tcW w:w="1640" w:type="pct"/>
          </w:tcPr>
          <w:p w14:paraId="247FA3A6" w14:textId="77777777" w:rsidR="0028010B" w:rsidRPr="00B0618E" w:rsidRDefault="00AD2BD2" w:rsidP="0028010B">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 xml:space="preserve">Wallumbilla Formation </w:t>
            </w:r>
            <w:r w:rsidR="0028010B" w:rsidRPr="00B0618E">
              <w:rPr>
                <w:rFonts w:asciiTheme="minorHAnsi" w:hAnsiTheme="minorHAnsi"/>
                <w:color w:val="auto"/>
                <w:szCs w:val="18"/>
              </w:rPr>
              <w:t>aquitard</w:t>
            </w:r>
          </w:p>
        </w:tc>
        <w:tc>
          <w:tcPr>
            <w:tcW w:w="617" w:type="pct"/>
            <w:noWrap/>
          </w:tcPr>
          <w:p w14:paraId="4FB5EC46" w14:textId="77777777" w:rsidR="0028010B" w:rsidRPr="00B0618E" w:rsidRDefault="0028010B"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S</w:t>
            </w:r>
            <w:r w:rsidR="00036549" w:rsidRPr="00B0618E">
              <w:rPr>
                <w:rFonts w:asciiTheme="minorHAnsi" w:hAnsiTheme="minorHAnsi"/>
                <w:i/>
                <w:szCs w:val="18"/>
                <w:vertAlign w:val="subscript"/>
              </w:rPr>
              <w:t>S</w:t>
            </w:r>
            <w:r w:rsidRPr="00B0618E">
              <w:rPr>
                <w:rFonts w:asciiTheme="minorHAnsi" w:hAnsiTheme="minorHAnsi"/>
                <w:szCs w:val="18"/>
              </w:rPr>
              <w:t>02</w:t>
            </w:r>
          </w:p>
        </w:tc>
        <w:tc>
          <w:tcPr>
            <w:tcW w:w="617" w:type="pct"/>
            <w:vAlign w:val="center"/>
          </w:tcPr>
          <w:p w14:paraId="11361286" w14:textId="77777777" w:rsidR="0028010B" w:rsidRPr="00B0618E" w:rsidRDefault="0028010B" w:rsidP="0028010B">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62715108" w14:textId="77777777" w:rsidR="0028010B" w:rsidRPr="00B0618E" w:rsidRDefault="0028010B" w:rsidP="0028010B">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-5.999</w:t>
            </w:r>
          </w:p>
        </w:tc>
        <w:tc>
          <w:tcPr>
            <w:tcW w:w="617" w:type="pct"/>
            <w:vAlign w:val="center"/>
          </w:tcPr>
          <w:p w14:paraId="303E7C25" w14:textId="77777777" w:rsidR="0028010B" w:rsidRPr="00B0618E" w:rsidRDefault="0028010B" w:rsidP="0028010B">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682D61EB" w14:textId="77777777" w:rsidR="0028010B" w:rsidRPr="00B0618E" w:rsidRDefault="0028010B" w:rsidP="0028010B">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-4.001</w:t>
            </w:r>
          </w:p>
        </w:tc>
      </w:tr>
      <w:tr w:rsidR="0028010B" w:rsidRPr="00B0618E" w14:paraId="167809C4"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4C79DAD2" w14:textId="77777777" w:rsidR="0028010B" w:rsidRPr="00B0618E" w:rsidRDefault="0028010B" w:rsidP="0028010B">
            <w:pPr>
              <w:pStyle w:val="TableText"/>
              <w:rPr>
                <w:rFonts w:asciiTheme="minorHAnsi" w:hAnsiTheme="minorHAnsi"/>
                <w:b w:val="0"/>
                <w:szCs w:val="18"/>
              </w:rPr>
            </w:pPr>
            <w:r w:rsidRPr="00B0618E">
              <w:rPr>
                <w:rFonts w:asciiTheme="minorHAnsi" w:hAnsiTheme="minorHAnsi"/>
                <w:b w:val="0"/>
                <w:szCs w:val="18"/>
              </w:rPr>
              <w:t>23</w:t>
            </w:r>
          </w:p>
        </w:tc>
        <w:tc>
          <w:tcPr>
            <w:tcW w:w="1640" w:type="pct"/>
          </w:tcPr>
          <w:p w14:paraId="79CC7870" w14:textId="77777777" w:rsidR="0028010B" w:rsidRPr="00B0618E" w:rsidRDefault="0028010B" w:rsidP="0028010B">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Blythesdale Group aquitard</w:t>
            </w:r>
          </w:p>
        </w:tc>
        <w:tc>
          <w:tcPr>
            <w:tcW w:w="617" w:type="pct"/>
            <w:noWrap/>
          </w:tcPr>
          <w:p w14:paraId="34354BD6" w14:textId="77777777" w:rsidR="0028010B" w:rsidRPr="00B0618E" w:rsidRDefault="0028010B"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S</w:t>
            </w:r>
            <w:r w:rsidR="00036549" w:rsidRPr="00B0618E">
              <w:rPr>
                <w:rFonts w:asciiTheme="minorHAnsi" w:hAnsiTheme="minorHAnsi"/>
                <w:i/>
                <w:szCs w:val="18"/>
                <w:vertAlign w:val="subscript"/>
              </w:rPr>
              <w:t>S</w:t>
            </w:r>
            <w:r w:rsidRPr="00B0618E">
              <w:rPr>
                <w:rFonts w:asciiTheme="minorHAnsi" w:hAnsiTheme="minorHAnsi"/>
                <w:szCs w:val="18"/>
              </w:rPr>
              <w:t>03</w:t>
            </w:r>
          </w:p>
        </w:tc>
        <w:tc>
          <w:tcPr>
            <w:tcW w:w="617" w:type="pct"/>
            <w:vAlign w:val="center"/>
          </w:tcPr>
          <w:p w14:paraId="7BAB20FD" w14:textId="77777777" w:rsidR="0028010B" w:rsidRPr="00B0618E" w:rsidRDefault="0028010B" w:rsidP="0028010B">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6F1D785A" w14:textId="77777777" w:rsidR="0028010B" w:rsidRPr="00B0618E" w:rsidRDefault="0028010B" w:rsidP="0028010B">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-5.995</w:t>
            </w:r>
          </w:p>
        </w:tc>
        <w:tc>
          <w:tcPr>
            <w:tcW w:w="617" w:type="pct"/>
            <w:vAlign w:val="center"/>
          </w:tcPr>
          <w:p w14:paraId="589F0B02" w14:textId="77777777" w:rsidR="0028010B" w:rsidRPr="00B0618E" w:rsidRDefault="0028010B" w:rsidP="0028010B">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68761E5F" w14:textId="77777777" w:rsidR="0028010B" w:rsidRPr="00B0618E" w:rsidRDefault="0028010B" w:rsidP="0028010B">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-4.005</w:t>
            </w:r>
          </w:p>
        </w:tc>
      </w:tr>
      <w:tr w:rsidR="0028010B" w:rsidRPr="00B0618E" w14:paraId="76AB16D6"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161B6339" w14:textId="77777777" w:rsidR="0028010B" w:rsidRPr="00B0618E" w:rsidRDefault="0028010B" w:rsidP="0028010B">
            <w:pPr>
              <w:pStyle w:val="TableText"/>
              <w:rPr>
                <w:rFonts w:asciiTheme="minorHAnsi" w:hAnsiTheme="minorHAnsi"/>
                <w:b w:val="0"/>
                <w:szCs w:val="18"/>
              </w:rPr>
            </w:pPr>
            <w:r w:rsidRPr="00B0618E">
              <w:rPr>
                <w:rFonts w:asciiTheme="minorHAnsi" w:hAnsiTheme="minorHAnsi"/>
                <w:b w:val="0"/>
                <w:szCs w:val="18"/>
              </w:rPr>
              <w:t>24</w:t>
            </w:r>
          </w:p>
        </w:tc>
        <w:tc>
          <w:tcPr>
            <w:tcW w:w="1640" w:type="pct"/>
          </w:tcPr>
          <w:p w14:paraId="33BA2BF8" w14:textId="77777777" w:rsidR="0028010B" w:rsidRPr="00B0618E" w:rsidRDefault="0028010B" w:rsidP="0028010B">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Pilliga Sandstone aquifer</w:t>
            </w:r>
          </w:p>
        </w:tc>
        <w:tc>
          <w:tcPr>
            <w:tcW w:w="617" w:type="pct"/>
            <w:noWrap/>
          </w:tcPr>
          <w:p w14:paraId="08358DA8" w14:textId="77777777" w:rsidR="0028010B" w:rsidRPr="00B0618E" w:rsidRDefault="0028010B" w:rsidP="0028010B">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S</w:t>
            </w:r>
            <w:r w:rsidRPr="00B0618E">
              <w:rPr>
                <w:rFonts w:asciiTheme="minorHAnsi" w:hAnsiTheme="minorHAnsi"/>
                <w:i/>
                <w:szCs w:val="18"/>
                <w:vertAlign w:val="subscript"/>
              </w:rPr>
              <w:t>s</w:t>
            </w:r>
            <w:r w:rsidRPr="00B0618E">
              <w:rPr>
                <w:rFonts w:asciiTheme="minorHAnsi" w:hAnsiTheme="minorHAnsi"/>
                <w:szCs w:val="18"/>
              </w:rPr>
              <w:t>04</w:t>
            </w:r>
          </w:p>
        </w:tc>
        <w:tc>
          <w:tcPr>
            <w:tcW w:w="617" w:type="pct"/>
            <w:vAlign w:val="center"/>
          </w:tcPr>
          <w:p w14:paraId="0988213A" w14:textId="77777777" w:rsidR="0028010B" w:rsidRPr="00B0618E" w:rsidRDefault="0028010B" w:rsidP="0028010B">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466F7494" w14:textId="77777777" w:rsidR="0028010B" w:rsidRPr="00B0618E" w:rsidRDefault="0028010B" w:rsidP="0028010B">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-6.000</w:t>
            </w:r>
          </w:p>
        </w:tc>
        <w:tc>
          <w:tcPr>
            <w:tcW w:w="617" w:type="pct"/>
            <w:vAlign w:val="center"/>
          </w:tcPr>
          <w:p w14:paraId="3CD828AF" w14:textId="77777777" w:rsidR="0028010B" w:rsidRPr="00B0618E" w:rsidRDefault="0028010B" w:rsidP="0028010B">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4B9D9006" w14:textId="77777777" w:rsidR="0028010B" w:rsidRPr="00B0618E" w:rsidRDefault="0028010B" w:rsidP="0028010B">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-4.005</w:t>
            </w:r>
          </w:p>
        </w:tc>
      </w:tr>
      <w:tr w:rsidR="000B6D10" w:rsidRPr="00B0618E" w14:paraId="35FB7F54"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1C97F5B9"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25</w:t>
            </w:r>
          </w:p>
        </w:tc>
        <w:tc>
          <w:tcPr>
            <w:tcW w:w="1640" w:type="pct"/>
          </w:tcPr>
          <w:p w14:paraId="0CBA75EE"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Upper aquitard sequence</w:t>
            </w:r>
          </w:p>
        </w:tc>
        <w:tc>
          <w:tcPr>
            <w:tcW w:w="617" w:type="pct"/>
            <w:noWrap/>
          </w:tcPr>
          <w:p w14:paraId="684AD605" w14:textId="77777777"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S</w:t>
            </w:r>
            <w:r w:rsidR="00036549" w:rsidRPr="00B0618E">
              <w:rPr>
                <w:rFonts w:asciiTheme="minorHAnsi" w:hAnsiTheme="minorHAnsi"/>
                <w:i/>
                <w:szCs w:val="18"/>
                <w:vertAlign w:val="subscript"/>
              </w:rPr>
              <w:t>S</w:t>
            </w:r>
            <w:r w:rsidRPr="00B0618E">
              <w:rPr>
                <w:rFonts w:asciiTheme="minorHAnsi" w:hAnsiTheme="minorHAnsi"/>
                <w:szCs w:val="18"/>
              </w:rPr>
              <w:t>05</w:t>
            </w:r>
          </w:p>
        </w:tc>
        <w:tc>
          <w:tcPr>
            <w:tcW w:w="617" w:type="pct"/>
            <w:vAlign w:val="center"/>
          </w:tcPr>
          <w:p w14:paraId="1A015E40"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41898E53"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-5.978</w:t>
            </w:r>
          </w:p>
        </w:tc>
        <w:tc>
          <w:tcPr>
            <w:tcW w:w="617" w:type="pct"/>
            <w:vAlign w:val="center"/>
          </w:tcPr>
          <w:p w14:paraId="5525CE28"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2662C3BA"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-4.006</w:t>
            </w:r>
          </w:p>
        </w:tc>
      </w:tr>
      <w:tr w:rsidR="000B6D10" w:rsidRPr="00B0618E" w14:paraId="5F29D4D5"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0C507B4E"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26</w:t>
            </w:r>
          </w:p>
        </w:tc>
        <w:tc>
          <w:tcPr>
            <w:tcW w:w="1640" w:type="pct"/>
          </w:tcPr>
          <w:p w14:paraId="0697253F" w14:textId="77777777" w:rsidR="000B6D10" w:rsidRPr="00B0618E" w:rsidRDefault="000B6D10"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Hoskissons Coal</w:t>
            </w:r>
          </w:p>
        </w:tc>
        <w:tc>
          <w:tcPr>
            <w:tcW w:w="617" w:type="pct"/>
            <w:noWrap/>
          </w:tcPr>
          <w:p w14:paraId="6F7CA76B" w14:textId="77777777"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S</w:t>
            </w:r>
            <w:r w:rsidR="00036549" w:rsidRPr="00B0618E">
              <w:rPr>
                <w:rFonts w:asciiTheme="minorHAnsi" w:hAnsiTheme="minorHAnsi"/>
                <w:i/>
                <w:szCs w:val="18"/>
                <w:vertAlign w:val="subscript"/>
              </w:rPr>
              <w:t>S</w:t>
            </w:r>
            <w:r w:rsidRPr="00B0618E">
              <w:rPr>
                <w:rFonts w:asciiTheme="minorHAnsi" w:hAnsiTheme="minorHAnsi"/>
                <w:szCs w:val="18"/>
              </w:rPr>
              <w:t>06</w:t>
            </w:r>
          </w:p>
        </w:tc>
        <w:tc>
          <w:tcPr>
            <w:tcW w:w="617" w:type="pct"/>
            <w:vAlign w:val="center"/>
          </w:tcPr>
          <w:p w14:paraId="1C2FA34B"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6A982B9E"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-5.992</w:t>
            </w:r>
          </w:p>
        </w:tc>
        <w:tc>
          <w:tcPr>
            <w:tcW w:w="617" w:type="pct"/>
            <w:vAlign w:val="center"/>
          </w:tcPr>
          <w:p w14:paraId="6ACE2F27"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02F3D472"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-4.019</w:t>
            </w:r>
          </w:p>
        </w:tc>
      </w:tr>
      <w:tr w:rsidR="000B6D10" w:rsidRPr="00B0618E" w14:paraId="13D295E2"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62D6CACB"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27</w:t>
            </w:r>
          </w:p>
        </w:tc>
        <w:tc>
          <w:tcPr>
            <w:tcW w:w="1640" w:type="pct"/>
          </w:tcPr>
          <w:p w14:paraId="652EAF4D"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Lower aquitard sequence</w:t>
            </w:r>
          </w:p>
        </w:tc>
        <w:tc>
          <w:tcPr>
            <w:tcW w:w="617" w:type="pct"/>
            <w:noWrap/>
          </w:tcPr>
          <w:p w14:paraId="4B0809D8" w14:textId="77777777"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S</w:t>
            </w:r>
            <w:r w:rsidR="00036549" w:rsidRPr="00B0618E">
              <w:rPr>
                <w:rFonts w:asciiTheme="minorHAnsi" w:hAnsiTheme="minorHAnsi"/>
                <w:i/>
                <w:szCs w:val="18"/>
                <w:vertAlign w:val="subscript"/>
              </w:rPr>
              <w:t>S</w:t>
            </w:r>
            <w:r w:rsidRPr="00B0618E">
              <w:rPr>
                <w:rFonts w:asciiTheme="minorHAnsi" w:hAnsiTheme="minorHAnsi"/>
                <w:szCs w:val="18"/>
              </w:rPr>
              <w:t>07</w:t>
            </w:r>
          </w:p>
        </w:tc>
        <w:tc>
          <w:tcPr>
            <w:tcW w:w="617" w:type="pct"/>
            <w:vAlign w:val="center"/>
          </w:tcPr>
          <w:p w14:paraId="0E6E7A64"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3F59F66A"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-5.991</w:t>
            </w:r>
          </w:p>
        </w:tc>
        <w:tc>
          <w:tcPr>
            <w:tcW w:w="617" w:type="pct"/>
            <w:vAlign w:val="center"/>
          </w:tcPr>
          <w:p w14:paraId="794F212A"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6BB82E3C"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-4.001</w:t>
            </w:r>
          </w:p>
        </w:tc>
      </w:tr>
      <w:tr w:rsidR="000B6D10" w:rsidRPr="00B0618E" w14:paraId="51356B06"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10CCA9BD"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28</w:t>
            </w:r>
          </w:p>
        </w:tc>
        <w:tc>
          <w:tcPr>
            <w:tcW w:w="1640" w:type="pct"/>
          </w:tcPr>
          <w:p w14:paraId="169878B3" w14:textId="77777777" w:rsidR="000B6D10" w:rsidRPr="00B0618E" w:rsidRDefault="000B6D10"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Maules Creek Formation interburden</w:t>
            </w:r>
          </w:p>
        </w:tc>
        <w:tc>
          <w:tcPr>
            <w:tcW w:w="617" w:type="pct"/>
            <w:noWrap/>
          </w:tcPr>
          <w:p w14:paraId="725B37FA" w14:textId="77777777"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S</w:t>
            </w:r>
            <w:r w:rsidR="00036549" w:rsidRPr="00B0618E">
              <w:rPr>
                <w:rFonts w:asciiTheme="minorHAnsi" w:hAnsiTheme="minorHAnsi"/>
                <w:i/>
                <w:szCs w:val="18"/>
                <w:vertAlign w:val="subscript"/>
              </w:rPr>
              <w:t>S</w:t>
            </w:r>
            <w:r w:rsidRPr="00B0618E">
              <w:rPr>
                <w:rFonts w:asciiTheme="minorHAnsi" w:hAnsiTheme="minorHAnsi"/>
                <w:szCs w:val="18"/>
              </w:rPr>
              <w:t>08</w:t>
            </w:r>
          </w:p>
        </w:tc>
        <w:tc>
          <w:tcPr>
            <w:tcW w:w="617" w:type="pct"/>
            <w:vAlign w:val="center"/>
          </w:tcPr>
          <w:p w14:paraId="307F6091"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21A86023"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-5.977</w:t>
            </w:r>
          </w:p>
        </w:tc>
        <w:tc>
          <w:tcPr>
            <w:tcW w:w="617" w:type="pct"/>
            <w:vAlign w:val="center"/>
          </w:tcPr>
          <w:p w14:paraId="537CE0CD"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78C8FA40"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-4.001</w:t>
            </w:r>
          </w:p>
        </w:tc>
      </w:tr>
      <w:tr w:rsidR="000B6D10" w:rsidRPr="00B0618E" w14:paraId="468ED022" w14:textId="77777777" w:rsidTr="0028010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0957B61A"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29</w:t>
            </w:r>
          </w:p>
        </w:tc>
        <w:tc>
          <w:tcPr>
            <w:tcW w:w="1640" w:type="pct"/>
          </w:tcPr>
          <w:p w14:paraId="04F1ACA9" w14:textId="77777777" w:rsidR="000B6D10" w:rsidRPr="00B0618E" w:rsidRDefault="000B6D10" w:rsidP="000B6D10">
            <w:pPr>
              <w:pStyle w:val="TableText"/>
              <w:cnfStyle w:val="000000100000" w:firstRow="0" w:lastRow="0" w:firstColumn="0" w:lastColumn="0" w:oddVBand="0" w:evenVBand="0" w:oddHBand="1"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Maules Creek Formation coal</w:t>
            </w:r>
          </w:p>
        </w:tc>
        <w:tc>
          <w:tcPr>
            <w:tcW w:w="617" w:type="pct"/>
            <w:noWrap/>
          </w:tcPr>
          <w:p w14:paraId="46797F20" w14:textId="77777777" w:rsidR="000B6D10" w:rsidRPr="00B0618E" w:rsidRDefault="000B6D10" w:rsidP="00036549">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i/>
                <w:szCs w:val="18"/>
              </w:rPr>
              <w:t>S</w:t>
            </w:r>
            <w:r w:rsidR="00036549" w:rsidRPr="00B0618E">
              <w:rPr>
                <w:rFonts w:asciiTheme="minorHAnsi" w:hAnsiTheme="minorHAnsi"/>
                <w:i/>
                <w:szCs w:val="18"/>
                <w:vertAlign w:val="subscript"/>
              </w:rPr>
              <w:t>S</w:t>
            </w:r>
            <w:r w:rsidRPr="00B0618E">
              <w:rPr>
                <w:rFonts w:asciiTheme="minorHAnsi" w:hAnsiTheme="minorHAnsi"/>
                <w:szCs w:val="18"/>
              </w:rPr>
              <w:t>09</w:t>
            </w:r>
          </w:p>
        </w:tc>
        <w:tc>
          <w:tcPr>
            <w:tcW w:w="617" w:type="pct"/>
            <w:vAlign w:val="center"/>
          </w:tcPr>
          <w:p w14:paraId="3E0EBD26"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567B426E"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-5.991</w:t>
            </w:r>
          </w:p>
        </w:tc>
        <w:tc>
          <w:tcPr>
            <w:tcW w:w="617" w:type="pct"/>
            <w:vAlign w:val="center"/>
          </w:tcPr>
          <w:p w14:paraId="51B057D1" w14:textId="77777777" w:rsidR="000B6D10" w:rsidRPr="00B0618E" w:rsidRDefault="000B6D10" w:rsidP="000B6D10">
            <w:pPr>
              <w:pStyle w:val="TableText"/>
              <w:jc w:val="right"/>
              <w:cnfStyle w:val="000000100000" w:firstRow="0" w:lastRow="0" w:firstColumn="0" w:lastColumn="0" w:oddVBand="0" w:evenVBand="0" w:oddHBand="1"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7525CF4E" w14:textId="77777777" w:rsidR="000B6D10" w:rsidRPr="00B0618E" w:rsidRDefault="000B6D10" w:rsidP="000B6D10">
            <w:pPr>
              <w:spacing w:before="60" w:after="60"/>
              <w:jc w:val="right"/>
              <w:cnfStyle w:val="000000100000" w:firstRow="0" w:lastRow="0" w:firstColumn="0" w:lastColumn="0" w:oddVBand="0" w:evenVBand="0" w:oddHBand="1" w:evenHBand="0" w:firstRowFirstColumn="0" w:firstRowLastColumn="0" w:lastRowFirstColumn="0" w:lastRowLastColumn="0"/>
              <w:rPr>
                <w:sz w:val="18"/>
              </w:rPr>
            </w:pPr>
            <w:r w:rsidRPr="00B0618E">
              <w:rPr>
                <w:sz w:val="18"/>
              </w:rPr>
              <w:t>-4.010</w:t>
            </w:r>
          </w:p>
        </w:tc>
      </w:tr>
      <w:tr w:rsidR="000B6D10" w:rsidRPr="00B0618E" w14:paraId="19AE5664" w14:textId="77777777" w:rsidTr="0028010B">
        <w:trPr>
          <w:trHeight w:val="264"/>
        </w:trPr>
        <w:tc>
          <w:tcPr>
            <w:cnfStyle w:val="001000000000" w:firstRow="0" w:lastRow="0" w:firstColumn="1" w:lastColumn="0" w:oddVBand="0" w:evenVBand="0" w:oddHBand="0" w:evenHBand="0" w:firstRowFirstColumn="0" w:firstRowLastColumn="0" w:lastRowFirstColumn="0" w:lastRowLastColumn="0"/>
            <w:tcW w:w="273" w:type="pct"/>
            <w:noWrap/>
          </w:tcPr>
          <w:p w14:paraId="6FD3784C" w14:textId="77777777" w:rsidR="000B6D10" w:rsidRPr="00B0618E" w:rsidRDefault="000B6D10" w:rsidP="000B6D10">
            <w:pPr>
              <w:pStyle w:val="TableText"/>
              <w:rPr>
                <w:rFonts w:asciiTheme="minorHAnsi" w:hAnsiTheme="minorHAnsi"/>
                <w:b w:val="0"/>
                <w:szCs w:val="18"/>
              </w:rPr>
            </w:pPr>
            <w:r w:rsidRPr="00B0618E">
              <w:rPr>
                <w:rFonts w:asciiTheme="minorHAnsi" w:hAnsiTheme="minorHAnsi"/>
                <w:b w:val="0"/>
                <w:szCs w:val="18"/>
              </w:rPr>
              <w:t>30</w:t>
            </w:r>
          </w:p>
        </w:tc>
        <w:tc>
          <w:tcPr>
            <w:tcW w:w="1640" w:type="pct"/>
          </w:tcPr>
          <w:p w14:paraId="1EBAF48C" w14:textId="77777777" w:rsidR="000B6D10" w:rsidRPr="00B0618E" w:rsidRDefault="000B6D10" w:rsidP="000B6D10">
            <w:pPr>
              <w:pStyle w:val="TableText"/>
              <w:cnfStyle w:val="000000000000" w:firstRow="0" w:lastRow="0" w:firstColumn="0" w:lastColumn="0" w:oddVBand="0" w:evenVBand="0" w:oddHBand="0" w:evenHBand="0" w:firstRowFirstColumn="0" w:firstRowLastColumn="0" w:lastRowFirstColumn="0" w:lastRowLastColumn="0"/>
              <w:rPr>
                <w:rFonts w:asciiTheme="minorHAnsi" w:hAnsiTheme="minorHAnsi"/>
                <w:color w:val="auto"/>
                <w:szCs w:val="18"/>
              </w:rPr>
            </w:pPr>
            <w:r w:rsidRPr="00B0618E">
              <w:rPr>
                <w:rFonts w:asciiTheme="minorHAnsi" w:hAnsiTheme="minorHAnsi"/>
                <w:color w:val="auto"/>
                <w:szCs w:val="18"/>
              </w:rPr>
              <w:t>Maules Creek Formation interburden</w:t>
            </w:r>
          </w:p>
        </w:tc>
        <w:tc>
          <w:tcPr>
            <w:tcW w:w="617" w:type="pct"/>
            <w:noWrap/>
          </w:tcPr>
          <w:p w14:paraId="054458EF" w14:textId="77777777" w:rsidR="000B6D10" w:rsidRPr="00B0618E" w:rsidRDefault="000B6D10" w:rsidP="00036549">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i/>
                <w:szCs w:val="18"/>
              </w:rPr>
              <w:t>S</w:t>
            </w:r>
            <w:r w:rsidR="00036549" w:rsidRPr="00B0618E">
              <w:rPr>
                <w:rFonts w:asciiTheme="minorHAnsi" w:hAnsiTheme="minorHAnsi"/>
                <w:i/>
                <w:szCs w:val="18"/>
                <w:vertAlign w:val="subscript"/>
              </w:rPr>
              <w:t>S</w:t>
            </w:r>
            <w:r w:rsidRPr="00B0618E">
              <w:rPr>
                <w:rFonts w:asciiTheme="minorHAnsi" w:hAnsiTheme="minorHAnsi"/>
                <w:szCs w:val="18"/>
              </w:rPr>
              <w:t>10</w:t>
            </w:r>
          </w:p>
        </w:tc>
        <w:tc>
          <w:tcPr>
            <w:tcW w:w="617" w:type="pct"/>
            <w:vAlign w:val="center"/>
          </w:tcPr>
          <w:p w14:paraId="2A147389"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-6.000</w:t>
            </w:r>
          </w:p>
        </w:tc>
        <w:tc>
          <w:tcPr>
            <w:tcW w:w="617" w:type="pct"/>
            <w:vAlign w:val="center"/>
          </w:tcPr>
          <w:p w14:paraId="6DA116C6"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-5.994</w:t>
            </w:r>
          </w:p>
        </w:tc>
        <w:tc>
          <w:tcPr>
            <w:tcW w:w="617" w:type="pct"/>
            <w:vAlign w:val="center"/>
          </w:tcPr>
          <w:p w14:paraId="57F3991F" w14:textId="77777777" w:rsidR="000B6D10" w:rsidRPr="00B0618E" w:rsidRDefault="000B6D10" w:rsidP="000B6D10">
            <w:pPr>
              <w:pStyle w:val="TableText"/>
              <w:jc w:val="right"/>
              <w:cnfStyle w:val="000000000000" w:firstRow="0" w:lastRow="0" w:firstColumn="0" w:lastColumn="0" w:oddVBand="0" w:evenVBand="0" w:oddHBand="0" w:evenHBand="0" w:firstRowFirstColumn="0" w:firstRowLastColumn="0" w:lastRowFirstColumn="0" w:lastRowLastColumn="0"/>
              <w:rPr>
                <w:rFonts w:asciiTheme="minorHAnsi" w:hAnsiTheme="minorHAnsi"/>
                <w:szCs w:val="18"/>
              </w:rPr>
            </w:pPr>
            <w:r w:rsidRPr="00B0618E">
              <w:rPr>
                <w:rFonts w:asciiTheme="minorHAnsi" w:hAnsiTheme="minorHAnsi"/>
                <w:szCs w:val="18"/>
              </w:rPr>
              <w:t>-4.000</w:t>
            </w:r>
          </w:p>
        </w:tc>
        <w:tc>
          <w:tcPr>
            <w:tcW w:w="618" w:type="pct"/>
            <w:vAlign w:val="center"/>
          </w:tcPr>
          <w:p w14:paraId="37462962" w14:textId="77777777" w:rsidR="000B6D10" w:rsidRPr="00B0618E" w:rsidRDefault="000B6D10" w:rsidP="000B6D10">
            <w:pPr>
              <w:spacing w:before="60" w:after="60"/>
              <w:jc w:val="right"/>
              <w:cnfStyle w:val="000000000000" w:firstRow="0" w:lastRow="0" w:firstColumn="0" w:lastColumn="0" w:oddVBand="0" w:evenVBand="0" w:oddHBand="0" w:evenHBand="0" w:firstRowFirstColumn="0" w:firstRowLastColumn="0" w:lastRowFirstColumn="0" w:lastRowLastColumn="0"/>
              <w:rPr>
                <w:sz w:val="18"/>
              </w:rPr>
            </w:pPr>
            <w:r w:rsidRPr="00B0618E">
              <w:rPr>
                <w:sz w:val="18"/>
              </w:rPr>
              <w:t>-4.050</w:t>
            </w:r>
          </w:p>
        </w:tc>
      </w:tr>
    </w:tbl>
    <w:p w14:paraId="5035003C" w14:textId="77777777" w:rsidR="00882D65" w:rsidRPr="00B0618E" w:rsidRDefault="00882D65" w:rsidP="00882D65">
      <w:pPr>
        <w:pStyle w:val="Heading3"/>
      </w:pPr>
      <w:bookmarkStart w:id="58" w:name="_Ref476296522"/>
      <w:r w:rsidRPr="00B0618E">
        <w:t>Statistical convergence testing</w:t>
      </w:r>
      <w:bookmarkEnd w:id="58"/>
    </w:p>
    <w:p w14:paraId="682EC80E" w14:textId="2497695C" w:rsidR="00FB6E01" w:rsidRDefault="005C5D0E" w:rsidP="006A2F4B">
      <w:pPr>
        <w:pStyle w:val="BodyText"/>
        <w:rPr>
          <w:color w:val="auto"/>
        </w:rPr>
      </w:pPr>
      <w:r w:rsidRPr="00B0618E">
        <w:rPr>
          <w:color w:val="auto"/>
        </w:rPr>
        <w:t xml:space="preserve">A sample size of 300 model runs was initially selected for pragmatic reasons; i.e., </w:t>
      </w:r>
      <w:r w:rsidR="00FB1B4E" w:rsidRPr="00B0618E">
        <w:rPr>
          <w:color w:val="auto"/>
        </w:rPr>
        <w:t xml:space="preserve">to limit both the total model processing time and </w:t>
      </w:r>
      <w:r w:rsidRPr="00B0618E">
        <w:rPr>
          <w:color w:val="auto"/>
        </w:rPr>
        <w:t xml:space="preserve">computer storage </w:t>
      </w:r>
      <w:r w:rsidR="00FB1B4E" w:rsidRPr="00B0618E">
        <w:rPr>
          <w:color w:val="auto"/>
        </w:rPr>
        <w:t xml:space="preserve">required. Each model run required approximately 30 minutes to complete and produced approximately </w:t>
      </w:r>
      <w:r w:rsidR="00472E58" w:rsidRPr="00B0618E">
        <w:rPr>
          <w:color w:val="auto"/>
        </w:rPr>
        <w:t>two</w:t>
      </w:r>
      <w:r w:rsidR="00FB1B4E" w:rsidRPr="00B0618E">
        <w:rPr>
          <w:color w:val="auto"/>
        </w:rPr>
        <w:t xml:space="preserve"> </w:t>
      </w:r>
      <w:r w:rsidR="00472E58" w:rsidRPr="00B0618E">
        <w:rPr>
          <w:color w:val="auto"/>
        </w:rPr>
        <w:t>gigabytes</w:t>
      </w:r>
      <w:r w:rsidR="00FB1B4E" w:rsidRPr="00B0618E">
        <w:rPr>
          <w:color w:val="auto"/>
        </w:rPr>
        <w:t xml:space="preserve"> of output files. </w:t>
      </w:r>
      <w:r w:rsidR="005A4858">
        <w:rPr>
          <w:color w:val="auto"/>
        </w:rPr>
        <w:t xml:space="preserve">Furthermore, because of the proprietary status of the </w:t>
      </w:r>
      <w:r w:rsidR="005A4858" w:rsidRPr="00B0618E">
        <w:rPr>
          <w:color w:val="auto"/>
        </w:rPr>
        <w:t>finite-difference code MODFLOW-SURFACT (HydroGeoLogic, 1996)</w:t>
      </w:r>
      <w:r w:rsidR="005A4858">
        <w:rPr>
          <w:color w:val="auto"/>
        </w:rPr>
        <w:t xml:space="preserve">, distributed or parallel computing was not an option, although this would have reduced the overall runtime and thus would have allowed for a larger number of model runs. </w:t>
      </w:r>
      <w:r w:rsidR="00FB6E01">
        <w:rPr>
          <w:color w:val="auto"/>
        </w:rPr>
        <w:t>Such practical implications need careful consideration when selecting the modelling software, especially for stochastic simulations.</w:t>
      </w:r>
      <w:r w:rsidR="003F07DC">
        <w:rPr>
          <w:color w:val="auto"/>
        </w:rPr>
        <w:t xml:space="preserve"> Whatever the initial number of model runs selected, it is important to test if the sensitivity metrics have converged for a given number of Monte Carlo runs (Nossent et al., 2011).</w:t>
      </w:r>
    </w:p>
    <w:p w14:paraId="2F7B7096" w14:textId="77777777" w:rsidR="00E62AC3" w:rsidRDefault="00FB1B4E" w:rsidP="006A2F4B">
      <w:pPr>
        <w:pStyle w:val="BodyText"/>
        <w:rPr>
          <w:color w:val="auto"/>
        </w:rPr>
      </w:pPr>
      <w:r w:rsidRPr="00B0618E">
        <w:rPr>
          <w:color w:val="auto"/>
        </w:rPr>
        <w:t>Following the completion of 300 convergent model runs, the statistical robustness of results based on this sample size w</w:t>
      </w:r>
      <w:r w:rsidR="00503808" w:rsidRPr="00B0618E">
        <w:rPr>
          <w:color w:val="auto"/>
        </w:rPr>
        <w:t>as</w:t>
      </w:r>
      <w:r w:rsidRPr="00B0618E">
        <w:rPr>
          <w:color w:val="auto"/>
        </w:rPr>
        <w:t xml:space="preserve"> then tested by recalculating the relative ranking of each parameter, based on the </w:t>
      </w:r>
      <w:r w:rsidR="00C82F89" w:rsidRPr="00B0618E">
        <w:rPr>
          <w:color w:val="auto"/>
        </w:rPr>
        <w:t>DMIM</w:t>
      </w:r>
      <w:r w:rsidRPr="00B0618E">
        <w:rPr>
          <w:color w:val="auto"/>
        </w:rPr>
        <w:t xml:space="preserve"> </w:t>
      </w:r>
      <w:r w:rsidR="005C3666">
        <w:rPr>
          <w:i/>
          <w:color w:val="auto"/>
        </w:rPr>
        <w:t>δ</w:t>
      </w:r>
      <w:r w:rsidR="00503808" w:rsidRPr="00B0618E">
        <w:rPr>
          <w:i/>
          <w:color w:val="auto"/>
        </w:rPr>
        <w:t xml:space="preserve"> </w:t>
      </w:r>
      <w:r w:rsidRPr="00B0618E">
        <w:rPr>
          <w:color w:val="auto"/>
        </w:rPr>
        <w:t xml:space="preserve">and Sobol’ </w:t>
      </w:r>
      <w:r w:rsidRPr="00B0618E">
        <w:rPr>
          <w:i/>
          <w:color w:val="auto"/>
        </w:rPr>
        <w:t>S</w:t>
      </w:r>
      <w:r w:rsidRPr="00B0618E">
        <w:rPr>
          <w:color w:val="auto"/>
          <w:vertAlign w:val="subscript"/>
        </w:rPr>
        <w:t>1</w:t>
      </w:r>
      <w:r w:rsidRPr="00B0618E">
        <w:rPr>
          <w:color w:val="auto"/>
        </w:rPr>
        <w:t xml:space="preserve"> quantitative sensitivity metrics</w:t>
      </w:r>
      <w:r w:rsidR="00472E58" w:rsidRPr="00B0618E">
        <w:rPr>
          <w:color w:val="auto"/>
        </w:rPr>
        <w:t xml:space="preserve">. </w:t>
      </w:r>
      <w:r w:rsidR="006A2F4B" w:rsidRPr="00B0618E">
        <w:t>These two metrics were rec</w:t>
      </w:r>
      <w:r w:rsidR="00562A86" w:rsidRPr="00B0618E">
        <w:t>a</w:t>
      </w:r>
      <w:r w:rsidR="006A2F4B" w:rsidRPr="00B0618E">
        <w:t>lculated using sample sizes of 200, 220, 240, 260</w:t>
      </w:r>
      <w:r w:rsidR="00472E58" w:rsidRPr="00B0618E">
        <w:t xml:space="preserve">, </w:t>
      </w:r>
      <w:r w:rsidR="006A2F4B" w:rsidRPr="00B0618E">
        <w:t xml:space="preserve">280 </w:t>
      </w:r>
      <w:r w:rsidR="00472E58" w:rsidRPr="00B0618E">
        <w:t xml:space="preserve">and 300 </w:t>
      </w:r>
      <w:r w:rsidR="006A2F4B" w:rsidRPr="00B0618E">
        <w:t xml:space="preserve">model runs. The relative rankings of the four modelled predictions are compared with respect to </w:t>
      </w:r>
      <w:r w:rsidR="00472E58" w:rsidRPr="00B0618E">
        <w:t xml:space="preserve">increasing </w:t>
      </w:r>
      <w:r w:rsidR="006A2F4B" w:rsidRPr="00B0618E">
        <w:t xml:space="preserve">sample size </w:t>
      </w:r>
      <w:r w:rsidR="00472E58" w:rsidRPr="00B0618E">
        <w:t xml:space="preserve">in </w:t>
      </w:r>
      <w:r w:rsidR="00B40D21" w:rsidRPr="00B0618E">
        <w:fldChar w:fldCharType="begin"/>
      </w:r>
      <w:r w:rsidR="00B40D21" w:rsidRPr="00B0618E">
        <w:instrText xml:space="preserve"> REF _Ref467659101 \h </w:instrText>
      </w:r>
      <w:r w:rsidR="00B0618E">
        <w:instrText xml:space="preserve"> \* MERGEFORMAT </w:instrText>
      </w:r>
      <w:r w:rsidR="00B40D21" w:rsidRPr="00B0618E">
        <w:fldChar w:fldCharType="separate"/>
      </w:r>
      <w:r w:rsidR="000B6FA5" w:rsidRPr="00B0618E">
        <w:t xml:space="preserve">Figure </w:t>
      </w:r>
      <w:r w:rsidR="000B6FA5">
        <w:rPr>
          <w:noProof/>
        </w:rPr>
        <w:t>3</w:t>
      </w:r>
      <w:r w:rsidR="000B6FA5">
        <w:rPr>
          <w:noProof/>
        </w:rPr>
        <w:noBreakHyphen/>
        <w:t>2</w:t>
      </w:r>
      <w:r w:rsidR="00B40D21" w:rsidRPr="00B0618E">
        <w:fldChar w:fldCharType="end"/>
      </w:r>
      <w:r w:rsidR="006A2F4B" w:rsidRPr="00B0618E">
        <w:rPr>
          <w:color w:val="auto"/>
        </w:rPr>
        <w:t>.</w:t>
      </w:r>
      <w:r w:rsidR="00472E58" w:rsidRPr="00B0618E">
        <w:rPr>
          <w:color w:val="auto"/>
        </w:rPr>
        <w:t xml:space="preserve"> </w:t>
      </w:r>
    </w:p>
    <w:p w14:paraId="4D501AB8" w14:textId="10294D3C" w:rsidR="00FB1B4E" w:rsidRPr="00B0618E" w:rsidRDefault="00671430" w:rsidP="006A2F4B">
      <w:pPr>
        <w:pStyle w:val="Caption"/>
        <w:jc w:val="both"/>
        <w:rPr>
          <w:color w:val="FF0000"/>
        </w:rPr>
      </w:pPr>
      <w:r>
        <w:rPr>
          <w:noProof/>
          <w:color w:val="FF0000"/>
        </w:rPr>
        <w:drawing>
          <wp:inline distT="0" distB="0" distL="0" distR="0" wp14:anchorId="46D61B3C" wp14:editId="1084C61B">
            <wp:extent cx="5761990" cy="3200400"/>
            <wp:effectExtent l="0" t="0" r="0" b="0"/>
            <wp:docPr id="125" name="Picture 125" descr="Charts of sensitive rankings of ten parameters used in the model" title="Fig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OWS_FAM\Models\Version6_SA_reanalysis_061016\Plot_bootstrap_outputs_v02_071116_ranks.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1990" cy="3200400"/>
                    </a:xfrm>
                    <a:prstGeom prst="rect">
                      <a:avLst/>
                    </a:prstGeom>
                    <a:noFill/>
                    <a:ln>
                      <a:noFill/>
                    </a:ln>
                  </pic:spPr>
                </pic:pic>
              </a:graphicData>
            </a:graphic>
          </wp:inline>
        </w:drawing>
      </w:r>
    </w:p>
    <w:p w14:paraId="151DE282" w14:textId="3D7CE224" w:rsidR="006F02A9" w:rsidRPr="00B0618E" w:rsidRDefault="006F02A9" w:rsidP="00994757">
      <w:pPr>
        <w:pStyle w:val="Caption"/>
      </w:pPr>
      <w:bookmarkStart w:id="59" w:name="_Ref467659101"/>
      <w:bookmarkStart w:id="60" w:name="_Ref467659088"/>
      <w:bookmarkStart w:id="61" w:name="_Toc482034903"/>
      <w:r w:rsidRPr="00B0618E">
        <w:t xml:space="preserve">Figure </w:t>
      </w:r>
      <w:r w:rsidR="00A2085C">
        <w:fldChar w:fldCharType="begin"/>
      </w:r>
      <w:r w:rsidR="00A2085C">
        <w:instrText xml:space="preserve"> STY</w:instrText>
      </w:r>
      <w:r w:rsidR="00A2085C">
        <w:instrText xml:space="preserve">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2</w:t>
      </w:r>
      <w:r w:rsidR="00A2085C">
        <w:rPr>
          <w:noProof/>
        </w:rPr>
        <w:fldChar w:fldCharType="end"/>
      </w:r>
      <w:bookmarkEnd w:id="59"/>
      <w:r w:rsidRPr="00B0618E">
        <w:t>.</w:t>
      </w:r>
      <w:bookmarkEnd w:id="60"/>
      <w:r w:rsidR="007E241C" w:rsidRPr="00B0618E">
        <w:t xml:space="preserve"> Relative rankings of ten parameters </w:t>
      </w:r>
      <w:r w:rsidR="00134AA3" w:rsidRPr="00B0618E">
        <w:t xml:space="preserve">used by the </w:t>
      </w:r>
      <w:r w:rsidR="00045A85">
        <w:t>CDM Smith (2016)</w:t>
      </w:r>
      <w:r w:rsidR="00134AA3" w:rsidRPr="00B0618E">
        <w:t xml:space="preserve"> Gunnedah</w:t>
      </w:r>
      <w:r w:rsidR="004900B0">
        <w:t>-Surat</w:t>
      </w:r>
      <w:r w:rsidR="00134AA3" w:rsidRPr="00B0618E">
        <w:t xml:space="preserve"> </w:t>
      </w:r>
      <w:r w:rsidR="004900B0">
        <w:t>b</w:t>
      </w:r>
      <w:r w:rsidR="00134AA3" w:rsidRPr="00B0618E">
        <w:t>asin</w:t>
      </w:r>
      <w:r w:rsidR="004900B0">
        <w:t>s</w:t>
      </w:r>
      <w:r w:rsidR="00134AA3" w:rsidRPr="00B0618E">
        <w:t xml:space="preserve"> groundwater flow model </w:t>
      </w:r>
      <w:r w:rsidR="007E241C" w:rsidRPr="00B0618E">
        <w:t>(</w:t>
      </w:r>
      <w:r w:rsidR="000644F1" w:rsidRPr="00B0618E">
        <w:t xml:space="preserve">most sensitive = </w:t>
      </w:r>
      <w:r w:rsidR="007E241C" w:rsidRPr="00B0618E">
        <w:t xml:space="preserve">red, </w:t>
      </w:r>
      <w:r w:rsidR="000644F1" w:rsidRPr="00B0618E">
        <w:t xml:space="preserve">second most sensitive = </w:t>
      </w:r>
      <w:r w:rsidR="007E241C" w:rsidRPr="00B0618E">
        <w:t xml:space="preserve">blue, </w:t>
      </w:r>
      <w:r w:rsidR="000644F1" w:rsidRPr="00B0618E">
        <w:t xml:space="preserve">third most sensitive = </w:t>
      </w:r>
      <w:r w:rsidR="007E241C" w:rsidRPr="00B0618E">
        <w:t xml:space="preserve">green; </w:t>
      </w:r>
      <w:r w:rsidR="000D0454" w:rsidRPr="00B0618E">
        <w:t>less sensitive parameters are</w:t>
      </w:r>
      <w:r w:rsidR="007E241C" w:rsidRPr="00B0618E">
        <w:t xml:space="preserve"> shown in grey) to which predictions relating to the Pilliga Sandstone aquifer were most sensitive: (a) maximum drawdown (MXD); (b)</w:t>
      </w:r>
      <w:r w:rsidR="000F43BF" w:rsidRPr="00B0618E">
        <w:t xml:space="preserve"> time elapsed at which maximum drawdown occurred (tMXD)</w:t>
      </w:r>
      <w:r w:rsidR="007E241C" w:rsidRPr="00B0618E">
        <w:t xml:space="preserve">; (c) </w:t>
      </w:r>
      <w:r w:rsidR="000F43BF" w:rsidRPr="00B0618E">
        <w:t>number of model cells at which drawdown exceeded two metres</w:t>
      </w:r>
      <w:r w:rsidR="007E241C" w:rsidRPr="00B0618E">
        <w:t xml:space="preserve">; and (d) </w:t>
      </w:r>
      <w:r w:rsidR="000F43BF" w:rsidRPr="00B0618E">
        <w:t>maximum change in vertical flux (MXQ)</w:t>
      </w:r>
      <w:r w:rsidR="007E241C" w:rsidRPr="00B0618E">
        <w:t xml:space="preserve">. Parameter rankings were based on two global sensitivity analysis metrics: (a) the </w:t>
      </w:r>
      <w:r w:rsidR="001D5947" w:rsidRPr="00B0618E">
        <w:t xml:space="preserve">Delta Moment-Independent Measure </w:t>
      </w:r>
      <w:r w:rsidR="007E241C" w:rsidRPr="00B0618E">
        <w:t>(</w:t>
      </w:r>
      <w:r w:rsidR="005C3666">
        <w:rPr>
          <w:i/>
        </w:rPr>
        <w:t>δ</w:t>
      </w:r>
      <w:r w:rsidR="00774C67" w:rsidRPr="00B0618E">
        <w:t xml:space="preserve">; </w:t>
      </w:r>
      <w:r w:rsidR="007E241C" w:rsidRPr="00B0618E">
        <w:t>Plischke et al., 201</w:t>
      </w:r>
      <w:r w:rsidR="00C82F89" w:rsidRPr="00B0618E">
        <w:t>3</w:t>
      </w:r>
      <w:r w:rsidR="007E241C" w:rsidRPr="00B0618E">
        <w:t>) and (b) the first order Sobol’ metric (</w:t>
      </w:r>
      <w:r w:rsidR="00774C67" w:rsidRPr="00B0618E">
        <w:rPr>
          <w:i/>
        </w:rPr>
        <w:t>S</w:t>
      </w:r>
      <w:r w:rsidR="00774C67" w:rsidRPr="00B0618E">
        <w:rPr>
          <w:vertAlign w:val="subscript"/>
        </w:rPr>
        <w:t>1</w:t>
      </w:r>
      <w:r w:rsidR="00774C67" w:rsidRPr="00B0618E">
        <w:t xml:space="preserve">; </w:t>
      </w:r>
      <w:r w:rsidR="007E241C" w:rsidRPr="00B0618E">
        <w:t>Sobol’, 2001). Sample sizes used as the basis for metric computation ranged from 200 to 300 model runs.</w:t>
      </w:r>
      <w:r w:rsidR="00134AA3" w:rsidRPr="00B0618E">
        <w:t xml:space="preserve"> Parameters identified are discussed in Section </w:t>
      </w:r>
      <w:r w:rsidR="00134AA3" w:rsidRPr="00B0618E">
        <w:fldChar w:fldCharType="begin"/>
      </w:r>
      <w:r w:rsidR="00134AA3" w:rsidRPr="00B0618E">
        <w:instrText xml:space="preserve"> REF _Ref469488784 \r \h </w:instrText>
      </w:r>
      <w:r w:rsidR="00B0618E">
        <w:instrText xml:space="preserve"> \* MERGEFORMAT </w:instrText>
      </w:r>
      <w:r w:rsidR="00134AA3" w:rsidRPr="00B0618E">
        <w:fldChar w:fldCharType="separate"/>
      </w:r>
      <w:r w:rsidR="000B6FA5">
        <w:t>3.5</w:t>
      </w:r>
      <w:r w:rsidR="00134AA3" w:rsidRPr="00B0618E">
        <w:fldChar w:fldCharType="end"/>
      </w:r>
      <w:r w:rsidR="00134AA3" w:rsidRPr="00B0618E">
        <w:t>.</w:t>
      </w:r>
      <w:bookmarkEnd w:id="61"/>
    </w:p>
    <w:p w14:paraId="4A5F8A74" w14:textId="77777777" w:rsidR="00E62AC3" w:rsidRPr="00B0618E" w:rsidRDefault="00E62AC3" w:rsidP="00E62AC3">
      <w:pPr>
        <w:pStyle w:val="BodyText"/>
      </w:pPr>
      <w:r w:rsidRPr="00B0618E">
        <w:rPr>
          <w:color w:val="auto"/>
        </w:rPr>
        <w:t>For each prediction, at least one model parameter was consistently ranked first based on sample sizes greater than or equal to 260 model runs.</w:t>
      </w:r>
      <w:r>
        <w:rPr>
          <w:color w:val="auto"/>
        </w:rPr>
        <w:t xml:space="preserve"> Note that the relative rankings are only significant if at least one of the two metrics occupies systematically the top rank for each and every sample size. For example, for the maximum drawdown (MXD), there is only one parameter for which the </w:t>
      </w:r>
      <w:r w:rsidRPr="00B0618E">
        <w:rPr>
          <w:color w:val="auto"/>
        </w:rPr>
        <w:t xml:space="preserve">Sobol’ </w:t>
      </w:r>
      <w:r w:rsidRPr="00B0618E">
        <w:rPr>
          <w:i/>
          <w:color w:val="auto"/>
        </w:rPr>
        <w:t>S</w:t>
      </w:r>
      <w:r w:rsidRPr="00B0618E">
        <w:rPr>
          <w:color w:val="auto"/>
          <w:vertAlign w:val="subscript"/>
        </w:rPr>
        <w:t>1</w:t>
      </w:r>
      <w:r>
        <w:rPr>
          <w:color w:val="auto"/>
          <w:vertAlign w:val="subscript"/>
        </w:rPr>
        <w:t xml:space="preserve"> </w:t>
      </w:r>
      <w:r w:rsidRPr="00C12819">
        <w:rPr>
          <w:color w:val="auto"/>
        </w:rPr>
        <w:t xml:space="preserve">metric </w:t>
      </w:r>
      <w:r>
        <w:rPr>
          <w:color w:val="auto"/>
        </w:rPr>
        <w:t>is consistently ranked first. For the extent of maximum drawdown (NDD), there are two parameters consistently ranked first and second, indicating only these two parameters are significantly affect the groundwater impact metric (here NDD). As will be shown later, these diagrams of relative rankings are best supplemented with diagrams displaying the magnitude of the sensitivity metrics for all predictions tested (i.e., the larger the metric, the more sensitive is the model prediction to this parameter).</w:t>
      </w:r>
    </w:p>
    <w:p w14:paraId="7F47AFB2" w14:textId="4E91B0DA" w:rsidR="006A2F4B" w:rsidRDefault="00472E58" w:rsidP="006A2F4B">
      <w:pPr>
        <w:pStyle w:val="BodyText"/>
        <w:rPr>
          <w:color w:val="auto"/>
        </w:rPr>
      </w:pPr>
      <w:r w:rsidRPr="00B0618E">
        <w:t xml:space="preserve">The statistical robustness of results based on a sample size of 300 model runs </w:t>
      </w:r>
      <w:r w:rsidR="00774C67" w:rsidRPr="00B0618E">
        <w:t>was</w:t>
      </w:r>
      <w:r w:rsidRPr="00B0618E">
        <w:t xml:space="preserve"> also tested by recalculating the uncertainty (i.e., statistical spread) of model predictions. </w:t>
      </w:r>
      <w:r w:rsidR="006A2F4B" w:rsidRPr="00B0618E">
        <w:t xml:space="preserve">The uncertainties of the four modelled predictions </w:t>
      </w:r>
      <w:r w:rsidRPr="00B0618E">
        <w:t>a</w:t>
      </w:r>
      <w:r w:rsidR="006A2F4B" w:rsidRPr="00B0618E">
        <w:t xml:space="preserve">re compared with respect to </w:t>
      </w:r>
      <w:r w:rsidRPr="00B0618E">
        <w:t xml:space="preserve">increasing </w:t>
      </w:r>
      <w:r w:rsidR="006A2F4B" w:rsidRPr="00B0618E">
        <w:t xml:space="preserve">sample size </w:t>
      </w:r>
      <w:r w:rsidR="007379E5">
        <w:t xml:space="preserve">(from 200 to 300, </w:t>
      </w:r>
      <w:r w:rsidR="00B40D21" w:rsidRPr="00B0618E">
        <w:rPr>
          <w:color w:val="auto"/>
        </w:rPr>
        <w:fldChar w:fldCharType="begin"/>
      </w:r>
      <w:r w:rsidR="00B40D21" w:rsidRPr="00B0618E">
        <w:instrText xml:space="preserve"> REF _Ref467659115 \h </w:instrText>
      </w:r>
      <w:r w:rsidR="00B0618E">
        <w:rPr>
          <w:color w:val="auto"/>
        </w:rPr>
        <w:instrText xml:space="preserve"> \* MERGEFORMAT </w:instrText>
      </w:r>
      <w:r w:rsidR="00B40D21" w:rsidRPr="00B0618E">
        <w:rPr>
          <w:color w:val="auto"/>
        </w:rPr>
      </w:r>
      <w:r w:rsidR="00B40D21" w:rsidRPr="00B0618E">
        <w:rPr>
          <w:color w:val="auto"/>
        </w:rPr>
        <w:fldChar w:fldCharType="separate"/>
      </w:r>
      <w:r w:rsidR="000B6FA5" w:rsidRPr="00B0618E">
        <w:t xml:space="preserve">Figure </w:t>
      </w:r>
      <w:r w:rsidR="000B6FA5">
        <w:rPr>
          <w:noProof/>
        </w:rPr>
        <w:t>3</w:t>
      </w:r>
      <w:r w:rsidR="000B6FA5">
        <w:rPr>
          <w:noProof/>
        </w:rPr>
        <w:noBreakHyphen/>
        <w:t>3</w:t>
      </w:r>
      <w:r w:rsidR="00B40D21" w:rsidRPr="00B0618E">
        <w:rPr>
          <w:color w:val="auto"/>
        </w:rPr>
        <w:fldChar w:fldCharType="end"/>
      </w:r>
      <w:r w:rsidR="006A2F4B" w:rsidRPr="00B0618E">
        <w:rPr>
          <w:color w:val="auto"/>
        </w:rPr>
        <w:t>.</w:t>
      </w:r>
      <w:r w:rsidRPr="00B0618E">
        <w:rPr>
          <w:color w:val="auto"/>
        </w:rPr>
        <w:t xml:space="preserve"> The uncertainties of all predictions was estimated consistently based on sample sizes greater than or equal to 2</w:t>
      </w:r>
      <w:r w:rsidR="006613A3">
        <w:rPr>
          <w:color w:val="auto"/>
        </w:rPr>
        <w:t>6</w:t>
      </w:r>
      <w:r w:rsidRPr="00B0618E">
        <w:rPr>
          <w:color w:val="auto"/>
        </w:rPr>
        <w:t>0 model runs</w:t>
      </w:r>
      <w:r w:rsidR="006613A3">
        <w:rPr>
          <w:color w:val="auto"/>
        </w:rPr>
        <w:t xml:space="preserve"> for </w:t>
      </w:r>
      <w:r w:rsidR="004900B0">
        <w:rPr>
          <w:color w:val="auto"/>
        </w:rPr>
        <w:t xml:space="preserve">prediction </w:t>
      </w:r>
      <w:r w:rsidR="006613A3">
        <w:rPr>
          <w:color w:val="auto"/>
        </w:rPr>
        <w:t xml:space="preserve">MXD, 200 model runs for </w:t>
      </w:r>
      <w:r w:rsidR="004900B0">
        <w:rPr>
          <w:color w:val="auto"/>
        </w:rPr>
        <w:t>prediction</w:t>
      </w:r>
      <w:r w:rsidR="006613A3">
        <w:rPr>
          <w:color w:val="auto"/>
        </w:rPr>
        <w:t xml:space="preserve"> tMXD</w:t>
      </w:r>
      <w:r w:rsidR="004900B0">
        <w:rPr>
          <w:color w:val="auto"/>
        </w:rPr>
        <w:t xml:space="preserve">, </w:t>
      </w:r>
      <w:r w:rsidR="006613A3">
        <w:rPr>
          <w:color w:val="auto"/>
        </w:rPr>
        <w:t>and 280 model runs for</w:t>
      </w:r>
      <w:r w:rsidR="004900B0">
        <w:rPr>
          <w:color w:val="auto"/>
        </w:rPr>
        <w:t xml:space="preserve"> predictions</w:t>
      </w:r>
      <w:r w:rsidR="006613A3">
        <w:rPr>
          <w:color w:val="auto"/>
        </w:rPr>
        <w:t xml:space="preserve"> NDD</w:t>
      </w:r>
      <w:r w:rsidR="004900B0">
        <w:rPr>
          <w:color w:val="auto"/>
        </w:rPr>
        <w:t xml:space="preserve"> and MXQ</w:t>
      </w:r>
      <w:r w:rsidRPr="00B0618E">
        <w:rPr>
          <w:color w:val="auto"/>
        </w:rPr>
        <w:t>.</w:t>
      </w:r>
      <w:r w:rsidR="00626826" w:rsidRPr="00B0618E">
        <w:rPr>
          <w:color w:val="auto"/>
        </w:rPr>
        <w:t xml:space="preserve"> Notably, the statistical distributions of three of the four predictions were highly skewed. For the </w:t>
      </w:r>
      <w:r w:rsidR="006613A3">
        <w:rPr>
          <w:color w:val="auto"/>
        </w:rPr>
        <w:t xml:space="preserve">right-skewed </w:t>
      </w:r>
      <w:r w:rsidR="00626826" w:rsidRPr="00B0618E">
        <w:rPr>
          <w:color w:val="auto"/>
        </w:rPr>
        <w:t xml:space="preserve">magnitude of maximum drawdown prediction (MXD), this was due to a large number of predictions less than one metre in magnitude. For the </w:t>
      </w:r>
      <w:r w:rsidR="006613A3">
        <w:rPr>
          <w:color w:val="auto"/>
        </w:rPr>
        <w:t xml:space="preserve">left-skewed </w:t>
      </w:r>
      <w:r w:rsidR="00626826" w:rsidRPr="00B0618E">
        <w:rPr>
          <w:color w:val="auto"/>
        </w:rPr>
        <w:t>timing of maximum drawdown (tMXD), this was due to the specification of a model temporal extent</w:t>
      </w:r>
      <w:r w:rsidR="00086408">
        <w:rPr>
          <w:color w:val="auto"/>
        </w:rPr>
        <w:t xml:space="preserve"> (i.e., a 160 year-long period of response after the cessation of CSG extraction)</w:t>
      </w:r>
      <w:r w:rsidR="00626826" w:rsidRPr="00B0618E">
        <w:rPr>
          <w:color w:val="auto"/>
        </w:rPr>
        <w:t xml:space="preserve"> that was insufficient to capture peak drawdown conditions</w:t>
      </w:r>
      <w:r w:rsidR="006613A3">
        <w:rPr>
          <w:color w:val="auto"/>
        </w:rPr>
        <w:t xml:space="preserve"> for a subset of the model runs</w:t>
      </w:r>
      <w:r w:rsidR="00626826" w:rsidRPr="00B0618E">
        <w:rPr>
          <w:color w:val="auto"/>
        </w:rPr>
        <w:t>.</w:t>
      </w:r>
      <w:r w:rsidR="00086408">
        <w:rPr>
          <w:color w:val="auto"/>
        </w:rPr>
        <w:t xml:space="preserve"> Given that a set of 300 model runs took approximately one week to complete, it was not feasible to repeat the sampling process </w:t>
      </w:r>
      <w:r w:rsidR="00DD6F16">
        <w:rPr>
          <w:color w:val="auto"/>
        </w:rPr>
        <w:t xml:space="preserve">using an extended model duration </w:t>
      </w:r>
      <w:r w:rsidR="00086408">
        <w:rPr>
          <w:color w:val="auto"/>
        </w:rPr>
        <w:t>within the duration of the present study.</w:t>
      </w:r>
      <w:r w:rsidR="00626826" w:rsidRPr="00B0618E">
        <w:rPr>
          <w:color w:val="auto"/>
        </w:rPr>
        <w:t xml:space="preserve"> For the </w:t>
      </w:r>
      <w:r w:rsidR="006613A3">
        <w:rPr>
          <w:color w:val="auto"/>
        </w:rPr>
        <w:t xml:space="preserve">right-skewed </w:t>
      </w:r>
      <w:r w:rsidR="00626826" w:rsidRPr="00B0618E">
        <w:rPr>
          <w:color w:val="auto"/>
        </w:rPr>
        <w:t>prediction of the spatial extent of drawdown (NDD), th</w:t>
      </w:r>
      <w:r w:rsidR="006613A3">
        <w:rPr>
          <w:color w:val="auto"/>
        </w:rPr>
        <w:t xml:space="preserve">e skewed distribution </w:t>
      </w:r>
      <w:r w:rsidR="00626826" w:rsidRPr="00B0618E">
        <w:rPr>
          <w:color w:val="auto"/>
        </w:rPr>
        <w:t>was due to a large number of zero-value predictions</w:t>
      </w:r>
      <w:r w:rsidR="006613A3">
        <w:rPr>
          <w:color w:val="auto"/>
        </w:rPr>
        <w:t xml:space="preserve"> (i.e. no grid cells with maximum drawdown exceeding 2 m)</w:t>
      </w:r>
      <w:r w:rsidR="00626826" w:rsidRPr="00B0618E">
        <w:rPr>
          <w:color w:val="auto"/>
        </w:rPr>
        <w:t xml:space="preserve">. </w:t>
      </w:r>
    </w:p>
    <w:p w14:paraId="190288FA" w14:textId="77777777" w:rsidR="00990C96" w:rsidRPr="00B0618E" w:rsidRDefault="00086B6D" w:rsidP="006613A3">
      <w:pPr>
        <w:pStyle w:val="BodyText"/>
        <w:keepNext/>
        <w:jc w:val="center"/>
      </w:pPr>
      <w:r w:rsidRPr="00B0618E">
        <w:rPr>
          <w:noProof/>
        </w:rPr>
        <w:drawing>
          <wp:inline distT="0" distB="0" distL="0" distR="0" wp14:anchorId="1CFD9094" wp14:editId="782C5489">
            <wp:extent cx="5758815" cy="1917065"/>
            <wp:effectExtent l="0" t="0" r="0" b="6985"/>
            <wp:docPr id="4" name="Picture 4" descr="Charts of statistical distributions of four model predictions" title="Fig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WS_FAM\Models\Version6_SA_reanalysis_061016\Plot_bootstrap_outputs_v01B_160217_predunc.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58815" cy="1917065"/>
                    </a:xfrm>
                    <a:prstGeom prst="rect">
                      <a:avLst/>
                    </a:prstGeom>
                    <a:noFill/>
                    <a:ln>
                      <a:noFill/>
                    </a:ln>
                  </pic:spPr>
                </pic:pic>
              </a:graphicData>
            </a:graphic>
          </wp:inline>
        </w:drawing>
      </w:r>
    </w:p>
    <w:p w14:paraId="114D9FF0" w14:textId="21770D49" w:rsidR="001237C7" w:rsidRPr="00B0618E" w:rsidRDefault="001237C7" w:rsidP="00131036">
      <w:pPr>
        <w:pStyle w:val="Caption"/>
      </w:pPr>
      <w:bookmarkStart w:id="62" w:name="_Ref467659115"/>
      <w:bookmarkStart w:id="63" w:name="_Toc482034904"/>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3</w:t>
      </w:r>
      <w:r w:rsidR="00A2085C">
        <w:rPr>
          <w:noProof/>
        </w:rPr>
        <w:fldChar w:fldCharType="end"/>
      </w:r>
      <w:bookmarkEnd w:id="62"/>
      <w:r w:rsidRPr="00B0618E">
        <w:t>.</w:t>
      </w:r>
      <w:r w:rsidR="007E241C" w:rsidRPr="00B0618E">
        <w:t xml:space="preserve"> Statistical distributions of four predictions relating to the Pilliga Sandstone aquifer</w:t>
      </w:r>
      <w:r w:rsidR="00134AA3" w:rsidRPr="00B0618E">
        <w:t xml:space="preserve"> and simulated using the </w:t>
      </w:r>
      <w:r w:rsidR="00045A85">
        <w:t>CDM Smith (2016)</w:t>
      </w:r>
      <w:r w:rsidR="00134AA3" w:rsidRPr="00B0618E">
        <w:t xml:space="preserve"> Gunnedah</w:t>
      </w:r>
      <w:r w:rsidR="004900B0">
        <w:t>-Surat</w:t>
      </w:r>
      <w:r w:rsidR="00134AA3" w:rsidRPr="00B0618E">
        <w:t xml:space="preserve"> </w:t>
      </w:r>
      <w:r w:rsidR="004900B0">
        <w:t>b</w:t>
      </w:r>
      <w:r w:rsidR="00134AA3" w:rsidRPr="00B0618E">
        <w:t>asin</w:t>
      </w:r>
      <w:r w:rsidR="004900B0">
        <w:t>s</w:t>
      </w:r>
      <w:r w:rsidR="00134AA3" w:rsidRPr="00B0618E">
        <w:t xml:space="preserve"> groundwater flow model</w:t>
      </w:r>
      <w:r w:rsidR="007E241C" w:rsidRPr="00B0618E">
        <w:t xml:space="preserve">: (a) maximum drawdown (MXD); (b) </w:t>
      </w:r>
      <w:r w:rsidR="007775AA" w:rsidRPr="00B0618E">
        <w:t xml:space="preserve">time elapsed at which maximum drawdown occurred; (c) number of model cells at which drawdown exceeded two metres (NDD) ; and (d) </w:t>
      </w:r>
      <w:r w:rsidR="007E241C" w:rsidRPr="00B0618E">
        <w:t>maximum change in vertical flux (MXQ). The size of samples described by each of these statistical distributions ranged from 200 to 300 model runs.</w:t>
      </w:r>
      <w:bookmarkEnd w:id="63"/>
    </w:p>
    <w:p w14:paraId="69FD67BE" w14:textId="321E34CA" w:rsidR="00882D65" w:rsidRPr="00B0618E" w:rsidRDefault="0034157C" w:rsidP="005071A4">
      <w:pPr>
        <w:pStyle w:val="Heading2"/>
      </w:pPr>
      <w:bookmarkStart w:id="64" w:name="_Ref469488784"/>
      <w:bookmarkStart w:id="65" w:name="_Toc483127574"/>
      <w:r w:rsidRPr="00B0618E">
        <w:t>Prediction s</w:t>
      </w:r>
      <w:r w:rsidR="005071A4" w:rsidRPr="00B0618E">
        <w:t xml:space="preserve">ensitivity analysis - </w:t>
      </w:r>
      <w:r w:rsidR="00882D65" w:rsidRPr="00B0618E">
        <w:t>Results</w:t>
      </w:r>
      <w:bookmarkEnd w:id="64"/>
      <w:r w:rsidRPr="00B0618E">
        <w:t xml:space="preserve"> and Discussion</w:t>
      </w:r>
      <w:bookmarkEnd w:id="65"/>
    </w:p>
    <w:p w14:paraId="3981CEA6" w14:textId="607B1A86" w:rsidR="0056264C" w:rsidRPr="00B0618E" w:rsidRDefault="0056264C" w:rsidP="0056264C">
      <w:pPr>
        <w:pStyle w:val="BodyText"/>
      </w:pPr>
      <w:r w:rsidRPr="00B0618E">
        <w:t xml:space="preserve">A full set of qualitative results and quantitative results (i.e., </w:t>
      </w:r>
      <w:r w:rsidR="00C82F89" w:rsidRPr="00B0618E">
        <w:t>DMIM</w:t>
      </w:r>
      <w:r w:rsidRPr="00B0618E">
        <w:t xml:space="preserve"> </w:t>
      </w:r>
      <w:r w:rsidR="005C3666">
        <w:rPr>
          <w:i/>
        </w:rPr>
        <w:t>δ</w:t>
      </w:r>
      <w:r w:rsidR="001D5947" w:rsidRPr="00B0618E">
        <w:rPr>
          <w:i/>
        </w:rPr>
        <w:t xml:space="preserve"> </w:t>
      </w:r>
      <w:r w:rsidRPr="00B0618E">
        <w:t xml:space="preserve">and Sobol’ </w:t>
      </w:r>
      <w:r w:rsidRPr="00B0618E">
        <w:rPr>
          <w:i/>
        </w:rPr>
        <w:t>S</w:t>
      </w:r>
      <w:r w:rsidR="008833DB" w:rsidRPr="00B0618E">
        <w:rPr>
          <w:vertAlign w:val="subscript"/>
        </w:rPr>
        <w:t>1</w:t>
      </w:r>
      <w:r w:rsidRPr="00B0618E">
        <w:t xml:space="preserve"> metric values</w:t>
      </w:r>
      <w:r w:rsidR="00BF04E5" w:rsidRPr="00B0618E">
        <w:t>,</w:t>
      </w:r>
      <w:r w:rsidR="008833DB" w:rsidRPr="00B0618E">
        <w:t xml:space="preserve"> and associated relative rankings</w:t>
      </w:r>
      <w:r w:rsidRPr="00B0618E">
        <w:t xml:space="preserve">) of </w:t>
      </w:r>
      <w:r w:rsidR="003C0F40" w:rsidRPr="00B0618E">
        <w:t xml:space="preserve">preliminary </w:t>
      </w:r>
      <w:r w:rsidRPr="00B0618E">
        <w:t xml:space="preserve">prediction sensitivity analyses are presented in the </w:t>
      </w:r>
      <w:r w:rsidR="00D958CD">
        <w:t>next sections</w:t>
      </w:r>
      <w:r w:rsidRPr="00B0618E">
        <w:t>. Key results, in terms of parameters to which predictions were found to be most sensitive, are summarised as follows.</w:t>
      </w:r>
    </w:p>
    <w:p w14:paraId="43E17BFD" w14:textId="6BC8856E" w:rsidR="004E5193" w:rsidRPr="00B0618E" w:rsidRDefault="004E5193" w:rsidP="005071A4">
      <w:pPr>
        <w:pStyle w:val="Heading3"/>
      </w:pPr>
      <w:bookmarkStart w:id="66" w:name="_Ref476231200"/>
      <w:r w:rsidRPr="00B0618E">
        <w:t xml:space="preserve">Prediction </w:t>
      </w:r>
      <w:r w:rsidR="007E1C69">
        <w:t xml:space="preserve">metric </w:t>
      </w:r>
      <w:r w:rsidRPr="00B0618E">
        <w:t>1: M</w:t>
      </w:r>
      <w:r w:rsidR="00BF4D39" w:rsidRPr="00B0618E">
        <w:t>agnitude of m</w:t>
      </w:r>
      <w:r w:rsidRPr="00B0618E">
        <w:t>aximum drawdown</w:t>
      </w:r>
      <w:bookmarkEnd w:id="66"/>
    </w:p>
    <w:p w14:paraId="2B87BF2D" w14:textId="1EE5B65F" w:rsidR="00676F06" w:rsidRDefault="00776FCB" w:rsidP="006613A3">
      <w:pPr>
        <w:pStyle w:val="BodyText"/>
        <w:rPr>
          <w:color w:val="auto"/>
        </w:rPr>
      </w:pPr>
      <w:r w:rsidRPr="00B0618E">
        <w:t>T</w:t>
      </w:r>
      <w:r w:rsidR="004A1CF5" w:rsidRPr="00B0618E">
        <w:t xml:space="preserve">he prediction of maximum drawdown was </w:t>
      </w:r>
      <w:r w:rsidR="0056264C" w:rsidRPr="00B0618E">
        <w:t xml:space="preserve">found to be </w:t>
      </w:r>
      <w:r w:rsidR="004A1CF5" w:rsidRPr="00B0618E">
        <w:t xml:space="preserve">most sensitive to the </w:t>
      </w:r>
      <w:r w:rsidR="000B6D10" w:rsidRPr="00B0618E">
        <w:t xml:space="preserve">horizontal </w:t>
      </w:r>
      <w:r w:rsidR="004A1CF5" w:rsidRPr="00B0618E">
        <w:rPr>
          <w:i/>
        </w:rPr>
        <w:t>K</w:t>
      </w:r>
      <w:r w:rsidR="004A1CF5" w:rsidRPr="00B0618E">
        <w:t xml:space="preserve"> of the </w:t>
      </w:r>
      <w:r w:rsidR="004A1CF5" w:rsidRPr="00B0618E">
        <w:rPr>
          <w:color w:val="auto"/>
        </w:rPr>
        <w:t>Namoi Alluvium</w:t>
      </w:r>
      <w:r w:rsidR="008833DB" w:rsidRPr="00B0618E">
        <w:rPr>
          <w:color w:val="auto"/>
        </w:rPr>
        <w:t xml:space="preserve"> aquifer</w:t>
      </w:r>
      <w:r w:rsidR="00C3691C">
        <w:rPr>
          <w:color w:val="auto"/>
        </w:rPr>
        <w:t xml:space="preserve"> (</w:t>
      </w:r>
      <w:r w:rsidR="00C3691C" w:rsidRPr="00B0618E">
        <w:rPr>
          <w:i/>
          <w:color w:val="auto"/>
        </w:rPr>
        <w:t>K</w:t>
      </w:r>
      <w:r w:rsidR="00C3691C" w:rsidRPr="00B0618E">
        <w:rPr>
          <w:i/>
          <w:color w:val="auto"/>
          <w:vertAlign w:val="subscript"/>
        </w:rPr>
        <w:t>H</w:t>
      </w:r>
      <w:r w:rsidR="00C3691C" w:rsidRPr="00B0618E">
        <w:rPr>
          <w:color w:val="auto"/>
        </w:rPr>
        <w:t>01</w:t>
      </w:r>
      <w:r w:rsidR="00C3691C">
        <w:rPr>
          <w:color w:val="auto"/>
        </w:rPr>
        <w:t>)</w:t>
      </w:r>
      <w:r w:rsidR="008833DB" w:rsidRPr="00B0618E">
        <w:rPr>
          <w:color w:val="auto"/>
        </w:rPr>
        <w:t>, which was consistently ranked</w:t>
      </w:r>
      <w:r w:rsidR="004A1CF5" w:rsidRPr="00B0618E">
        <w:rPr>
          <w:color w:val="auto"/>
        </w:rPr>
        <w:t xml:space="preserve"> </w:t>
      </w:r>
      <w:r w:rsidR="008833DB" w:rsidRPr="00B0618E">
        <w:rPr>
          <w:color w:val="auto"/>
        </w:rPr>
        <w:t xml:space="preserve">as the most influential parameter </w:t>
      </w:r>
      <w:r w:rsidR="006B1D24" w:rsidRPr="00B0618E">
        <w:rPr>
          <w:color w:val="auto"/>
        </w:rPr>
        <w:t xml:space="preserve">by </w:t>
      </w:r>
      <w:r w:rsidR="00C3691C">
        <w:rPr>
          <w:color w:val="auto"/>
        </w:rPr>
        <w:t xml:space="preserve">the </w:t>
      </w:r>
      <w:r w:rsidR="00C3691C" w:rsidRPr="00B0618E">
        <w:rPr>
          <w:color w:val="auto"/>
        </w:rPr>
        <w:t xml:space="preserve">Sobol’ </w:t>
      </w:r>
      <w:r w:rsidR="00C3691C" w:rsidRPr="00B0618E">
        <w:rPr>
          <w:i/>
          <w:color w:val="auto"/>
        </w:rPr>
        <w:t>S</w:t>
      </w:r>
      <w:r w:rsidR="00C3691C" w:rsidRPr="00B0618E">
        <w:rPr>
          <w:color w:val="auto"/>
          <w:vertAlign w:val="subscript"/>
        </w:rPr>
        <w:t>1</w:t>
      </w:r>
      <w:r w:rsidR="00C3691C">
        <w:rPr>
          <w:color w:val="auto"/>
          <w:vertAlign w:val="subscript"/>
        </w:rPr>
        <w:t xml:space="preserve"> </w:t>
      </w:r>
      <w:r w:rsidR="00C3691C" w:rsidRPr="00C12819">
        <w:rPr>
          <w:color w:val="auto"/>
        </w:rPr>
        <w:t>metric</w:t>
      </w:r>
      <w:r w:rsidR="00C3691C" w:rsidRPr="00B0618E">
        <w:rPr>
          <w:color w:val="auto"/>
        </w:rPr>
        <w:t xml:space="preserve"> </w:t>
      </w:r>
      <w:r w:rsidR="00C3691C">
        <w:rPr>
          <w:color w:val="auto"/>
        </w:rPr>
        <w:t>across all</w:t>
      </w:r>
      <w:r w:rsidR="006B1D24" w:rsidRPr="00B0618E">
        <w:rPr>
          <w:color w:val="auto"/>
        </w:rPr>
        <w:t xml:space="preserve"> sample size</w:t>
      </w:r>
      <w:r w:rsidR="00C3691C">
        <w:rPr>
          <w:color w:val="auto"/>
        </w:rPr>
        <w:t>s</w:t>
      </w:r>
      <w:r w:rsidR="000226ED">
        <w:rPr>
          <w:color w:val="auto"/>
        </w:rPr>
        <w:t xml:space="preserve"> </w:t>
      </w:r>
      <w:r w:rsidR="000226ED" w:rsidRPr="00B0618E">
        <w:rPr>
          <w:color w:val="auto"/>
        </w:rPr>
        <w:t>(</w:t>
      </w:r>
      <w:r w:rsidR="000226ED" w:rsidRPr="00B0618E">
        <w:rPr>
          <w:color w:val="auto"/>
        </w:rPr>
        <w:fldChar w:fldCharType="begin"/>
      </w:r>
      <w:r w:rsidR="000226ED" w:rsidRPr="00B0618E">
        <w:rPr>
          <w:color w:val="auto"/>
        </w:rPr>
        <w:instrText xml:space="preserve"> REF _Ref477361981 \h </w:instrText>
      </w:r>
      <w:r w:rsidR="000226ED">
        <w:rPr>
          <w:color w:val="auto"/>
        </w:rPr>
        <w:instrText xml:space="preserve"> \* MERGEFORMAT </w:instrText>
      </w:r>
      <w:r w:rsidR="000226ED" w:rsidRPr="00B0618E">
        <w:rPr>
          <w:color w:val="auto"/>
        </w:rPr>
      </w:r>
      <w:r w:rsidR="000226ED" w:rsidRPr="00B0618E">
        <w:rPr>
          <w:color w:val="auto"/>
        </w:rPr>
        <w:fldChar w:fldCharType="separate"/>
      </w:r>
      <w:r w:rsidR="000B6FA5" w:rsidRPr="00B0618E">
        <w:t xml:space="preserve">Figure </w:t>
      </w:r>
      <w:r w:rsidR="000B6FA5">
        <w:rPr>
          <w:noProof/>
        </w:rPr>
        <w:t>3</w:t>
      </w:r>
      <w:r w:rsidR="000B6FA5">
        <w:rPr>
          <w:noProof/>
        </w:rPr>
        <w:noBreakHyphen/>
        <w:t>4</w:t>
      </w:r>
      <w:r w:rsidR="000226ED" w:rsidRPr="00B0618E">
        <w:rPr>
          <w:color w:val="auto"/>
        </w:rPr>
        <w:fldChar w:fldCharType="end"/>
      </w:r>
      <w:r w:rsidR="000226ED" w:rsidRPr="00B0618E">
        <w:rPr>
          <w:color w:val="auto"/>
        </w:rPr>
        <w:t>)</w:t>
      </w:r>
      <w:r w:rsidR="00057438" w:rsidRPr="00B0618E">
        <w:rPr>
          <w:color w:val="auto"/>
        </w:rPr>
        <w:t>. This parameter (</w:t>
      </w:r>
      <w:r w:rsidR="000B6D10" w:rsidRPr="00B0618E">
        <w:rPr>
          <w:i/>
          <w:color w:val="auto"/>
        </w:rPr>
        <w:t>K</w:t>
      </w:r>
      <w:r w:rsidR="00036549" w:rsidRPr="00B0618E">
        <w:rPr>
          <w:i/>
          <w:color w:val="auto"/>
          <w:vertAlign w:val="subscript"/>
        </w:rPr>
        <w:t>H</w:t>
      </w:r>
      <w:r w:rsidR="000B6D10" w:rsidRPr="00B0618E">
        <w:rPr>
          <w:color w:val="auto"/>
        </w:rPr>
        <w:t>01</w:t>
      </w:r>
      <w:r w:rsidR="00057438" w:rsidRPr="00B0618E">
        <w:rPr>
          <w:color w:val="auto"/>
        </w:rPr>
        <w:t xml:space="preserve">) featured </w:t>
      </w:r>
      <w:r w:rsidR="002E1958" w:rsidRPr="00B0618E">
        <w:rPr>
          <w:color w:val="auto"/>
        </w:rPr>
        <w:t xml:space="preserve">the </w:t>
      </w:r>
      <w:r w:rsidR="00C3691C">
        <w:rPr>
          <w:color w:val="auto"/>
        </w:rPr>
        <w:t>largest</w:t>
      </w:r>
      <w:r w:rsidR="000B6D10" w:rsidRPr="00B0618E">
        <w:rPr>
          <w:color w:val="auto"/>
        </w:rPr>
        <w:t xml:space="preserve"> </w:t>
      </w:r>
      <w:r w:rsidR="005C3666">
        <w:rPr>
          <w:i/>
          <w:color w:val="auto"/>
        </w:rPr>
        <w:t>δ</w:t>
      </w:r>
      <w:r w:rsidR="00057438" w:rsidRPr="00B0618E">
        <w:rPr>
          <w:i/>
          <w:color w:val="auto"/>
        </w:rPr>
        <w:t xml:space="preserve"> </w:t>
      </w:r>
      <w:r w:rsidR="002E1958" w:rsidRPr="00B0618E">
        <w:rPr>
          <w:color w:val="auto"/>
        </w:rPr>
        <w:t>and</w:t>
      </w:r>
      <w:r w:rsidR="004A1CF5" w:rsidRPr="00B0618E">
        <w:rPr>
          <w:color w:val="auto"/>
        </w:rPr>
        <w:t xml:space="preserve"> </w:t>
      </w:r>
      <w:r w:rsidR="004A1CF5" w:rsidRPr="00B0618E">
        <w:rPr>
          <w:i/>
          <w:color w:val="auto"/>
        </w:rPr>
        <w:t>S</w:t>
      </w:r>
      <w:r w:rsidR="008833DB" w:rsidRPr="00B0618E">
        <w:rPr>
          <w:color w:val="auto"/>
          <w:vertAlign w:val="subscript"/>
        </w:rPr>
        <w:t>1</w:t>
      </w:r>
      <w:r w:rsidR="00057438" w:rsidRPr="00B0618E">
        <w:rPr>
          <w:color w:val="auto"/>
        </w:rPr>
        <w:t xml:space="preserve"> values (0.096 and </w:t>
      </w:r>
      <w:r w:rsidR="004A1CF5" w:rsidRPr="00B0618E">
        <w:rPr>
          <w:color w:val="auto"/>
        </w:rPr>
        <w:t>0.118</w:t>
      </w:r>
      <w:r w:rsidR="00057438" w:rsidRPr="00B0618E">
        <w:rPr>
          <w:color w:val="auto"/>
        </w:rPr>
        <w:t xml:space="preserve">, respectively) </w:t>
      </w:r>
      <w:r w:rsidR="002E1958" w:rsidRPr="00B0618E">
        <w:rPr>
          <w:color w:val="auto"/>
        </w:rPr>
        <w:t>across all parameters</w:t>
      </w:r>
      <w:r w:rsidR="000226ED">
        <w:rPr>
          <w:color w:val="auto"/>
        </w:rPr>
        <w:t xml:space="preserve"> (</w:t>
      </w:r>
      <w:r w:rsidR="000226ED">
        <w:rPr>
          <w:color w:val="auto"/>
        </w:rPr>
        <w:fldChar w:fldCharType="begin"/>
      </w:r>
      <w:r w:rsidR="000226ED">
        <w:rPr>
          <w:color w:val="auto"/>
        </w:rPr>
        <w:instrText xml:space="preserve"> REF _Ref479496695 \h </w:instrText>
      </w:r>
      <w:r w:rsidR="000226ED">
        <w:rPr>
          <w:color w:val="auto"/>
        </w:rPr>
      </w:r>
      <w:r w:rsidR="000226ED">
        <w:rPr>
          <w:color w:val="auto"/>
        </w:rPr>
        <w:fldChar w:fldCharType="separate"/>
      </w:r>
      <w:r w:rsidR="000B6FA5">
        <w:t xml:space="preserve">Figure </w:t>
      </w:r>
      <w:r w:rsidR="000B6FA5">
        <w:rPr>
          <w:noProof/>
        </w:rPr>
        <w:t>3</w:t>
      </w:r>
      <w:r w:rsidR="000B6FA5">
        <w:noBreakHyphen/>
      </w:r>
      <w:r w:rsidR="000B6FA5">
        <w:rPr>
          <w:noProof/>
        </w:rPr>
        <w:t>5</w:t>
      </w:r>
      <w:r w:rsidR="000226ED">
        <w:rPr>
          <w:color w:val="auto"/>
        </w:rPr>
        <w:fldChar w:fldCharType="end"/>
      </w:r>
      <w:r w:rsidR="000226ED">
        <w:rPr>
          <w:color w:val="auto"/>
        </w:rPr>
        <w:t>)</w:t>
      </w:r>
      <w:r w:rsidR="001279D0" w:rsidRPr="00B0618E">
        <w:rPr>
          <w:i/>
          <w:color w:val="auto"/>
        </w:rPr>
        <w:t>.</w:t>
      </w:r>
      <w:r w:rsidR="001279D0" w:rsidRPr="00B0618E">
        <w:rPr>
          <w:color w:val="auto"/>
        </w:rPr>
        <w:t xml:space="preserve"> </w:t>
      </w:r>
      <w:r w:rsidR="004900B0">
        <w:rPr>
          <w:color w:val="auto"/>
        </w:rPr>
        <w:t>Us</w:t>
      </w:r>
      <w:r w:rsidR="007379E5">
        <w:rPr>
          <w:color w:val="auto"/>
        </w:rPr>
        <w:t xml:space="preserve">ing the </w:t>
      </w:r>
      <w:r w:rsidR="007379E5" w:rsidRPr="00B0618E">
        <w:rPr>
          <w:color w:val="auto"/>
        </w:rPr>
        <w:t xml:space="preserve">DMIM </w:t>
      </w:r>
      <w:r w:rsidR="005C3666">
        <w:rPr>
          <w:i/>
          <w:color w:val="auto"/>
        </w:rPr>
        <w:t>δ</w:t>
      </w:r>
      <w:r w:rsidR="007379E5" w:rsidRPr="00C12819">
        <w:rPr>
          <w:color w:val="auto"/>
        </w:rPr>
        <w:t xml:space="preserve"> metric</w:t>
      </w:r>
      <w:r w:rsidR="007379E5">
        <w:rPr>
          <w:color w:val="auto"/>
        </w:rPr>
        <w:t>,</w:t>
      </w:r>
      <w:r w:rsidR="007379E5" w:rsidRPr="00B0618E">
        <w:rPr>
          <w:color w:val="auto"/>
        </w:rPr>
        <w:t xml:space="preserve"> </w:t>
      </w:r>
      <w:r w:rsidR="007379E5">
        <w:rPr>
          <w:color w:val="auto"/>
        </w:rPr>
        <w:t>t</w:t>
      </w:r>
      <w:r w:rsidR="007379E5" w:rsidRPr="00B0618E">
        <w:rPr>
          <w:color w:val="auto"/>
        </w:rPr>
        <w:t xml:space="preserve">he horizontal </w:t>
      </w:r>
      <w:r w:rsidR="007379E5" w:rsidRPr="00B0618E">
        <w:rPr>
          <w:i/>
          <w:color w:val="auto"/>
        </w:rPr>
        <w:t>K</w:t>
      </w:r>
      <w:r w:rsidR="007379E5" w:rsidRPr="00B0618E">
        <w:rPr>
          <w:color w:val="auto"/>
        </w:rPr>
        <w:t xml:space="preserve"> of the Namoi Alluvium was ranked first in all but </w:t>
      </w:r>
      <w:r w:rsidR="004900B0">
        <w:rPr>
          <w:color w:val="auto"/>
        </w:rPr>
        <w:t>one</w:t>
      </w:r>
      <w:r w:rsidR="007379E5" w:rsidRPr="00B0618E">
        <w:rPr>
          <w:color w:val="auto"/>
        </w:rPr>
        <w:t xml:space="preserve"> </w:t>
      </w:r>
      <w:r w:rsidR="007379E5">
        <w:rPr>
          <w:color w:val="auto"/>
        </w:rPr>
        <w:t>sample size</w:t>
      </w:r>
      <w:r w:rsidR="007379E5" w:rsidRPr="00B0618E">
        <w:rPr>
          <w:color w:val="auto"/>
        </w:rPr>
        <w:t xml:space="preserve"> (i.e., </w:t>
      </w:r>
      <w:r w:rsidR="004900B0">
        <w:rPr>
          <w:color w:val="auto"/>
        </w:rPr>
        <w:t xml:space="preserve">a </w:t>
      </w:r>
      <w:r w:rsidR="007379E5" w:rsidRPr="00B0618E">
        <w:rPr>
          <w:color w:val="auto"/>
        </w:rPr>
        <w:t xml:space="preserve">DMIM </w:t>
      </w:r>
      <w:r w:rsidR="005C3666">
        <w:rPr>
          <w:i/>
          <w:color w:val="auto"/>
        </w:rPr>
        <w:t>δ</w:t>
      </w:r>
      <w:r w:rsidR="007379E5" w:rsidRPr="00B0618E">
        <w:rPr>
          <w:color w:val="auto"/>
        </w:rPr>
        <w:t xml:space="preserve"> analys</w:t>
      </w:r>
      <w:r w:rsidR="004900B0">
        <w:rPr>
          <w:color w:val="auto"/>
        </w:rPr>
        <w:t>i</w:t>
      </w:r>
      <w:r w:rsidR="007379E5" w:rsidRPr="00B0618E">
        <w:rPr>
          <w:color w:val="auto"/>
        </w:rPr>
        <w:t xml:space="preserve">s of </w:t>
      </w:r>
      <w:r w:rsidR="004900B0">
        <w:rPr>
          <w:color w:val="auto"/>
        </w:rPr>
        <w:t xml:space="preserve">a </w:t>
      </w:r>
      <w:r w:rsidR="007379E5" w:rsidRPr="00B0618E">
        <w:rPr>
          <w:color w:val="auto"/>
        </w:rPr>
        <w:t>subset containing 280 samples</w:t>
      </w:r>
      <w:r w:rsidR="007379E5">
        <w:rPr>
          <w:color w:val="auto"/>
        </w:rPr>
        <w:t xml:space="preserve">, </w:t>
      </w:r>
      <w:r w:rsidR="007379E5">
        <w:rPr>
          <w:color w:val="auto"/>
        </w:rPr>
        <w:fldChar w:fldCharType="begin"/>
      </w:r>
      <w:r w:rsidR="007379E5">
        <w:rPr>
          <w:color w:val="auto"/>
        </w:rPr>
        <w:instrText xml:space="preserve"> REF _Ref477361981 \h </w:instrText>
      </w:r>
      <w:r w:rsidR="007379E5">
        <w:rPr>
          <w:color w:val="auto"/>
        </w:rPr>
      </w:r>
      <w:r w:rsidR="007379E5">
        <w:rPr>
          <w:color w:val="auto"/>
        </w:rPr>
        <w:fldChar w:fldCharType="separate"/>
      </w:r>
      <w:r w:rsidR="000B6FA5" w:rsidRPr="00B0618E">
        <w:t xml:space="preserve">Figure </w:t>
      </w:r>
      <w:r w:rsidR="000B6FA5">
        <w:rPr>
          <w:noProof/>
        </w:rPr>
        <w:t>3</w:t>
      </w:r>
      <w:r w:rsidR="000B6FA5">
        <w:noBreakHyphen/>
      </w:r>
      <w:r w:rsidR="000B6FA5">
        <w:rPr>
          <w:noProof/>
        </w:rPr>
        <w:t>4</w:t>
      </w:r>
      <w:r w:rsidR="007379E5">
        <w:rPr>
          <w:color w:val="auto"/>
        </w:rPr>
        <w:fldChar w:fldCharType="end"/>
      </w:r>
      <w:r w:rsidR="000F7F7F">
        <w:rPr>
          <w:color w:val="auto"/>
        </w:rPr>
        <w:t>a</w:t>
      </w:r>
      <w:r w:rsidR="007379E5" w:rsidRPr="00B0618E">
        <w:rPr>
          <w:color w:val="auto"/>
        </w:rPr>
        <w:t xml:space="preserve">). </w:t>
      </w:r>
      <w:r w:rsidR="00676F06">
        <w:rPr>
          <w:color w:val="auto"/>
        </w:rPr>
        <w:t>The high sensitivity of this prediction to t</w:t>
      </w:r>
      <w:r w:rsidR="00676F06" w:rsidRPr="00B0618E">
        <w:rPr>
          <w:color w:val="auto"/>
        </w:rPr>
        <w:t xml:space="preserve">he horizontal </w:t>
      </w:r>
      <w:r w:rsidR="00676F06" w:rsidRPr="00B0618E">
        <w:rPr>
          <w:i/>
          <w:color w:val="auto"/>
        </w:rPr>
        <w:t>K</w:t>
      </w:r>
      <w:r w:rsidR="00676F06" w:rsidRPr="00B0618E">
        <w:rPr>
          <w:color w:val="auto"/>
        </w:rPr>
        <w:t xml:space="preserve"> of the Namoi Alluvium</w:t>
      </w:r>
      <w:r w:rsidR="00676F06">
        <w:rPr>
          <w:color w:val="auto"/>
        </w:rPr>
        <w:t xml:space="preserve"> is explained as follows. Significant volumes of water were removed from the model via negative net recharge conditions imposed within the Namoi Alluvium. This water was sourced predominantly from underlying hydrostratigraphic units; specifically, the Pilliga Sandstone aquifer. Changes to the </w:t>
      </w:r>
      <w:r w:rsidR="00676F06" w:rsidRPr="00B0618E">
        <w:rPr>
          <w:color w:val="auto"/>
        </w:rPr>
        <w:t xml:space="preserve">horizontal </w:t>
      </w:r>
      <w:r w:rsidR="00676F06" w:rsidRPr="00B0618E">
        <w:rPr>
          <w:i/>
          <w:color w:val="auto"/>
        </w:rPr>
        <w:t>K</w:t>
      </w:r>
      <w:r w:rsidR="00676F06" w:rsidRPr="00B0618E">
        <w:rPr>
          <w:color w:val="auto"/>
        </w:rPr>
        <w:t xml:space="preserve"> of the Namoi Alluvium</w:t>
      </w:r>
      <w:r w:rsidR="00676F06">
        <w:rPr>
          <w:color w:val="auto"/>
        </w:rPr>
        <w:t xml:space="preserve"> directly affected the hydraulic gradient between the Namoi Alluvium and the Pilliga Sandstone. Hydraulic head values (and therefore drawdown values) were directly affected by variations in the </w:t>
      </w:r>
      <w:r w:rsidR="00676F06" w:rsidRPr="00B0618E">
        <w:rPr>
          <w:color w:val="auto"/>
        </w:rPr>
        <w:t xml:space="preserve">horizontal </w:t>
      </w:r>
      <w:r w:rsidR="00676F06" w:rsidRPr="00B0618E">
        <w:rPr>
          <w:i/>
          <w:color w:val="auto"/>
        </w:rPr>
        <w:t>K</w:t>
      </w:r>
      <w:r w:rsidR="00676F06" w:rsidRPr="00B0618E">
        <w:rPr>
          <w:color w:val="auto"/>
        </w:rPr>
        <w:t xml:space="preserve"> of the Namoi Alluvium</w:t>
      </w:r>
      <w:r w:rsidR="00676F06">
        <w:rPr>
          <w:color w:val="auto"/>
        </w:rPr>
        <w:t xml:space="preserve">. </w:t>
      </w:r>
    </w:p>
    <w:p w14:paraId="51C3A11D" w14:textId="60E4B2F9" w:rsidR="006613A3" w:rsidRPr="00B0618E" w:rsidRDefault="006613A3" w:rsidP="006613A3">
      <w:pPr>
        <w:pStyle w:val="BodyText"/>
        <w:rPr>
          <w:color w:val="auto"/>
        </w:rPr>
      </w:pPr>
      <w:r>
        <w:rPr>
          <w:color w:val="auto"/>
        </w:rPr>
        <w:t xml:space="preserve">As discussed in Section </w:t>
      </w:r>
      <w:r>
        <w:rPr>
          <w:color w:val="auto"/>
        </w:rPr>
        <w:fldChar w:fldCharType="begin"/>
      </w:r>
      <w:r>
        <w:rPr>
          <w:color w:val="auto"/>
        </w:rPr>
        <w:instrText xml:space="preserve"> REF _Ref476296522 \r \h </w:instrText>
      </w:r>
      <w:r>
        <w:rPr>
          <w:color w:val="auto"/>
        </w:rPr>
      </w:r>
      <w:r>
        <w:rPr>
          <w:color w:val="auto"/>
        </w:rPr>
        <w:fldChar w:fldCharType="separate"/>
      </w:r>
      <w:r w:rsidR="000B6FA5">
        <w:rPr>
          <w:color w:val="auto"/>
        </w:rPr>
        <w:t>3.4.6</w:t>
      </w:r>
      <w:r>
        <w:rPr>
          <w:color w:val="auto"/>
        </w:rPr>
        <w:fldChar w:fldCharType="end"/>
      </w:r>
      <w:r>
        <w:rPr>
          <w:color w:val="auto"/>
        </w:rPr>
        <w:t>, t</w:t>
      </w:r>
      <w:r w:rsidRPr="00B0618E">
        <w:rPr>
          <w:color w:val="auto"/>
        </w:rPr>
        <w:t>he uncertainty of th</w:t>
      </w:r>
      <w:r>
        <w:rPr>
          <w:color w:val="auto"/>
        </w:rPr>
        <w:t>e magnitude of maximum drawdown</w:t>
      </w:r>
      <w:r w:rsidRPr="00B0618E">
        <w:rPr>
          <w:color w:val="auto"/>
        </w:rPr>
        <w:t xml:space="preserve"> did not vary significantly </w:t>
      </w:r>
      <w:r w:rsidR="0094291B">
        <w:rPr>
          <w:color w:val="auto"/>
        </w:rPr>
        <w:t xml:space="preserve">for </w:t>
      </w:r>
      <w:r w:rsidRPr="00B0618E">
        <w:rPr>
          <w:color w:val="auto"/>
        </w:rPr>
        <w:t>sample size</w:t>
      </w:r>
      <w:r w:rsidR="0094291B">
        <w:rPr>
          <w:color w:val="auto"/>
        </w:rPr>
        <w:t>s ≥ 280</w:t>
      </w:r>
      <w:r w:rsidRPr="00B0618E">
        <w:rPr>
          <w:color w:val="auto"/>
        </w:rPr>
        <w:t xml:space="preserve"> (</w:t>
      </w:r>
      <w:r w:rsidRPr="00B0618E">
        <w:rPr>
          <w:color w:val="auto"/>
        </w:rPr>
        <w:fldChar w:fldCharType="begin"/>
      </w:r>
      <w:r w:rsidRPr="00B0618E">
        <w:rPr>
          <w:color w:val="auto"/>
        </w:rPr>
        <w:instrText xml:space="preserve"> REF _Ref467659115 \h </w:instrText>
      </w:r>
      <w:r>
        <w:rPr>
          <w:color w:val="auto"/>
        </w:rPr>
        <w:instrText xml:space="preserve"> \* MERGEFORMAT </w:instrText>
      </w:r>
      <w:r w:rsidRPr="00B0618E">
        <w:rPr>
          <w:color w:val="auto"/>
        </w:rPr>
      </w:r>
      <w:r w:rsidRPr="00B0618E">
        <w:rPr>
          <w:color w:val="auto"/>
        </w:rPr>
        <w:fldChar w:fldCharType="separate"/>
      </w:r>
      <w:r w:rsidR="000B6FA5" w:rsidRPr="00B0618E">
        <w:t xml:space="preserve">Figure </w:t>
      </w:r>
      <w:r w:rsidR="000B6FA5">
        <w:rPr>
          <w:noProof/>
        </w:rPr>
        <w:t>3</w:t>
      </w:r>
      <w:r w:rsidR="000B6FA5">
        <w:rPr>
          <w:noProof/>
        </w:rPr>
        <w:noBreakHyphen/>
        <w:t>3</w:t>
      </w:r>
      <w:r w:rsidRPr="00B0618E">
        <w:rPr>
          <w:color w:val="auto"/>
        </w:rPr>
        <w:fldChar w:fldCharType="end"/>
      </w:r>
      <w:r>
        <w:rPr>
          <w:color w:val="auto"/>
        </w:rPr>
        <w:t>a</w:t>
      </w:r>
      <w:r w:rsidRPr="00B0618E">
        <w:rPr>
          <w:color w:val="auto"/>
        </w:rPr>
        <w:t xml:space="preserve">). Predicted values </w:t>
      </w:r>
      <w:r>
        <w:rPr>
          <w:color w:val="auto"/>
        </w:rPr>
        <w:t xml:space="preserve">of MXD </w:t>
      </w:r>
      <w:r w:rsidRPr="00B0618E">
        <w:rPr>
          <w:color w:val="auto"/>
        </w:rPr>
        <w:t>ranged from 0.0 m to 5.5 m. The 10</w:t>
      </w:r>
      <w:r w:rsidRPr="00B0618E">
        <w:rPr>
          <w:color w:val="auto"/>
          <w:vertAlign w:val="superscript"/>
        </w:rPr>
        <w:t>th</w:t>
      </w:r>
      <w:r w:rsidRPr="00B0618E">
        <w:rPr>
          <w:color w:val="auto"/>
        </w:rPr>
        <w:t xml:space="preserve"> percentile value ranged from 0.1 m to 0.2 m; the median value ranged from 0.8 m to 0.9 m; and the 90</w:t>
      </w:r>
      <w:r w:rsidRPr="00B0618E">
        <w:rPr>
          <w:color w:val="auto"/>
          <w:vertAlign w:val="superscript"/>
        </w:rPr>
        <w:t>th</w:t>
      </w:r>
      <w:r w:rsidRPr="00B0618E">
        <w:rPr>
          <w:color w:val="auto"/>
        </w:rPr>
        <w:t xml:space="preserve"> percentile value ranged from 2.4 m to 2.5 m.</w:t>
      </w:r>
    </w:p>
    <w:p w14:paraId="7580ADC7" w14:textId="3AA670A3" w:rsidR="00774C67" w:rsidRPr="00B0618E" w:rsidRDefault="00510A05" w:rsidP="006613A3">
      <w:pPr>
        <w:pStyle w:val="BodyText"/>
        <w:keepNext/>
        <w:jc w:val="center"/>
        <w:rPr>
          <w:color w:val="auto"/>
        </w:rPr>
      </w:pPr>
      <w:r>
        <w:rPr>
          <w:noProof/>
          <w:color w:val="auto"/>
        </w:rPr>
        <w:drawing>
          <wp:inline distT="0" distB="0" distL="0" distR="0" wp14:anchorId="6B4B032A" wp14:editId="3639794B">
            <wp:extent cx="5758180" cy="2879090"/>
            <wp:effectExtent l="0" t="0" r="0" b="0"/>
            <wp:docPr id="126" name="Picture 126" descr="Charts of sensitivity of model parameters" title="Fig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WS_FAM\Models\Version6_SA_reanalysis_061016\Plot_bootstrap_outputs_v03_160217_ranks_MXD.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8180" cy="2879090"/>
                    </a:xfrm>
                    <a:prstGeom prst="rect">
                      <a:avLst/>
                    </a:prstGeom>
                    <a:noFill/>
                    <a:ln>
                      <a:noFill/>
                    </a:ln>
                  </pic:spPr>
                </pic:pic>
              </a:graphicData>
            </a:graphic>
          </wp:inline>
        </w:drawing>
      </w:r>
    </w:p>
    <w:p w14:paraId="649791A5" w14:textId="1881EB5D" w:rsidR="00135A92" w:rsidRDefault="00135A92" w:rsidP="00DD64D3">
      <w:pPr>
        <w:pStyle w:val="Caption"/>
      </w:pPr>
      <w:bookmarkStart w:id="67" w:name="_Ref477361981"/>
      <w:bookmarkStart w:id="68" w:name="_Toc482034905"/>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4</w:t>
      </w:r>
      <w:r w:rsidR="00A2085C">
        <w:rPr>
          <w:noProof/>
        </w:rPr>
        <w:fldChar w:fldCharType="end"/>
      </w:r>
      <w:bookmarkEnd w:id="67"/>
      <w:r w:rsidRPr="00B0618E">
        <w:t xml:space="preserve">. </w:t>
      </w:r>
      <w:r w:rsidR="00DD64D3" w:rsidRPr="00B0618E">
        <w:t xml:space="preserve">Relative rankings of ten parameters used by the </w:t>
      </w:r>
      <w:r w:rsidR="00045A85">
        <w:t>CDM Smith (2016)</w:t>
      </w:r>
      <w:r w:rsidR="00DD64D3" w:rsidRPr="00B0618E">
        <w:t xml:space="preserve"> Gunnedah</w:t>
      </w:r>
      <w:r w:rsidR="004900B0">
        <w:t>-Surat</w:t>
      </w:r>
      <w:r w:rsidR="00DD64D3" w:rsidRPr="00B0618E">
        <w:t xml:space="preserve"> </w:t>
      </w:r>
      <w:r w:rsidR="004900B0">
        <w:t>b</w:t>
      </w:r>
      <w:r w:rsidR="00DD64D3" w:rsidRPr="00B0618E">
        <w:t>asin</w:t>
      </w:r>
      <w:r w:rsidR="004900B0">
        <w:t>s</w:t>
      </w:r>
      <w:r w:rsidR="00DD64D3" w:rsidRPr="00B0618E">
        <w:t xml:space="preserve"> groundwater flow model (</w:t>
      </w:r>
      <w:r w:rsidR="00A848C2" w:rsidRPr="00B0618E">
        <w:t xml:space="preserve">most sensitive = </w:t>
      </w:r>
      <w:r w:rsidR="00DD64D3" w:rsidRPr="00B0618E">
        <w:t xml:space="preserve">red, </w:t>
      </w:r>
      <w:r w:rsidR="00A848C2" w:rsidRPr="00B0618E">
        <w:t xml:space="preserve">second most sensitive = </w:t>
      </w:r>
      <w:r w:rsidR="00DD64D3" w:rsidRPr="00B0618E">
        <w:t xml:space="preserve">blue, </w:t>
      </w:r>
      <w:r w:rsidR="00A848C2" w:rsidRPr="00B0618E">
        <w:t xml:space="preserve">third most sensitive = </w:t>
      </w:r>
      <w:r w:rsidR="00DD64D3" w:rsidRPr="00B0618E">
        <w:t xml:space="preserve">green; </w:t>
      </w:r>
      <w:r w:rsidR="00A848C2" w:rsidRPr="00B0618E">
        <w:t>less sensitive parameters are</w:t>
      </w:r>
      <w:r w:rsidR="00DD64D3" w:rsidRPr="00B0618E">
        <w:t xml:space="preserve"> shown in grey) to which the prediction of the magnitude of maximum drawdown in the Pilliga Sandstone aquifer was most sensitive. Parameter rankings were based on two global sensitivity analysis metrics: (a) the Delta Moment-Independent Measure (</w:t>
      </w:r>
      <w:r w:rsidR="005C3666">
        <w:rPr>
          <w:i/>
        </w:rPr>
        <w:t>δ</w:t>
      </w:r>
      <w:r w:rsidR="00DD64D3" w:rsidRPr="00B0618E">
        <w:t>; Plischke et al., 201</w:t>
      </w:r>
      <w:r w:rsidR="00C82F89" w:rsidRPr="00B0618E">
        <w:t>3</w:t>
      </w:r>
      <w:r w:rsidR="00DD64D3" w:rsidRPr="00B0618E">
        <w:t>) and (b) the first order Sobol’ metric (</w:t>
      </w:r>
      <w:r w:rsidR="00DD64D3" w:rsidRPr="00B0618E">
        <w:rPr>
          <w:i/>
        </w:rPr>
        <w:t>S</w:t>
      </w:r>
      <w:r w:rsidR="00DD64D3" w:rsidRPr="00B0618E">
        <w:rPr>
          <w:vertAlign w:val="subscript"/>
        </w:rPr>
        <w:t>1</w:t>
      </w:r>
      <w:r w:rsidR="00DD64D3" w:rsidRPr="00B0618E">
        <w:t>; Sobol’, 2001). Sample sizes used as the basis for metric computation ranged from 200 to 300 model runs.</w:t>
      </w:r>
      <w:bookmarkEnd w:id="68"/>
    </w:p>
    <w:p w14:paraId="50B5AB1A" w14:textId="77777777" w:rsidR="000226ED" w:rsidRPr="000226ED" w:rsidRDefault="000226ED" w:rsidP="000226ED">
      <w:pPr>
        <w:pStyle w:val="BodyText"/>
      </w:pPr>
    </w:p>
    <w:p w14:paraId="6581BEC5" w14:textId="2D3DDCEC" w:rsidR="0063124F" w:rsidRDefault="004B2EBA" w:rsidP="006613A3">
      <w:pPr>
        <w:pStyle w:val="BodyText"/>
        <w:jc w:val="center"/>
      </w:pPr>
      <w:r>
        <w:rPr>
          <w:noProof/>
        </w:rPr>
        <w:drawing>
          <wp:inline distT="0" distB="0" distL="0" distR="0" wp14:anchorId="51BB4B48" wp14:editId="59ABBC62">
            <wp:extent cx="5758180" cy="2879090"/>
            <wp:effectExtent l="0" t="0" r="0" b="0"/>
            <wp:docPr id="150" name="Picture 150" descr="Chart of sensitivity if all 30 model parameters" title="Fig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Y:\OWS_FAM\Models\Version6_SA_reanalysis_061016\Plot_GSA_metric_values_300_runs_070417_MXD.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8180" cy="2879090"/>
                    </a:xfrm>
                    <a:prstGeom prst="rect">
                      <a:avLst/>
                    </a:prstGeom>
                    <a:noFill/>
                    <a:ln>
                      <a:noFill/>
                    </a:ln>
                  </pic:spPr>
                </pic:pic>
              </a:graphicData>
            </a:graphic>
          </wp:inline>
        </w:drawing>
      </w:r>
    </w:p>
    <w:p w14:paraId="7E1C08CC" w14:textId="4B2F03D6" w:rsidR="003F7EE6" w:rsidRDefault="007058AB" w:rsidP="003F7EE6">
      <w:pPr>
        <w:pStyle w:val="Caption"/>
      </w:pPr>
      <w:bookmarkStart w:id="69" w:name="_Ref479496695"/>
      <w:bookmarkStart w:id="70" w:name="_Toc482034906"/>
      <w:r>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5</w:t>
      </w:r>
      <w:r w:rsidR="00A2085C">
        <w:rPr>
          <w:noProof/>
        </w:rPr>
        <w:fldChar w:fldCharType="end"/>
      </w:r>
      <w:bookmarkEnd w:id="69"/>
      <w:r>
        <w:t xml:space="preserve"> </w:t>
      </w:r>
      <w:r w:rsidR="003F7EE6">
        <w:t>G</w:t>
      </w:r>
      <w:r w:rsidR="003F7EE6" w:rsidRPr="00B0618E">
        <w:t>lobal sensitivity analysis metrics</w:t>
      </w:r>
      <w:r w:rsidR="003F7EE6">
        <w:t xml:space="preserve"> </w:t>
      </w:r>
      <w:r w:rsidR="00797313">
        <w:t>of</w:t>
      </w:r>
      <w:r w:rsidR="003F7EE6">
        <w:t xml:space="preserve"> all 30 model parameters</w:t>
      </w:r>
      <w:r w:rsidR="00797313">
        <w:t xml:space="preserve"> in relation to maximum drawdown</w:t>
      </w:r>
      <w:r w:rsidR="003F7EE6">
        <w:t>.</w:t>
      </w:r>
      <w:r w:rsidR="003F7EE6" w:rsidRPr="00B0618E">
        <w:t xml:space="preserve"> (a) Delta Moment-Independent Measure (</w:t>
      </w:r>
      <w:r w:rsidR="005C3666">
        <w:rPr>
          <w:i/>
        </w:rPr>
        <w:t>δ</w:t>
      </w:r>
      <w:r w:rsidR="003F7EE6" w:rsidRPr="00B0618E">
        <w:t>; Plischke et al., 2013) and (b) first order Sobol’ metric (</w:t>
      </w:r>
      <w:r w:rsidR="003F7EE6" w:rsidRPr="00B0618E">
        <w:rPr>
          <w:i/>
        </w:rPr>
        <w:t>S</w:t>
      </w:r>
      <w:r w:rsidR="003F7EE6" w:rsidRPr="00B0618E">
        <w:rPr>
          <w:vertAlign w:val="subscript"/>
        </w:rPr>
        <w:t>1</w:t>
      </w:r>
      <w:r w:rsidR="003F7EE6" w:rsidRPr="00B0618E">
        <w:t xml:space="preserve">; Sobol’, 2001). Sample size for metric computation </w:t>
      </w:r>
      <w:r w:rsidR="00A532C3">
        <w:t>was</w:t>
      </w:r>
      <w:r w:rsidR="00A532C3" w:rsidRPr="00B0618E">
        <w:t xml:space="preserve"> </w:t>
      </w:r>
      <w:r w:rsidR="003F7EE6" w:rsidRPr="00B0618E">
        <w:t>300 model runs.</w:t>
      </w:r>
      <w:bookmarkEnd w:id="70"/>
    </w:p>
    <w:p w14:paraId="12BA5FD7" w14:textId="1CA5E918" w:rsidR="006613A3" w:rsidRPr="00B0618E" w:rsidRDefault="006613A3" w:rsidP="006613A3">
      <w:pPr>
        <w:pStyle w:val="BodyText"/>
        <w:rPr>
          <w:color w:val="auto"/>
        </w:rPr>
      </w:pPr>
      <w:r w:rsidRPr="00B0618E">
        <w:rPr>
          <w:color w:val="auto"/>
        </w:rPr>
        <w:t xml:space="preserve">Maximum drawdown was also found to be </w:t>
      </w:r>
      <w:r>
        <w:rPr>
          <w:color w:val="auto"/>
        </w:rPr>
        <w:t xml:space="preserve">weakly </w:t>
      </w:r>
      <w:r w:rsidRPr="00B0618E">
        <w:rPr>
          <w:color w:val="auto"/>
        </w:rPr>
        <w:t xml:space="preserve">sensitive to the vertical </w:t>
      </w:r>
      <w:r w:rsidRPr="00B0618E">
        <w:rPr>
          <w:i/>
          <w:color w:val="auto"/>
        </w:rPr>
        <w:t>K</w:t>
      </w:r>
      <w:r w:rsidRPr="00B0618E">
        <w:rPr>
          <w:color w:val="auto"/>
        </w:rPr>
        <w:t xml:space="preserve"> of the upper aquitard sequence (</w:t>
      </w:r>
      <w:r w:rsidRPr="00B0618E">
        <w:rPr>
          <w:i/>
          <w:color w:val="auto"/>
        </w:rPr>
        <w:t>K</w:t>
      </w:r>
      <w:r w:rsidRPr="00B0618E">
        <w:rPr>
          <w:i/>
          <w:color w:val="auto"/>
          <w:vertAlign w:val="subscript"/>
        </w:rPr>
        <w:t>V</w:t>
      </w:r>
      <w:r w:rsidRPr="00B0618E">
        <w:rPr>
          <w:color w:val="auto"/>
        </w:rPr>
        <w:t xml:space="preserve">05; </w:t>
      </w:r>
      <w:r w:rsidRPr="00B0618E">
        <w:rPr>
          <w:color w:val="auto"/>
        </w:rPr>
        <w:fldChar w:fldCharType="begin"/>
      </w:r>
      <w:r w:rsidRPr="00B0618E">
        <w:rPr>
          <w:color w:val="auto"/>
        </w:rPr>
        <w:instrText xml:space="preserve"> REF _Ref477361981 \h </w:instrText>
      </w:r>
      <w:r>
        <w:rPr>
          <w:color w:val="auto"/>
        </w:rPr>
        <w:instrText xml:space="preserve"> \* MERGEFORMAT </w:instrText>
      </w:r>
      <w:r w:rsidRPr="00B0618E">
        <w:rPr>
          <w:color w:val="auto"/>
        </w:rPr>
      </w:r>
      <w:r w:rsidRPr="00B0618E">
        <w:rPr>
          <w:color w:val="auto"/>
        </w:rPr>
        <w:fldChar w:fldCharType="separate"/>
      </w:r>
      <w:r w:rsidR="000B6FA5" w:rsidRPr="00B0618E">
        <w:t xml:space="preserve">Figure </w:t>
      </w:r>
      <w:r w:rsidR="000B6FA5">
        <w:rPr>
          <w:noProof/>
        </w:rPr>
        <w:t>3</w:t>
      </w:r>
      <w:r w:rsidR="000B6FA5">
        <w:rPr>
          <w:noProof/>
        </w:rPr>
        <w:noBreakHyphen/>
        <w:t>4</w:t>
      </w:r>
      <w:r w:rsidRPr="00B0618E">
        <w:rPr>
          <w:color w:val="auto"/>
        </w:rPr>
        <w:fldChar w:fldCharType="end"/>
      </w:r>
      <w:r w:rsidRPr="00B0618E">
        <w:rPr>
          <w:color w:val="auto"/>
        </w:rPr>
        <w:t xml:space="preserve">). </w:t>
      </w:r>
      <w:r>
        <w:rPr>
          <w:color w:val="auto"/>
        </w:rPr>
        <w:t>The ranking of the latter</w:t>
      </w:r>
      <w:r w:rsidRPr="00B0618E">
        <w:rPr>
          <w:color w:val="auto"/>
        </w:rPr>
        <w:t xml:space="preserve"> parameter converged with increasing sample size. </w:t>
      </w:r>
      <w:r>
        <w:t xml:space="preserve">Note, however, that </w:t>
      </w:r>
      <w:r>
        <w:rPr>
          <w:color w:val="auto"/>
        </w:rPr>
        <w:t>inspection of the magnitude of sensitivity metrics (</w:t>
      </w:r>
      <w:r>
        <w:rPr>
          <w:color w:val="auto"/>
        </w:rPr>
        <w:fldChar w:fldCharType="begin"/>
      </w:r>
      <w:r>
        <w:rPr>
          <w:color w:val="auto"/>
        </w:rPr>
        <w:instrText xml:space="preserve"> REF _Ref479496695 \h </w:instrText>
      </w:r>
      <w:r>
        <w:rPr>
          <w:color w:val="auto"/>
        </w:rPr>
      </w:r>
      <w:r>
        <w:rPr>
          <w:color w:val="auto"/>
        </w:rPr>
        <w:fldChar w:fldCharType="separate"/>
      </w:r>
      <w:r w:rsidR="000B6FA5">
        <w:t xml:space="preserve">Figure </w:t>
      </w:r>
      <w:r w:rsidR="000B6FA5">
        <w:rPr>
          <w:noProof/>
        </w:rPr>
        <w:t>3</w:t>
      </w:r>
      <w:r w:rsidR="000B6FA5">
        <w:noBreakHyphen/>
      </w:r>
      <w:r w:rsidR="000B6FA5">
        <w:rPr>
          <w:noProof/>
        </w:rPr>
        <w:t>5</w:t>
      </w:r>
      <w:r>
        <w:rPr>
          <w:color w:val="auto"/>
        </w:rPr>
        <w:fldChar w:fldCharType="end"/>
      </w:r>
      <w:r>
        <w:rPr>
          <w:color w:val="auto"/>
        </w:rPr>
        <w:t xml:space="preserve">) shows that </w:t>
      </w:r>
      <w:r w:rsidRPr="00B0618E">
        <w:rPr>
          <w:i/>
          <w:color w:val="auto"/>
        </w:rPr>
        <w:t>K</w:t>
      </w:r>
      <w:r w:rsidRPr="00B0618E">
        <w:rPr>
          <w:i/>
          <w:color w:val="auto"/>
          <w:vertAlign w:val="subscript"/>
        </w:rPr>
        <w:t>V</w:t>
      </w:r>
      <w:r w:rsidRPr="00B0618E">
        <w:rPr>
          <w:color w:val="auto"/>
        </w:rPr>
        <w:t>05</w:t>
      </w:r>
      <w:r>
        <w:rPr>
          <w:color w:val="auto"/>
        </w:rPr>
        <w:t xml:space="preserve"> sits in the noise and is only weakly significantly more sensitive than other parameters (</w:t>
      </w:r>
      <w:r w:rsidR="005C3666">
        <w:rPr>
          <w:i/>
          <w:color w:val="auto"/>
        </w:rPr>
        <w:t>δ</w:t>
      </w:r>
      <w:r w:rsidRPr="00B0618E">
        <w:rPr>
          <w:color w:val="auto"/>
        </w:rPr>
        <w:t xml:space="preserve">=0.092, </w:t>
      </w:r>
      <w:r w:rsidRPr="00B0618E">
        <w:rPr>
          <w:i/>
          <w:color w:val="auto"/>
        </w:rPr>
        <w:t>S</w:t>
      </w:r>
      <w:r w:rsidRPr="00B0618E">
        <w:rPr>
          <w:color w:val="auto"/>
          <w:vertAlign w:val="subscript"/>
        </w:rPr>
        <w:t>1</w:t>
      </w:r>
      <w:r w:rsidRPr="00B0618E">
        <w:rPr>
          <w:color w:val="auto"/>
        </w:rPr>
        <w:t>=0.048)</w:t>
      </w:r>
      <w:r>
        <w:rPr>
          <w:color w:val="auto"/>
        </w:rPr>
        <w:t>.</w:t>
      </w:r>
      <w:r w:rsidRPr="00B0618E">
        <w:rPr>
          <w:color w:val="auto"/>
        </w:rPr>
        <w:t xml:space="preserve"> </w:t>
      </w:r>
      <w:r>
        <w:rPr>
          <w:color w:val="auto"/>
        </w:rPr>
        <w:t xml:space="preserve">Indeed, </w:t>
      </w:r>
      <w:r w:rsidRPr="00B0618E">
        <w:t xml:space="preserve">DMIM </w:t>
      </w:r>
      <w:r w:rsidR="005C3666">
        <w:rPr>
          <w:i/>
        </w:rPr>
        <w:t>δ</w:t>
      </w:r>
      <w:r w:rsidRPr="00B0618E">
        <w:t xml:space="preserve"> values ranged from 0.016 to 0.069 for the remainder of the parameters examined.</w:t>
      </w:r>
    </w:p>
    <w:p w14:paraId="25BB4594" w14:textId="4329B76A" w:rsidR="004E5193" w:rsidRPr="00B0618E" w:rsidRDefault="004E5193" w:rsidP="004E5193">
      <w:pPr>
        <w:pStyle w:val="Heading3"/>
      </w:pPr>
      <w:bookmarkStart w:id="71" w:name="_Ref476228365"/>
      <w:r w:rsidRPr="00B0618E">
        <w:t xml:space="preserve">Prediction </w:t>
      </w:r>
      <w:r w:rsidR="007E1C69">
        <w:t xml:space="preserve">metric </w:t>
      </w:r>
      <w:r w:rsidRPr="00B0618E">
        <w:t>2: Tim</w:t>
      </w:r>
      <w:r w:rsidR="00BF4D39" w:rsidRPr="00B0618E">
        <w:t>ing</w:t>
      </w:r>
      <w:r w:rsidRPr="00B0618E">
        <w:t xml:space="preserve"> of maximum drawdown</w:t>
      </w:r>
      <w:bookmarkEnd w:id="71"/>
      <w:r w:rsidRPr="00B0618E">
        <w:t xml:space="preserve"> </w:t>
      </w:r>
    </w:p>
    <w:p w14:paraId="4EF7C193" w14:textId="7C1F27C0" w:rsidR="006C7121" w:rsidRDefault="0056264C" w:rsidP="006B1D24">
      <w:pPr>
        <w:pStyle w:val="BodyText"/>
      </w:pPr>
      <w:r w:rsidRPr="00B0618E">
        <w:t xml:space="preserve">The prediction of </w:t>
      </w:r>
      <w:r w:rsidR="00641BF8" w:rsidRPr="00B0618E">
        <w:t>time of maximum drawdown</w:t>
      </w:r>
      <w:r w:rsidRPr="00B0618E">
        <w:t xml:space="preserve"> was found to be </w:t>
      </w:r>
      <w:r w:rsidR="006B1D24" w:rsidRPr="00B0618E">
        <w:t xml:space="preserve">equally </w:t>
      </w:r>
      <w:r w:rsidR="003C1886">
        <w:t>in</w:t>
      </w:r>
      <w:r w:rsidRPr="00B0618E">
        <w:t xml:space="preserve">sensitive to </w:t>
      </w:r>
      <w:r w:rsidR="006B1D24" w:rsidRPr="00B0618E">
        <w:t xml:space="preserve">most </w:t>
      </w:r>
      <w:r w:rsidR="009350D5" w:rsidRPr="00B0618E">
        <w:t>parameters</w:t>
      </w:r>
      <w:r w:rsidR="006B1D24" w:rsidRPr="00B0618E">
        <w:t xml:space="preserve"> tested</w:t>
      </w:r>
      <w:r w:rsidR="002E1958" w:rsidRPr="00B0618E">
        <w:t xml:space="preserve"> (</w:t>
      </w:r>
      <w:r w:rsidR="002E1958" w:rsidRPr="00B0618E">
        <w:fldChar w:fldCharType="begin"/>
      </w:r>
      <w:r w:rsidR="002E1958" w:rsidRPr="00B0618E">
        <w:instrText xml:space="preserve"> REF _Ref477361816 \h </w:instrText>
      </w:r>
      <w:r w:rsidR="00B0618E">
        <w:instrText xml:space="preserve"> \* MERGEFORMAT </w:instrText>
      </w:r>
      <w:r w:rsidR="002E1958" w:rsidRPr="00B0618E">
        <w:fldChar w:fldCharType="separate"/>
      </w:r>
      <w:r w:rsidR="000B6FA5" w:rsidRPr="00B0618E">
        <w:t xml:space="preserve">Figure </w:t>
      </w:r>
      <w:r w:rsidR="000B6FA5">
        <w:rPr>
          <w:noProof/>
        </w:rPr>
        <w:t>3</w:t>
      </w:r>
      <w:r w:rsidR="000B6FA5">
        <w:rPr>
          <w:noProof/>
        </w:rPr>
        <w:noBreakHyphen/>
        <w:t>6</w:t>
      </w:r>
      <w:r w:rsidR="002E1958" w:rsidRPr="00B0618E">
        <w:fldChar w:fldCharType="end"/>
      </w:r>
      <w:r w:rsidR="000F7F7F">
        <w:t>a, b</w:t>
      </w:r>
      <w:r w:rsidR="002E1958" w:rsidRPr="00B0618E">
        <w:t>)</w:t>
      </w:r>
      <w:r w:rsidR="006B1D24" w:rsidRPr="00B0618E">
        <w:t xml:space="preserve">; i.e., </w:t>
      </w:r>
      <w:r w:rsidR="00C82F89" w:rsidRPr="00B0618E">
        <w:t>DMIM</w:t>
      </w:r>
      <w:r w:rsidR="00766564" w:rsidRPr="00B0618E">
        <w:t xml:space="preserve"> </w:t>
      </w:r>
      <w:r w:rsidR="005C3666">
        <w:rPr>
          <w:i/>
        </w:rPr>
        <w:t>δ</w:t>
      </w:r>
      <w:r w:rsidR="006B1D24" w:rsidRPr="00B0618E">
        <w:t xml:space="preserve"> values ranged within a </w:t>
      </w:r>
      <w:r w:rsidR="003C1886">
        <w:t>narrow band between</w:t>
      </w:r>
      <w:r w:rsidR="006B1D24" w:rsidRPr="00B0618E">
        <w:t xml:space="preserve"> 0.041 </w:t>
      </w:r>
      <w:r w:rsidR="00083837">
        <w:t>and</w:t>
      </w:r>
      <w:r w:rsidR="006B1D24" w:rsidRPr="00B0618E">
        <w:t xml:space="preserve"> 0.078</w:t>
      </w:r>
      <w:r w:rsidR="003C1886">
        <w:t xml:space="preserve"> (</w:t>
      </w:r>
      <w:r w:rsidR="003C1886">
        <w:fldChar w:fldCharType="begin"/>
      </w:r>
      <w:r w:rsidR="003C1886">
        <w:instrText xml:space="preserve"> REF _Ref479498910 \h </w:instrText>
      </w:r>
      <w:r w:rsidR="003C1886">
        <w:fldChar w:fldCharType="separate"/>
      </w:r>
      <w:r w:rsidR="000B6FA5">
        <w:t xml:space="preserve">Figure </w:t>
      </w:r>
      <w:r w:rsidR="000B6FA5">
        <w:rPr>
          <w:noProof/>
        </w:rPr>
        <w:t>3</w:t>
      </w:r>
      <w:r w:rsidR="000B6FA5">
        <w:noBreakHyphen/>
      </w:r>
      <w:r w:rsidR="000B6FA5">
        <w:rPr>
          <w:noProof/>
        </w:rPr>
        <w:t>7</w:t>
      </w:r>
      <w:r w:rsidR="003C1886">
        <w:fldChar w:fldCharType="end"/>
      </w:r>
      <w:r w:rsidR="003C1886">
        <w:t>a</w:t>
      </w:r>
      <w:r w:rsidR="006B1D24" w:rsidRPr="00B0618E">
        <w:t>)</w:t>
      </w:r>
      <w:r w:rsidR="006C7121">
        <w:t xml:space="preserve">, while </w:t>
      </w:r>
      <w:r w:rsidR="006C7121">
        <w:rPr>
          <w:color w:val="auto"/>
        </w:rPr>
        <w:t xml:space="preserve">the </w:t>
      </w:r>
      <w:r w:rsidR="006C7121" w:rsidRPr="00B0618E">
        <w:rPr>
          <w:color w:val="auto"/>
        </w:rPr>
        <w:t xml:space="preserve">Sobol’ </w:t>
      </w:r>
      <w:r w:rsidR="006C7121" w:rsidRPr="00B0618E">
        <w:rPr>
          <w:i/>
          <w:color w:val="auto"/>
        </w:rPr>
        <w:t>S</w:t>
      </w:r>
      <w:r w:rsidR="006C7121" w:rsidRPr="00B0618E">
        <w:rPr>
          <w:color w:val="auto"/>
          <w:vertAlign w:val="subscript"/>
        </w:rPr>
        <w:t>1</w:t>
      </w:r>
      <w:r w:rsidR="006C7121">
        <w:rPr>
          <w:color w:val="auto"/>
          <w:vertAlign w:val="subscript"/>
        </w:rPr>
        <w:t xml:space="preserve"> </w:t>
      </w:r>
      <w:r w:rsidR="006C7121" w:rsidRPr="00C12819">
        <w:rPr>
          <w:color w:val="auto"/>
        </w:rPr>
        <w:t>metric</w:t>
      </w:r>
      <w:r w:rsidR="006C7121">
        <w:rPr>
          <w:color w:val="auto"/>
        </w:rPr>
        <w:t xml:space="preserve"> also varied within a relatively narrow range (</w:t>
      </w:r>
      <w:r w:rsidR="006C7121">
        <w:fldChar w:fldCharType="begin"/>
      </w:r>
      <w:r w:rsidR="006C7121">
        <w:instrText xml:space="preserve"> REF _Ref479498910 \h </w:instrText>
      </w:r>
      <w:r w:rsidR="006C7121">
        <w:fldChar w:fldCharType="separate"/>
      </w:r>
      <w:r w:rsidR="000B6FA5">
        <w:t xml:space="preserve">Figure </w:t>
      </w:r>
      <w:r w:rsidR="000B6FA5">
        <w:rPr>
          <w:noProof/>
        </w:rPr>
        <w:t>3</w:t>
      </w:r>
      <w:r w:rsidR="000B6FA5">
        <w:noBreakHyphen/>
      </w:r>
      <w:r w:rsidR="000B6FA5">
        <w:rPr>
          <w:noProof/>
        </w:rPr>
        <w:t>7</w:t>
      </w:r>
      <w:r w:rsidR="006C7121">
        <w:fldChar w:fldCharType="end"/>
      </w:r>
      <w:r w:rsidR="006C7121">
        <w:t>b</w:t>
      </w:r>
      <w:r w:rsidR="006C7121">
        <w:rPr>
          <w:color w:val="auto"/>
        </w:rPr>
        <w:t>)</w:t>
      </w:r>
      <w:r w:rsidR="006B1D24" w:rsidRPr="00B0618E">
        <w:t xml:space="preserve">. </w:t>
      </w:r>
      <w:r w:rsidR="006C7121">
        <w:t>As a result, for the model conditions tested here, there is no single model parameter to which the timing of maximum drawdown is more sensitive than any other parameter.</w:t>
      </w:r>
    </w:p>
    <w:p w14:paraId="1C69020E" w14:textId="447B00D5" w:rsidR="0056264C" w:rsidRDefault="006C7121" w:rsidP="006B1D24">
      <w:pPr>
        <w:pStyle w:val="BodyText"/>
        <w:rPr>
          <w:color w:val="FF0000"/>
        </w:rPr>
      </w:pPr>
      <w:r>
        <w:t xml:space="preserve">As demonstrated in Section </w:t>
      </w:r>
      <w:r>
        <w:fldChar w:fldCharType="begin"/>
      </w:r>
      <w:r>
        <w:instrText xml:space="preserve"> REF _Ref476296522 \r \h </w:instrText>
      </w:r>
      <w:r>
        <w:fldChar w:fldCharType="separate"/>
      </w:r>
      <w:r w:rsidR="000B6FA5">
        <w:t>3.4.6</w:t>
      </w:r>
      <w:r>
        <w:fldChar w:fldCharType="end"/>
      </w:r>
      <w:r>
        <w:t>, t</w:t>
      </w:r>
      <w:r w:rsidR="00E73233" w:rsidRPr="00B0618E">
        <w:rPr>
          <w:color w:val="auto"/>
        </w:rPr>
        <w:t xml:space="preserve">he uncertainty </w:t>
      </w:r>
      <w:r>
        <w:rPr>
          <w:color w:val="auto"/>
        </w:rPr>
        <w:t>about timing of maximum drawdown</w:t>
      </w:r>
      <w:r w:rsidR="00E73233" w:rsidRPr="00B0618E">
        <w:rPr>
          <w:color w:val="auto"/>
        </w:rPr>
        <w:t xml:space="preserve"> did not vary significantly with increasing sample size</w:t>
      </w:r>
      <w:r w:rsidR="00564555" w:rsidRPr="00B0618E">
        <w:rPr>
          <w:color w:val="auto"/>
        </w:rPr>
        <w:t xml:space="preserve"> (</w:t>
      </w:r>
      <w:r w:rsidR="00564555" w:rsidRPr="00B0618E">
        <w:rPr>
          <w:color w:val="auto"/>
        </w:rPr>
        <w:fldChar w:fldCharType="begin"/>
      </w:r>
      <w:r w:rsidR="00564555" w:rsidRPr="00B0618E">
        <w:rPr>
          <w:color w:val="auto"/>
        </w:rPr>
        <w:instrText xml:space="preserve"> REF _Ref467659115 \h </w:instrText>
      </w:r>
      <w:r w:rsidR="00B0618E">
        <w:rPr>
          <w:color w:val="auto"/>
        </w:rPr>
        <w:instrText xml:space="preserve"> \* MERGEFORMAT </w:instrText>
      </w:r>
      <w:r w:rsidR="00564555" w:rsidRPr="00B0618E">
        <w:rPr>
          <w:color w:val="auto"/>
        </w:rPr>
      </w:r>
      <w:r w:rsidR="00564555" w:rsidRPr="00B0618E">
        <w:rPr>
          <w:color w:val="auto"/>
        </w:rPr>
        <w:fldChar w:fldCharType="separate"/>
      </w:r>
      <w:r w:rsidR="000B6FA5" w:rsidRPr="00B0618E">
        <w:t xml:space="preserve">Figure </w:t>
      </w:r>
      <w:r w:rsidR="000B6FA5">
        <w:rPr>
          <w:noProof/>
        </w:rPr>
        <w:t>3</w:t>
      </w:r>
      <w:r w:rsidR="000B6FA5">
        <w:rPr>
          <w:noProof/>
        </w:rPr>
        <w:noBreakHyphen/>
        <w:t>3</w:t>
      </w:r>
      <w:r w:rsidR="00564555" w:rsidRPr="00B0618E">
        <w:rPr>
          <w:color w:val="auto"/>
        </w:rPr>
        <w:fldChar w:fldCharType="end"/>
      </w:r>
      <w:r w:rsidR="00083837">
        <w:rPr>
          <w:color w:val="auto"/>
        </w:rPr>
        <w:t>b</w:t>
      </w:r>
      <w:r w:rsidR="00564555" w:rsidRPr="00B0618E">
        <w:rPr>
          <w:color w:val="auto"/>
        </w:rPr>
        <w:t>)</w:t>
      </w:r>
      <w:r w:rsidR="00E73233" w:rsidRPr="00B0618E">
        <w:rPr>
          <w:color w:val="auto"/>
        </w:rPr>
        <w:t>.</w:t>
      </w:r>
      <w:r w:rsidR="001532B1" w:rsidRPr="00B0618E">
        <w:rPr>
          <w:color w:val="auto"/>
        </w:rPr>
        <w:t xml:space="preserve"> Predicted values ranged from </w:t>
      </w:r>
      <w:r w:rsidR="00787438" w:rsidRPr="00B0618E">
        <w:rPr>
          <w:color w:val="auto"/>
        </w:rPr>
        <w:t>19</w:t>
      </w:r>
      <w:r w:rsidR="00C96617">
        <w:rPr>
          <w:color w:val="auto"/>
        </w:rPr>
        <w:t xml:space="preserve"> </w:t>
      </w:r>
      <w:r w:rsidR="00787438" w:rsidRPr="00B0618E">
        <w:rPr>
          <w:color w:val="auto"/>
        </w:rPr>
        <w:t>to 261</w:t>
      </w:r>
      <w:r w:rsidR="00C96617">
        <w:rPr>
          <w:color w:val="auto"/>
        </w:rPr>
        <w:t xml:space="preserve"> years </w:t>
      </w:r>
      <w:r w:rsidR="0074661A" w:rsidRPr="00B0618E">
        <w:rPr>
          <w:color w:val="auto"/>
        </w:rPr>
        <w:t>across all 300 model runs</w:t>
      </w:r>
      <w:r w:rsidR="001532B1" w:rsidRPr="00B0618E">
        <w:rPr>
          <w:color w:val="auto"/>
        </w:rPr>
        <w:t>.</w:t>
      </w:r>
      <w:r w:rsidR="00E73233" w:rsidRPr="00B0618E">
        <w:rPr>
          <w:color w:val="auto"/>
        </w:rPr>
        <w:t xml:space="preserve"> </w:t>
      </w:r>
      <w:r w:rsidR="00057438" w:rsidRPr="00B0618E">
        <w:rPr>
          <w:color w:val="auto"/>
        </w:rPr>
        <w:t>For sample sizes of 200 to 300, t</w:t>
      </w:r>
      <w:r w:rsidR="00E73233" w:rsidRPr="00B0618E">
        <w:rPr>
          <w:color w:val="auto"/>
        </w:rPr>
        <w:t>h</w:t>
      </w:r>
      <w:r w:rsidR="00513469" w:rsidRPr="00B0618E">
        <w:rPr>
          <w:color w:val="auto"/>
        </w:rPr>
        <w:t>e 10</w:t>
      </w:r>
      <w:r w:rsidR="00E73233" w:rsidRPr="00B0618E">
        <w:rPr>
          <w:color w:val="auto"/>
          <w:vertAlign w:val="superscript"/>
        </w:rPr>
        <w:t>th</w:t>
      </w:r>
      <w:r w:rsidR="00E73233" w:rsidRPr="00B0618E">
        <w:rPr>
          <w:color w:val="auto"/>
        </w:rPr>
        <w:t xml:space="preserve"> percentile value ranged from </w:t>
      </w:r>
      <w:r w:rsidR="004A0512" w:rsidRPr="00B0618E">
        <w:rPr>
          <w:color w:val="auto"/>
        </w:rPr>
        <w:t>117</w:t>
      </w:r>
      <w:r w:rsidR="00C96617">
        <w:rPr>
          <w:color w:val="auto"/>
        </w:rPr>
        <w:t xml:space="preserve"> years </w:t>
      </w:r>
      <w:r w:rsidR="004A0512" w:rsidRPr="00B0618E">
        <w:rPr>
          <w:color w:val="auto"/>
        </w:rPr>
        <w:t>to 134</w:t>
      </w:r>
      <w:r w:rsidR="00C96617">
        <w:rPr>
          <w:color w:val="auto"/>
        </w:rPr>
        <w:t xml:space="preserve"> years </w:t>
      </w:r>
      <w:r w:rsidR="00797022" w:rsidRPr="00B0618E">
        <w:rPr>
          <w:color w:val="auto"/>
        </w:rPr>
        <w:t>and</w:t>
      </w:r>
      <w:r w:rsidR="00E73233" w:rsidRPr="00B0618E">
        <w:rPr>
          <w:color w:val="auto"/>
        </w:rPr>
        <w:t xml:space="preserve"> the median value ranged from </w:t>
      </w:r>
      <w:r w:rsidR="004A0512" w:rsidRPr="00B0618E">
        <w:rPr>
          <w:color w:val="auto"/>
        </w:rPr>
        <w:t>253</w:t>
      </w:r>
      <w:r w:rsidR="00C96617">
        <w:rPr>
          <w:color w:val="auto"/>
        </w:rPr>
        <w:t xml:space="preserve"> years </w:t>
      </w:r>
      <w:r w:rsidR="004A0512" w:rsidRPr="00B0618E">
        <w:rPr>
          <w:color w:val="auto"/>
        </w:rPr>
        <w:t>to 255</w:t>
      </w:r>
      <w:r w:rsidR="00C96617">
        <w:rPr>
          <w:color w:val="auto"/>
        </w:rPr>
        <w:t xml:space="preserve"> years.</w:t>
      </w:r>
      <w:r w:rsidR="00057438" w:rsidRPr="00B0618E">
        <w:rPr>
          <w:color w:val="auto"/>
        </w:rPr>
        <w:t xml:space="preserve"> T</w:t>
      </w:r>
      <w:r w:rsidR="00E73233" w:rsidRPr="00B0618E">
        <w:rPr>
          <w:color w:val="auto"/>
        </w:rPr>
        <w:t>h</w:t>
      </w:r>
      <w:r w:rsidR="00513469" w:rsidRPr="00B0618E">
        <w:rPr>
          <w:color w:val="auto"/>
        </w:rPr>
        <w:t>e 90</w:t>
      </w:r>
      <w:r w:rsidR="00E73233" w:rsidRPr="00B0618E">
        <w:rPr>
          <w:color w:val="auto"/>
          <w:vertAlign w:val="superscript"/>
        </w:rPr>
        <w:t>th</w:t>
      </w:r>
      <w:r w:rsidR="00E73233" w:rsidRPr="00B0618E">
        <w:rPr>
          <w:color w:val="auto"/>
        </w:rPr>
        <w:t xml:space="preserve"> percentile value</w:t>
      </w:r>
      <w:r w:rsidR="004A0512" w:rsidRPr="00B0618E">
        <w:rPr>
          <w:color w:val="auto"/>
        </w:rPr>
        <w:t xml:space="preserve"> wa</w:t>
      </w:r>
      <w:r w:rsidR="004A0512" w:rsidRPr="0041571B">
        <w:t>s consistently 261</w:t>
      </w:r>
      <w:r w:rsidR="00C96617" w:rsidRPr="0041571B">
        <w:t xml:space="preserve"> years,</w:t>
      </w:r>
      <w:r w:rsidR="00797022" w:rsidRPr="0041571B">
        <w:t xml:space="preserve"> regardless of the sample size</w:t>
      </w:r>
      <w:r w:rsidR="00E73233" w:rsidRPr="0041571B">
        <w:t>.</w:t>
      </w:r>
      <w:r w:rsidR="0056264C" w:rsidRPr="0041571B">
        <w:t xml:space="preserve"> </w:t>
      </w:r>
      <w:r w:rsidR="00086408" w:rsidRPr="0041571B">
        <w:t>When interpreting these results, and as stated previously, for</w:t>
      </w:r>
      <w:r w:rsidR="00086408">
        <w:rPr>
          <w:color w:val="auto"/>
        </w:rPr>
        <w:t xml:space="preserve"> </w:t>
      </w:r>
      <w:r w:rsidR="00086408" w:rsidRPr="0041571B">
        <w:t>a subset of model runs the model temporal extent specified was insufficient to capture peak</w:t>
      </w:r>
      <w:r w:rsidR="00086408" w:rsidRPr="00B0618E">
        <w:rPr>
          <w:color w:val="auto"/>
        </w:rPr>
        <w:t xml:space="preserve"> drawdown conditions.</w:t>
      </w:r>
      <w:r w:rsidR="00086408">
        <w:rPr>
          <w:color w:val="auto"/>
        </w:rPr>
        <w:t xml:space="preserve"> Due to large model run times it was not feasible to repeat the sampling process </w:t>
      </w:r>
      <w:r w:rsidR="00DD6F16">
        <w:rPr>
          <w:color w:val="auto"/>
        </w:rPr>
        <w:t xml:space="preserve">using an extended model duration </w:t>
      </w:r>
      <w:r w:rsidR="00086408">
        <w:rPr>
          <w:color w:val="auto"/>
        </w:rPr>
        <w:t>within the duration of the present study.</w:t>
      </w:r>
    </w:p>
    <w:p w14:paraId="2A43502A" w14:textId="77777777" w:rsidR="006C7121" w:rsidRPr="00B0618E" w:rsidRDefault="006C7121" w:rsidP="006B1D24">
      <w:pPr>
        <w:pStyle w:val="BodyText"/>
        <w:rPr>
          <w:color w:val="FF0000"/>
        </w:rPr>
      </w:pPr>
    </w:p>
    <w:p w14:paraId="03808AE9" w14:textId="283552B7" w:rsidR="00774C67" w:rsidRPr="00B0618E" w:rsidRDefault="00A532C3" w:rsidP="008E5D3E">
      <w:pPr>
        <w:pStyle w:val="BodyText"/>
        <w:keepNext/>
        <w:rPr>
          <w:b/>
          <w:color w:val="FF0000"/>
        </w:rPr>
      </w:pPr>
      <w:r>
        <w:rPr>
          <w:b/>
          <w:noProof/>
          <w:color w:val="FF0000"/>
        </w:rPr>
        <w:drawing>
          <wp:inline distT="0" distB="0" distL="0" distR="0" wp14:anchorId="71F55818" wp14:editId="6BEA03D9">
            <wp:extent cx="5758180" cy="2879090"/>
            <wp:effectExtent l="0" t="0" r="0" b="0"/>
            <wp:docPr id="132" name="Picture 132" descr="Chart of relative rankings of model parameter sensitivities" title="Fig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OWS_FAM\Models\Version6_SA_reanalysis_061016\Plot_bootstrap_outputs_v03_160217_ranks_tMXD.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58180" cy="2879090"/>
                    </a:xfrm>
                    <a:prstGeom prst="rect">
                      <a:avLst/>
                    </a:prstGeom>
                    <a:noFill/>
                    <a:ln>
                      <a:noFill/>
                    </a:ln>
                  </pic:spPr>
                </pic:pic>
              </a:graphicData>
            </a:graphic>
          </wp:inline>
        </w:drawing>
      </w:r>
    </w:p>
    <w:p w14:paraId="755DCC7B" w14:textId="015AEEA5" w:rsidR="00DD64D3" w:rsidRDefault="00135A92" w:rsidP="00DD64D3">
      <w:pPr>
        <w:pStyle w:val="Caption"/>
      </w:pPr>
      <w:bookmarkStart w:id="72" w:name="_Ref477361816"/>
      <w:bookmarkStart w:id="73" w:name="_Toc482034907"/>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6</w:t>
      </w:r>
      <w:r w:rsidR="00A2085C">
        <w:rPr>
          <w:noProof/>
        </w:rPr>
        <w:fldChar w:fldCharType="end"/>
      </w:r>
      <w:bookmarkEnd w:id="72"/>
      <w:r w:rsidRPr="00B0618E">
        <w:t xml:space="preserve">. </w:t>
      </w:r>
      <w:r w:rsidR="00DD64D3" w:rsidRPr="00B0618E">
        <w:t xml:space="preserve">Relative rankings of ten parameters used by the </w:t>
      </w:r>
      <w:r w:rsidR="00045A85">
        <w:t>CDM Smith (2016)</w:t>
      </w:r>
      <w:r w:rsidR="00DD64D3" w:rsidRPr="00B0618E">
        <w:t xml:space="preserve"> Gunnedah</w:t>
      </w:r>
      <w:r w:rsidR="004900B0">
        <w:t>-Surat</w:t>
      </w:r>
      <w:r w:rsidR="00DD64D3" w:rsidRPr="00B0618E">
        <w:t xml:space="preserve"> </w:t>
      </w:r>
      <w:r w:rsidR="004900B0">
        <w:t>b</w:t>
      </w:r>
      <w:r w:rsidR="00DD64D3" w:rsidRPr="00B0618E">
        <w:t>asin</w:t>
      </w:r>
      <w:r w:rsidR="004900B0">
        <w:t>s</w:t>
      </w:r>
      <w:r w:rsidR="00DD64D3" w:rsidRPr="00B0618E">
        <w:t xml:space="preserve"> groundwater flow model (</w:t>
      </w:r>
      <w:r w:rsidR="00797022" w:rsidRPr="00B0618E">
        <w:t xml:space="preserve">most sensitive = </w:t>
      </w:r>
      <w:r w:rsidR="00DD64D3" w:rsidRPr="00B0618E">
        <w:t xml:space="preserve">red, </w:t>
      </w:r>
      <w:r w:rsidR="00797022" w:rsidRPr="00B0618E">
        <w:t xml:space="preserve">second most sensitive = </w:t>
      </w:r>
      <w:r w:rsidR="00DD64D3" w:rsidRPr="00B0618E">
        <w:t xml:space="preserve">blue, </w:t>
      </w:r>
      <w:r w:rsidR="00797022" w:rsidRPr="00B0618E">
        <w:t xml:space="preserve">third most sensitive = </w:t>
      </w:r>
      <w:r w:rsidR="00DD64D3" w:rsidRPr="00B0618E">
        <w:t xml:space="preserve">green; </w:t>
      </w:r>
      <w:r w:rsidR="00797022" w:rsidRPr="00B0618E">
        <w:t>less sensitive parameters are</w:t>
      </w:r>
      <w:r w:rsidR="00DD64D3" w:rsidRPr="00B0618E">
        <w:t xml:space="preserve"> shown in grey) to which the prediction of the timing of maximum drawdown in the Pilliga Sandstone aquifer was most sensitive. Parameter rankings were based on two global sensitivity analysis metrics: (a) the Delta Moment-Independent Measure (</w:t>
      </w:r>
      <w:r w:rsidR="005C3666">
        <w:rPr>
          <w:i/>
        </w:rPr>
        <w:t>δ</w:t>
      </w:r>
      <w:r w:rsidR="00DD64D3" w:rsidRPr="00B0618E">
        <w:t>; Plischke et al., 201</w:t>
      </w:r>
      <w:r w:rsidR="00C82F89" w:rsidRPr="00B0618E">
        <w:t>3</w:t>
      </w:r>
      <w:r w:rsidR="00DD64D3" w:rsidRPr="00B0618E">
        <w:t>) and (b) the first order Sobol’ metric (</w:t>
      </w:r>
      <w:r w:rsidR="00DD64D3" w:rsidRPr="00B0618E">
        <w:rPr>
          <w:i/>
        </w:rPr>
        <w:t>S</w:t>
      </w:r>
      <w:r w:rsidR="00DD64D3" w:rsidRPr="00B0618E">
        <w:rPr>
          <w:vertAlign w:val="subscript"/>
        </w:rPr>
        <w:t>1</w:t>
      </w:r>
      <w:r w:rsidR="00DD64D3" w:rsidRPr="00B0618E">
        <w:t>; Sobol’, 2001). Sample sizes used as the basis for metric computation ranged from 200 to 300 model runs.</w:t>
      </w:r>
      <w:bookmarkEnd w:id="73"/>
    </w:p>
    <w:p w14:paraId="4BE022BA" w14:textId="77777777" w:rsidR="006C7121" w:rsidRPr="006C7121" w:rsidRDefault="006C7121" w:rsidP="006C7121">
      <w:pPr>
        <w:pStyle w:val="BodyText"/>
      </w:pPr>
    </w:p>
    <w:p w14:paraId="36CABA2D" w14:textId="4428D13B" w:rsidR="0063124F" w:rsidRDefault="004B2EBA" w:rsidP="0063124F">
      <w:pPr>
        <w:pStyle w:val="BodyText"/>
      </w:pPr>
      <w:r>
        <w:rPr>
          <w:noProof/>
        </w:rPr>
        <w:drawing>
          <wp:inline distT="0" distB="0" distL="0" distR="0" wp14:anchorId="481FA43A" wp14:editId="3E2565EC">
            <wp:extent cx="5758180" cy="2879090"/>
            <wp:effectExtent l="0" t="0" r="0" b="0"/>
            <wp:docPr id="151" name="Picture 151" descr="Chart of sensitivity of 30 model parameters" title="Fig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Y:\OWS_FAM\Models\Version6_SA_reanalysis_061016\Plot_GSA_metric_values_300_runs_070417_tMXD.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8180" cy="2879090"/>
                    </a:xfrm>
                    <a:prstGeom prst="rect">
                      <a:avLst/>
                    </a:prstGeom>
                    <a:noFill/>
                    <a:ln>
                      <a:noFill/>
                    </a:ln>
                  </pic:spPr>
                </pic:pic>
              </a:graphicData>
            </a:graphic>
          </wp:inline>
        </w:drawing>
      </w:r>
    </w:p>
    <w:p w14:paraId="0817D13B" w14:textId="03A891BA" w:rsidR="00797313" w:rsidRDefault="00797313" w:rsidP="00797313">
      <w:pPr>
        <w:pStyle w:val="Caption"/>
      </w:pPr>
      <w:bookmarkStart w:id="74" w:name="_Ref479498910"/>
      <w:bookmarkStart w:id="75" w:name="_Toc482034908"/>
      <w:r>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7</w:t>
      </w:r>
      <w:r w:rsidR="00A2085C">
        <w:rPr>
          <w:noProof/>
        </w:rPr>
        <w:fldChar w:fldCharType="end"/>
      </w:r>
      <w:bookmarkEnd w:id="74"/>
      <w:r>
        <w:t xml:space="preserve"> G</w:t>
      </w:r>
      <w:r w:rsidRPr="00B0618E">
        <w:t>lobal sensitivity analysis metrics</w:t>
      </w:r>
      <w:r>
        <w:t xml:space="preserve"> of all 30 model parameters in relation to time to maximum drawdown.</w:t>
      </w:r>
      <w:r w:rsidRPr="00B0618E">
        <w:t xml:space="preserve"> (a) Delta Moment-Independent Measure (</w:t>
      </w:r>
      <w:r w:rsidR="005C3666">
        <w:rPr>
          <w:i/>
        </w:rPr>
        <w:t>δ</w:t>
      </w:r>
      <w:r w:rsidRPr="00B0618E">
        <w:t>; Plischke et al., 2013) and (b) first order Sobol’ metric (</w:t>
      </w:r>
      <w:r w:rsidRPr="00B0618E">
        <w:rPr>
          <w:i/>
        </w:rPr>
        <w:t>S</w:t>
      </w:r>
      <w:r w:rsidRPr="00B0618E">
        <w:rPr>
          <w:vertAlign w:val="subscript"/>
        </w:rPr>
        <w:t>1</w:t>
      </w:r>
      <w:r w:rsidRPr="00B0618E">
        <w:t xml:space="preserve">; Sobol’, 2001). Sample size for metric computation </w:t>
      </w:r>
      <w:r w:rsidR="00A532C3">
        <w:t>was</w:t>
      </w:r>
      <w:r w:rsidR="00A532C3" w:rsidRPr="00B0618E">
        <w:t xml:space="preserve"> </w:t>
      </w:r>
      <w:r w:rsidRPr="00B0618E">
        <w:t>300 model runs.</w:t>
      </w:r>
      <w:bookmarkEnd w:id="75"/>
    </w:p>
    <w:p w14:paraId="3C259026" w14:textId="77777777" w:rsidR="00797313" w:rsidRPr="0063124F" w:rsidRDefault="00797313" w:rsidP="0063124F">
      <w:pPr>
        <w:pStyle w:val="BodyText"/>
      </w:pPr>
    </w:p>
    <w:p w14:paraId="2A7A8199" w14:textId="326E3F37" w:rsidR="004E5193" w:rsidRPr="00B0618E" w:rsidRDefault="004E5193" w:rsidP="007163D7">
      <w:pPr>
        <w:pStyle w:val="Heading3"/>
      </w:pPr>
      <w:r w:rsidRPr="00B0618E">
        <w:t xml:space="preserve">Prediction </w:t>
      </w:r>
      <w:r w:rsidR="007E1C69">
        <w:t xml:space="preserve">metric </w:t>
      </w:r>
      <w:r w:rsidRPr="00B0618E">
        <w:t xml:space="preserve">3: </w:t>
      </w:r>
      <w:r w:rsidR="00882D65" w:rsidRPr="00B0618E">
        <w:t xml:space="preserve">Spatial extent of drawdown </w:t>
      </w:r>
      <w:r w:rsidR="007163D7" w:rsidRPr="00B0618E">
        <w:t>propagation</w:t>
      </w:r>
    </w:p>
    <w:p w14:paraId="6BEAFCD9" w14:textId="32D0AB07" w:rsidR="005567A1" w:rsidRDefault="0056264C" w:rsidP="00E73233">
      <w:pPr>
        <w:pStyle w:val="BodyText"/>
      </w:pPr>
      <w:r w:rsidRPr="00B0618E">
        <w:t xml:space="preserve">The prediction of </w:t>
      </w:r>
      <w:r w:rsidR="00AD5FDB" w:rsidRPr="00B0618E">
        <w:t xml:space="preserve">the spatial extent of </w:t>
      </w:r>
      <w:r w:rsidR="00D84E89" w:rsidRPr="00B0618E">
        <w:t xml:space="preserve">drawdown </w:t>
      </w:r>
      <w:r w:rsidR="00AD5FDB" w:rsidRPr="00B0618E">
        <w:t>greater</w:t>
      </w:r>
      <w:r w:rsidR="004A0B4D" w:rsidRPr="00B0618E">
        <w:t xml:space="preserve"> than or equal to two metres </w:t>
      </w:r>
      <w:r w:rsidRPr="00B0618E">
        <w:t xml:space="preserve">was found to be most sensitive </w:t>
      </w:r>
      <w:r w:rsidR="00D84E89" w:rsidRPr="00B0618E">
        <w:t xml:space="preserve">to the </w:t>
      </w:r>
      <w:r w:rsidR="000B6D10" w:rsidRPr="00B0618E">
        <w:t xml:space="preserve">horizontal </w:t>
      </w:r>
      <w:r w:rsidR="00D84E89" w:rsidRPr="00B0618E">
        <w:rPr>
          <w:i/>
        </w:rPr>
        <w:t>K</w:t>
      </w:r>
      <w:r w:rsidR="00D84E89" w:rsidRPr="00B0618E">
        <w:t xml:space="preserve"> of the </w:t>
      </w:r>
      <w:r w:rsidR="00D84E89" w:rsidRPr="00B0618E">
        <w:rPr>
          <w:color w:val="auto"/>
        </w:rPr>
        <w:t>Namoi Alluvium aquifer</w:t>
      </w:r>
      <w:r w:rsidR="000F7F7F">
        <w:rPr>
          <w:color w:val="auto"/>
        </w:rPr>
        <w:t xml:space="preserve"> </w:t>
      </w:r>
      <w:r w:rsidR="000F7F7F" w:rsidRPr="00B0618E">
        <w:rPr>
          <w:color w:val="auto"/>
        </w:rPr>
        <w:t>(</w:t>
      </w:r>
      <w:r w:rsidR="000F7F7F" w:rsidRPr="00B0618E">
        <w:rPr>
          <w:i/>
          <w:color w:val="auto"/>
        </w:rPr>
        <w:t>K</w:t>
      </w:r>
      <w:r w:rsidR="000F7F7F" w:rsidRPr="00B0618E">
        <w:rPr>
          <w:i/>
          <w:color w:val="auto"/>
          <w:vertAlign w:val="subscript"/>
        </w:rPr>
        <w:t>H</w:t>
      </w:r>
      <w:r w:rsidR="000F7F7F" w:rsidRPr="00B0618E">
        <w:rPr>
          <w:color w:val="auto"/>
        </w:rPr>
        <w:t>01)</w:t>
      </w:r>
      <w:r w:rsidR="004900B0">
        <w:rPr>
          <w:color w:val="auto"/>
        </w:rPr>
        <w:t>,</w:t>
      </w:r>
      <w:r w:rsidR="000F7F7F">
        <w:rPr>
          <w:color w:val="auto"/>
        </w:rPr>
        <w:t xml:space="preserve"> </w:t>
      </w:r>
      <w:r w:rsidR="000F7F7F">
        <w:t>which w</w:t>
      </w:r>
      <w:r w:rsidR="00167D0D">
        <w:t>as</w:t>
      </w:r>
      <w:r w:rsidR="00D84E89" w:rsidRPr="00B0618E">
        <w:t xml:space="preserve"> consistently ranked as the most influential parameter with increasing sample size</w:t>
      </w:r>
      <w:r w:rsidR="000F7F7F">
        <w:t xml:space="preserve"> (</w:t>
      </w:r>
      <w:r w:rsidR="000F7F7F">
        <w:fldChar w:fldCharType="begin"/>
      </w:r>
      <w:r w:rsidR="000F7F7F">
        <w:instrText xml:space="preserve"> REF _Ref477361733 \h </w:instrText>
      </w:r>
      <w:r w:rsidR="000F7F7F">
        <w:fldChar w:fldCharType="separate"/>
      </w:r>
      <w:r w:rsidR="000B6FA5" w:rsidRPr="00B0618E">
        <w:t xml:space="preserve">Figure </w:t>
      </w:r>
      <w:r w:rsidR="000B6FA5">
        <w:rPr>
          <w:noProof/>
        </w:rPr>
        <w:t>3</w:t>
      </w:r>
      <w:r w:rsidR="000B6FA5">
        <w:noBreakHyphen/>
      </w:r>
      <w:r w:rsidR="000B6FA5">
        <w:rPr>
          <w:noProof/>
        </w:rPr>
        <w:t>8</w:t>
      </w:r>
      <w:r w:rsidR="000F7F7F">
        <w:fldChar w:fldCharType="end"/>
      </w:r>
      <w:r w:rsidR="000F7F7F">
        <w:t>a, b)</w:t>
      </w:r>
      <w:r w:rsidR="00057438" w:rsidRPr="00B0618E">
        <w:t xml:space="preserve">. </w:t>
      </w:r>
      <w:r w:rsidR="005567A1">
        <w:t xml:space="preserve">For interpretation of this result with regards to the structure of the groundwater flow model, see Section </w:t>
      </w:r>
      <w:r w:rsidR="005567A1">
        <w:fldChar w:fldCharType="begin"/>
      </w:r>
      <w:r w:rsidR="005567A1">
        <w:instrText xml:space="preserve"> REF _Ref476231200 \r \h </w:instrText>
      </w:r>
      <w:r w:rsidR="005567A1">
        <w:fldChar w:fldCharType="separate"/>
      </w:r>
      <w:r w:rsidR="000B6FA5">
        <w:t>3.5.1</w:t>
      </w:r>
      <w:r w:rsidR="005567A1">
        <w:fldChar w:fldCharType="end"/>
      </w:r>
      <w:r w:rsidR="005567A1">
        <w:t>.</w:t>
      </w:r>
      <w:r w:rsidR="00167D0D">
        <w:t xml:space="preserve"> Sobol’ analyses also indicated consistent sensitivity to the horizontal </w:t>
      </w:r>
      <w:r w:rsidR="00167D0D" w:rsidRPr="006025C8">
        <w:rPr>
          <w:i/>
        </w:rPr>
        <w:t>K</w:t>
      </w:r>
      <w:r w:rsidR="00167D0D">
        <w:t xml:space="preserve"> of the Maules Creek Formation interburden (</w:t>
      </w:r>
      <w:r w:rsidR="00167D0D" w:rsidRPr="00B0618E">
        <w:rPr>
          <w:i/>
          <w:color w:val="auto"/>
        </w:rPr>
        <w:t>K</w:t>
      </w:r>
      <w:r w:rsidR="00167D0D" w:rsidRPr="00B0618E">
        <w:rPr>
          <w:i/>
          <w:color w:val="auto"/>
          <w:vertAlign w:val="subscript"/>
        </w:rPr>
        <w:t>H</w:t>
      </w:r>
      <w:r w:rsidR="00167D0D">
        <w:rPr>
          <w:color w:val="auto"/>
        </w:rPr>
        <w:t>08</w:t>
      </w:r>
      <w:r w:rsidR="00167D0D">
        <w:t>) (</w:t>
      </w:r>
      <w:r w:rsidR="00167D0D">
        <w:fldChar w:fldCharType="begin"/>
      </w:r>
      <w:r w:rsidR="00167D0D">
        <w:instrText xml:space="preserve"> REF _Ref479499878 \h </w:instrText>
      </w:r>
      <w:r w:rsidR="00167D0D">
        <w:fldChar w:fldCharType="separate"/>
      </w:r>
      <w:r w:rsidR="000B6FA5">
        <w:t xml:space="preserve">Figure </w:t>
      </w:r>
      <w:r w:rsidR="000B6FA5">
        <w:rPr>
          <w:noProof/>
        </w:rPr>
        <w:t>3</w:t>
      </w:r>
      <w:r w:rsidR="000B6FA5">
        <w:noBreakHyphen/>
      </w:r>
      <w:r w:rsidR="000B6FA5">
        <w:rPr>
          <w:noProof/>
        </w:rPr>
        <w:t>9</w:t>
      </w:r>
      <w:r w:rsidR="00167D0D">
        <w:fldChar w:fldCharType="end"/>
      </w:r>
      <w:r w:rsidR="00167D0D">
        <w:t>b).</w:t>
      </w:r>
    </w:p>
    <w:p w14:paraId="38CA8840" w14:textId="5A19C9E0" w:rsidR="00766564" w:rsidRPr="00B0618E" w:rsidRDefault="00057438" w:rsidP="00E73233">
      <w:pPr>
        <w:pStyle w:val="BodyText"/>
      </w:pPr>
      <w:r w:rsidRPr="00B0618E">
        <w:rPr>
          <w:color w:val="auto"/>
        </w:rPr>
        <w:t>Th</w:t>
      </w:r>
      <w:r w:rsidR="000F7F7F">
        <w:rPr>
          <w:color w:val="auto"/>
        </w:rPr>
        <w:t>e</w:t>
      </w:r>
      <w:r w:rsidRPr="00B0618E">
        <w:rPr>
          <w:color w:val="auto"/>
        </w:rPr>
        <w:t xml:space="preserve"> </w:t>
      </w:r>
      <w:r w:rsidR="000F7F7F" w:rsidRPr="00B0618E">
        <w:rPr>
          <w:i/>
          <w:color w:val="auto"/>
        </w:rPr>
        <w:t>K</w:t>
      </w:r>
      <w:r w:rsidR="000F7F7F" w:rsidRPr="00B0618E">
        <w:rPr>
          <w:i/>
          <w:color w:val="auto"/>
          <w:vertAlign w:val="subscript"/>
        </w:rPr>
        <w:t>H</w:t>
      </w:r>
      <w:r w:rsidR="000F7F7F" w:rsidRPr="00B0618E">
        <w:rPr>
          <w:color w:val="auto"/>
        </w:rPr>
        <w:t>01</w:t>
      </w:r>
      <w:r w:rsidR="000F7F7F">
        <w:rPr>
          <w:color w:val="auto"/>
        </w:rPr>
        <w:t xml:space="preserve"> </w:t>
      </w:r>
      <w:r w:rsidRPr="00B0618E">
        <w:rPr>
          <w:color w:val="auto"/>
        </w:rPr>
        <w:t xml:space="preserve">parameter </w:t>
      </w:r>
      <w:r w:rsidR="000F7F7F">
        <w:rPr>
          <w:color w:val="auto"/>
        </w:rPr>
        <w:t xml:space="preserve">had significantly larger </w:t>
      </w:r>
      <w:r w:rsidR="005C3666">
        <w:rPr>
          <w:i/>
          <w:color w:val="auto"/>
        </w:rPr>
        <w:t>δ</w:t>
      </w:r>
      <w:r w:rsidRPr="00B0618E">
        <w:rPr>
          <w:i/>
          <w:color w:val="auto"/>
        </w:rPr>
        <w:t xml:space="preserve"> </w:t>
      </w:r>
      <w:r w:rsidRPr="00B0618E">
        <w:rPr>
          <w:color w:val="auto"/>
        </w:rPr>
        <w:t xml:space="preserve">and </w:t>
      </w:r>
      <w:r w:rsidRPr="00B0618E">
        <w:rPr>
          <w:i/>
          <w:color w:val="auto"/>
        </w:rPr>
        <w:t>S</w:t>
      </w:r>
      <w:r w:rsidRPr="00B0618E">
        <w:rPr>
          <w:color w:val="auto"/>
          <w:vertAlign w:val="subscript"/>
        </w:rPr>
        <w:t>1</w:t>
      </w:r>
      <w:r w:rsidRPr="00B0618E">
        <w:rPr>
          <w:color w:val="auto"/>
        </w:rPr>
        <w:t xml:space="preserve"> values (</w:t>
      </w:r>
      <w:r w:rsidR="000F7F7F" w:rsidRPr="00B0618E">
        <w:rPr>
          <w:color w:val="auto"/>
        </w:rPr>
        <w:t>0.125</w:t>
      </w:r>
      <w:r w:rsidR="000F7F7F">
        <w:rPr>
          <w:color w:val="auto"/>
        </w:rPr>
        <w:t xml:space="preserve"> and </w:t>
      </w:r>
      <w:r w:rsidRPr="00B0618E">
        <w:rPr>
          <w:color w:val="auto"/>
        </w:rPr>
        <w:t>0.101, respectively) across all parameters</w:t>
      </w:r>
      <w:r w:rsidR="002E1958" w:rsidRPr="00B0618E">
        <w:t xml:space="preserve"> (</w:t>
      </w:r>
      <w:r w:rsidR="000F7F7F">
        <w:fldChar w:fldCharType="begin"/>
      </w:r>
      <w:r w:rsidR="000F7F7F">
        <w:instrText xml:space="preserve"> REF _Ref479499878 \h </w:instrText>
      </w:r>
      <w:r w:rsidR="000F7F7F">
        <w:fldChar w:fldCharType="separate"/>
      </w:r>
      <w:r w:rsidR="000B6FA5">
        <w:t xml:space="preserve">Figure </w:t>
      </w:r>
      <w:r w:rsidR="000B6FA5">
        <w:rPr>
          <w:noProof/>
        </w:rPr>
        <w:t>3</w:t>
      </w:r>
      <w:r w:rsidR="000B6FA5">
        <w:noBreakHyphen/>
      </w:r>
      <w:r w:rsidR="000B6FA5">
        <w:rPr>
          <w:noProof/>
        </w:rPr>
        <w:t>9</w:t>
      </w:r>
      <w:r w:rsidR="000F7F7F">
        <w:fldChar w:fldCharType="end"/>
      </w:r>
      <w:r w:rsidR="000F7F7F">
        <w:t>a, b</w:t>
      </w:r>
      <w:r w:rsidR="002E1958" w:rsidRPr="00B0618E">
        <w:t>)</w:t>
      </w:r>
      <w:r w:rsidR="00D84E89" w:rsidRPr="00B0618E">
        <w:t xml:space="preserve">. </w:t>
      </w:r>
      <w:r w:rsidR="006B1D24" w:rsidRPr="00B0618E">
        <w:t xml:space="preserve">The values of both sensitivity metrics for this </w:t>
      </w:r>
      <w:r w:rsidR="00F41252">
        <w:t xml:space="preserve">model </w:t>
      </w:r>
      <w:r w:rsidR="006B1D24" w:rsidRPr="00B0618E">
        <w:t xml:space="preserve">parameter were </w:t>
      </w:r>
      <w:r w:rsidR="000F7F7F">
        <w:t xml:space="preserve">significantly larger </w:t>
      </w:r>
      <w:r w:rsidR="006B1D24" w:rsidRPr="00B0618E">
        <w:t>than all other</w:t>
      </w:r>
      <w:r w:rsidR="000F7F7F">
        <w:t xml:space="preserve"> model parameters</w:t>
      </w:r>
      <w:r w:rsidR="006B1D24" w:rsidRPr="00B0618E">
        <w:t xml:space="preserve">. </w:t>
      </w:r>
      <w:r w:rsidR="00C82F89" w:rsidRPr="00B0618E">
        <w:t>DMIM</w:t>
      </w:r>
      <w:r w:rsidR="00766564" w:rsidRPr="00B0618E">
        <w:t xml:space="preserve"> </w:t>
      </w:r>
      <w:r w:rsidR="005C3666">
        <w:rPr>
          <w:i/>
        </w:rPr>
        <w:t>δ</w:t>
      </w:r>
      <w:r w:rsidR="00766564" w:rsidRPr="00B0618E">
        <w:t xml:space="preserve"> values ranged from 0.062 to 0.089 for the remainder of the parameters examined</w:t>
      </w:r>
      <w:r w:rsidR="000F7F7F">
        <w:t xml:space="preserve"> (</w:t>
      </w:r>
      <w:r w:rsidR="000F7F7F">
        <w:fldChar w:fldCharType="begin"/>
      </w:r>
      <w:r w:rsidR="000F7F7F">
        <w:instrText xml:space="preserve"> REF _Ref479499878 \h </w:instrText>
      </w:r>
      <w:r w:rsidR="000F7F7F">
        <w:fldChar w:fldCharType="separate"/>
      </w:r>
      <w:r w:rsidR="000B6FA5">
        <w:t xml:space="preserve">Figure </w:t>
      </w:r>
      <w:r w:rsidR="000B6FA5">
        <w:rPr>
          <w:noProof/>
        </w:rPr>
        <w:t>3</w:t>
      </w:r>
      <w:r w:rsidR="000B6FA5">
        <w:noBreakHyphen/>
      </w:r>
      <w:r w:rsidR="000B6FA5">
        <w:rPr>
          <w:noProof/>
        </w:rPr>
        <w:t>9</w:t>
      </w:r>
      <w:r w:rsidR="000F7F7F">
        <w:fldChar w:fldCharType="end"/>
      </w:r>
      <w:r w:rsidR="000F7F7F">
        <w:t>a)</w:t>
      </w:r>
      <w:r w:rsidR="00766564" w:rsidRPr="00B0618E">
        <w:t xml:space="preserve">. </w:t>
      </w:r>
    </w:p>
    <w:p w14:paraId="4CD9C588" w14:textId="04761F69" w:rsidR="0056264C" w:rsidRPr="00B0618E" w:rsidRDefault="007E1C69" w:rsidP="00E73233">
      <w:pPr>
        <w:pStyle w:val="BodyText"/>
        <w:rPr>
          <w:color w:val="auto"/>
        </w:rPr>
      </w:pPr>
      <w:r>
        <w:rPr>
          <w:color w:val="auto"/>
        </w:rPr>
        <w:t xml:space="preserve">As shown previously in Section </w:t>
      </w:r>
      <w:r>
        <w:rPr>
          <w:color w:val="auto"/>
        </w:rPr>
        <w:fldChar w:fldCharType="begin"/>
      </w:r>
      <w:r>
        <w:rPr>
          <w:color w:val="auto"/>
        </w:rPr>
        <w:instrText xml:space="preserve"> REF _Ref479500438 \r \h </w:instrText>
      </w:r>
      <w:r>
        <w:rPr>
          <w:color w:val="auto"/>
        </w:rPr>
      </w:r>
      <w:r>
        <w:rPr>
          <w:color w:val="auto"/>
        </w:rPr>
        <w:fldChar w:fldCharType="separate"/>
      </w:r>
      <w:r w:rsidR="000B6FA5">
        <w:rPr>
          <w:color w:val="auto"/>
        </w:rPr>
        <w:t>3.6.4</w:t>
      </w:r>
      <w:r>
        <w:rPr>
          <w:color w:val="auto"/>
        </w:rPr>
        <w:fldChar w:fldCharType="end"/>
      </w:r>
      <w:r>
        <w:rPr>
          <w:color w:val="auto"/>
        </w:rPr>
        <w:t>, t</w:t>
      </w:r>
      <w:r w:rsidR="00E73233" w:rsidRPr="00B0618E">
        <w:rPr>
          <w:color w:val="auto"/>
        </w:rPr>
        <w:t>he uncertainty of this prediction did not vary significantly with increasing sample size</w:t>
      </w:r>
      <w:r w:rsidR="00F47633" w:rsidRPr="00B0618E">
        <w:rPr>
          <w:color w:val="auto"/>
        </w:rPr>
        <w:t xml:space="preserve"> (</w:t>
      </w:r>
      <w:r w:rsidR="00564555" w:rsidRPr="00B0618E">
        <w:rPr>
          <w:color w:val="auto"/>
        </w:rPr>
        <w:fldChar w:fldCharType="begin"/>
      </w:r>
      <w:r w:rsidR="00564555" w:rsidRPr="00B0618E">
        <w:rPr>
          <w:color w:val="auto"/>
        </w:rPr>
        <w:instrText xml:space="preserve"> REF _Ref467659115 \h </w:instrText>
      </w:r>
      <w:r w:rsidR="00B0618E">
        <w:rPr>
          <w:color w:val="auto"/>
        </w:rPr>
        <w:instrText xml:space="preserve"> \* MERGEFORMAT </w:instrText>
      </w:r>
      <w:r w:rsidR="00564555" w:rsidRPr="00B0618E">
        <w:rPr>
          <w:color w:val="auto"/>
        </w:rPr>
      </w:r>
      <w:r w:rsidR="00564555" w:rsidRPr="00B0618E">
        <w:rPr>
          <w:color w:val="auto"/>
        </w:rPr>
        <w:fldChar w:fldCharType="separate"/>
      </w:r>
      <w:r w:rsidR="000B6FA5" w:rsidRPr="00B0618E">
        <w:t xml:space="preserve">Figure </w:t>
      </w:r>
      <w:r w:rsidR="000B6FA5">
        <w:rPr>
          <w:noProof/>
        </w:rPr>
        <w:t>3</w:t>
      </w:r>
      <w:r w:rsidR="000B6FA5">
        <w:rPr>
          <w:noProof/>
        </w:rPr>
        <w:noBreakHyphen/>
        <w:t>3</w:t>
      </w:r>
      <w:r w:rsidR="00564555" w:rsidRPr="00B0618E">
        <w:rPr>
          <w:color w:val="auto"/>
        </w:rPr>
        <w:fldChar w:fldCharType="end"/>
      </w:r>
      <w:r w:rsidR="00F47633" w:rsidRPr="00B0618E">
        <w:rPr>
          <w:color w:val="auto"/>
        </w:rPr>
        <w:t>)</w:t>
      </w:r>
      <w:r w:rsidR="00E73233" w:rsidRPr="00B0618E">
        <w:rPr>
          <w:color w:val="auto"/>
        </w:rPr>
        <w:t xml:space="preserve">. </w:t>
      </w:r>
      <w:r w:rsidR="001532B1" w:rsidRPr="00B0618E">
        <w:rPr>
          <w:color w:val="auto"/>
        </w:rPr>
        <w:t xml:space="preserve">Predicted values ranged from </w:t>
      </w:r>
      <w:r w:rsidR="00787438" w:rsidRPr="00B0618E">
        <w:rPr>
          <w:color w:val="auto"/>
        </w:rPr>
        <w:t>zero to 102 cells</w:t>
      </w:r>
      <w:r w:rsidR="00D52BFD" w:rsidRPr="00B0618E">
        <w:rPr>
          <w:color w:val="auto"/>
        </w:rPr>
        <w:t xml:space="preserve"> displaying drawdowns ≥ 2 m</w:t>
      </w:r>
      <w:r w:rsidR="001532B1" w:rsidRPr="00B0618E">
        <w:rPr>
          <w:color w:val="auto"/>
        </w:rPr>
        <w:t xml:space="preserve">. </w:t>
      </w:r>
      <w:r w:rsidR="00E73233" w:rsidRPr="00B0618E">
        <w:rPr>
          <w:color w:val="auto"/>
        </w:rPr>
        <w:t>Th</w:t>
      </w:r>
      <w:r w:rsidR="00513469" w:rsidRPr="00B0618E">
        <w:rPr>
          <w:color w:val="auto"/>
        </w:rPr>
        <w:t>e 10</w:t>
      </w:r>
      <w:r w:rsidR="00E73233" w:rsidRPr="00B0618E">
        <w:rPr>
          <w:color w:val="auto"/>
          <w:vertAlign w:val="superscript"/>
        </w:rPr>
        <w:t>th</w:t>
      </w:r>
      <w:r w:rsidR="00E73233" w:rsidRPr="00B0618E">
        <w:rPr>
          <w:color w:val="auto"/>
        </w:rPr>
        <w:t xml:space="preserve"> percentile</w:t>
      </w:r>
      <w:r w:rsidR="004A0512" w:rsidRPr="00B0618E">
        <w:rPr>
          <w:color w:val="auto"/>
        </w:rPr>
        <w:t xml:space="preserve"> and </w:t>
      </w:r>
      <w:r w:rsidR="00E73233" w:rsidRPr="00B0618E">
        <w:rPr>
          <w:color w:val="auto"/>
        </w:rPr>
        <w:t>median value</w:t>
      </w:r>
      <w:r w:rsidR="004A0512" w:rsidRPr="00B0618E">
        <w:rPr>
          <w:color w:val="auto"/>
        </w:rPr>
        <w:t xml:space="preserve">s were consistently zero </w:t>
      </w:r>
      <w:r w:rsidR="00B12311" w:rsidRPr="00B0618E">
        <w:rPr>
          <w:color w:val="auto"/>
        </w:rPr>
        <w:t>(i.e.</w:t>
      </w:r>
      <w:r w:rsidR="00AD5FDB" w:rsidRPr="00B0618E">
        <w:rPr>
          <w:color w:val="auto"/>
        </w:rPr>
        <w:t>,</w:t>
      </w:r>
      <w:r w:rsidR="00B12311" w:rsidRPr="00B0618E">
        <w:rPr>
          <w:color w:val="auto"/>
        </w:rPr>
        <w:t xml:space="preserve"> no model </w:t>
      </w:r>
      <w:r w:rsidR="004A0512" w:rsidRPr="00B0618E">
        <w:rPr>
          <w:color w:val="auto"/>
        </w:rPr>
        <w:t>cells</w:t>
      </w:r>
      <w:r w:rsidR="00B12311" w:rsidRPr="00B0618E">
        <w:rPr>
          <w:color w:val="auto"/>
        </w:rPr>
        <w:t xml:space="preserve"> </w:t>
      </w:r>
      <w:r w:rsidR="00AD5FDB" w:rsidRPr="00B0618E">
        <w:rPr>
          <w:color w:val="auto"/>
        </w:rPr>
        <w:t xml:space="preserve">featured </w:t>
      </w:r>
      <w:r w:rsidR="00B12311" w:rsidRPr="00B0618E">
        <w:rPr>
          <w:color w:val="auto"/>
        </w:rPr>
        <w:t xml:space="preserve">drawdown ≥ 2 m) </w:t>
      </w:r>
      <w:r w:rsidR="004A0512" w:rsidRPr="00B0618E">
        <w:rPr>
          <w:color w:val="auto"/>
        </w:rPr>
        <w:t xml:space="preserve">and </w:t>
      </w:r>
      <w:r w:rsidR="00E73233" w:rsidRPr="00B0618E">
        <w:rPr>
          <w:color w:val="auto"/>
        </w:rPr>
        <w:t>th</w:t>
      </w:r>
      <w:r w:rsidR="00513469" w:rsidRPr="00B0618E">
        <w:rPr>
          <w:color w:val="auto"/>
        </w:rPr>
        <w:t>e 90</w:t>
      </w:r>
      <w:r w:rsidR="00E73233" w:rsidRPr="00B0618E">
        <w:rPr>
          <w:color w:val="auto"/>
          <w:vertAlign w:val="superscript"/>
        </w:rPr>
        <w:t>th</w:t>
      </w:r>
      <w:r w:rsidR="00E73233" w:rsidRPr="00B0618E">
        <w:rPr>
          <w:color w:val="auto"/>
        </w:rPr>
        <w:t xml:space="preserve"> percentile value</w:t>
      </w:r>
      <w:r w:rsidR="004A0512" w:rsidRPr="00B0618E">
        <w:rPr>
          <w:color w:val="auto"/>
        </w:rPr>
        <w:t xml:space="preserve"> was consistently 60 cells</w:t>
      </w:r>
      <w:r w:rsidR="00B12311" w:rsidRPr="00B0618E">
        <w:rPr>
          <w:color w:val="auto"/>
        </w:rPr>
        <w:t xml:space="preserve"> </w:t>
      </w:r>
      <w:r w:rsidR="00AD5FDB" w:rsidRPr="00B0618E">
        <w:rPr>
          <w:color w:val="auto"/>
        </w:rPr>
        <w:t xml:space="preserve">with </w:t>
      </w:r>
      <w:r w:rsidR="00B12311" w:rsidRPr="00B0618E">
        <w:rPr>
          <w:color w:val="auto"/>
        </w:rPr>
        <w:t>drawdown ≥ 2 m</w:t>
      </w:r>
      <w:r w:rsidR="00E73233" w:rsidRPr="00B0618E">
        <w:rPr>
          <w:color w:val="auto"/>
        </w:rPr>
        <w:t>.</w:t>
      </w:r>
    </w:p>
    <w:p w14:paraId="597BDAC8" w14:textId="66249087" w:rsidR="00774C67" w:rsidRPr="00B0618E" w:rsidRDefault="00A532C3" w:rsidP="007E1C69">
      <w:pPr>
        <w:pStyle w:val="BodyText"/>
        <w:keepNext/>
        <w:jc w:val="center"/>
      </w:pPr>
      <w:r>
        <w:rPr>
          <w:noProof/>
        </w:rPr>
        <w:drawing>
          <wp:inline distT="0" distB="0" distL="0" distR="0" wp14:anchorId="4B5883DF" wp14:editId="35D3D629">
            <wp:extent cx="5758180" cy="2879090"/>
            <wp:effectExtent l="0" t="0" r="0" b="0"/>
            <wp:docPr id="134" name="Picture 134" descr="Chart of relative rankings of model parameter sensitivities" title="Fig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OWS_FAM\Models\Version6_SA_reanalysis_061016\Plot_bootstrap_outputs_v03_160217_ranks_NDD.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8180" cy="2879090"/>
                    </a:xfrm>
                    <a:prstGeom prst="rect">
                      <a:avLst/>
                    </a:prstGeom>
                    <a:noFill/>
                    <a:ln>
                      <a:noFill/>
                    </a:ln>
                  </pic:spPr>
                </pic:pic>
              </a:graphicData>
            </a:graphic>
          </wp:inline>
        </w:drawing>
      </w:r>
    </w:p>
    <w:p w14:paraId="7F850577" w14:textId="74EB48F6" w:rsidR="00135A92" w:rsidRDefault="00135A92" w:rsidP="00135A92">
      <w:pPr>
        <w:pStyle w:val="Caption"/>
      </w:pPr>
      <w:bookmarkStart w:id="76" w:name="_Ref477361733"/>
      <w:bookmarkStart w:id="77" w:name="_Toc482034909"/>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8</w:t>
      </w:r>
      <w:r w:rsidR="00A2085C">
        <w:rPr>
          <w:noProof/>
        </w:rPr>
        <w:fldChar w:fldCharType="end"/>
      </w:r>
      <w:bookmarkEnd w:id="76"/>
      <w:r w:rsidRPr="00B0618E">
        <w:t xml:space="preserve">. </w:t>
      </w:r>
      <w:r w:rsidR="00DD64D3" w:rsidRPr="00B0618E">
        <w:t xml:space="preserve">Relative rankings of ten parameters used by the </w:t>
      </w:r>
      <w:r w:rsidR="00045A85">
        <w:t>CDM Smith (2016)</w:t>
      </w:r>
      <w:r w:rsidR="00DD64D3" w:rsidRPr="00B0618E">
        <w:t xml:space="preserve"> Gunnedah</w:t>
      </w:r>
      <w:r w:rsidR="00881B5C">
        <w:t>-Surat</w:t>
      </w:r>
      <w:r w:rsidR="00DD64D3" w:rsidRPr="00B0618E">
        <w:t xml:space="preserve"> </w:t>
      </w:r>
      <w:r w:rsidR="00881B5C">
        <w:t>b</w:t>
      </w:r>
      <w:r w:rsidR="00DD64D3" w:rsidRPr="00B0618E">
        <w:t>asin</w:t>
      </w:r>
      <w:r w:rsidR="00881B5C">
        <w:t>s</w:t>
      </w:r>
      <w:r w:rsidR="00DD64D3" w:rsidRPr="00B0618E">
        <w:t xml:space="preserve"> groundwater flow model (</w:t>
      </w:r>
      <w:r w:rsidR="007F3092" w:rsidRPr="00B0618E">
        <w:t xml:space="preserve">most sensitive = </w:t>
      </w:r>
      <w:r w:rsidR="00DD64D3" w:rsidRPr="00B0618E">
        <w:t xml:space="preserve">red, </w:t>
      </w:r>
      <w:r w:rsidR="007F3092" w:rsidRPr="00B0618E">
        <w:t xml:space="preserve">second most sensitive = </w:t>
      </w:r>
      <w:r w:rsidR="00DD64D3" w:rsidRPr="00B0618E">
        <w:t xml:space="preserve">blue, </w:t>
      </w:r>
      <w:r w:rsidR="007F3092" w:rsidRPr="00B0618E">
        <w:t xml:space="preserve">third most sensitive = </w:t>
      </w:r>
      <w:r w:rsidR="00DD64D3" w:rsidRPr="00B0618E">
        <w:t xml:space="preserve">green; </w:t>
      </w:r>
      <w:r w:rsidR="007F3092" w:rsidRPr="00B0618E">
        <w:t>less sensitive parameters are</w:t>
      </w:r>
      <w:r w:rsidR="00DD64D3" w:rsidRPr="00B0618E">
        <w:t xml:space="preserve"> shown in grey) to which the prediction of drawdown spatial extent in the Pilliga Sandstone aquifer was most sensitive. Parameter rankings were based on two global sensitivity analysis metrics: (a) the Delta Moment-Independent Measure (</w:t>
      </w:r>
      <w:r w:rsidR="005C3666">
        <w:rPr>
          <w:i/>
        </w:rPr>
        <w:t>δ</w:t>
      </w:r>
      <w:r w:rsidR="00DD64D3" w:rsidRPr="00B0618E">
        <w:t>; Plischke et al., 201</w:t>
      </w:r>
      <w:r w:rsidR="00C82F89" w:rsidRPr="00B0618E">
        <w:t>3</w:t>
      </w:r>
      <w:r w:rsidR="00DD64D3" w:rsidRPr="00B0618E">
        <w:t>) and (b) the first order Sobol’ metric (</w:t>
      </w:r>
      <w:r w:rsidR="00DD64D3" w:rsidRPr="00B0618E">
        <w:rPr>
          <w:i/>
        </w:rPr>
        <w:t>S</w:t>
      </w:r>
      <w:r w:rsidR="00DD64D3" w:rsidRPr="00B0618E">
        <w:rPr>
          <w:vertAlign w:val="subscript"/>
        </w:rPr>
        <w:t>1</w:t>
      </w:r>
      <w:r w:rsidR="00DD64D3" w:rsidRPr="00B0618E">
        <w:t>; Sobol’, 2001). Sample sizes used as the basis for metric computation ranged from 200 to 300 model runs.</w:t>
      </w:r>
      <w:bookmarkEnd w:id="77"/>
    </w:p>
    <w:p w14:paraId="5EBD5F97" w14:textId="77777777" w:rsidR="004A2CE9" w:rsidRPr="004A2CE9" w:rsidRDefault="004A2CE9" w:rsidP="006025C8">
      <w:pPr>
        <w:pStyle w:val="BodyText"/>
      </w:pPr>
    </w:p>
    <w:p w14:paraId="3BFC52D9" w14:textId="01B6F230" w:rsidR="0063124F" w:rsidRDefault="004B2EBA" w:rsidP="007E1C69">
      <w:pPr>
        <w:pStyle w:val="BodyText"/>
        <w:jc w:val="center"/>
      </w:pPr>
      <w:r>
        <w:rPr>
          <w:noProof/>
        </w:rPr>
        <w:drawing>
          <wp:inline distT="0" distB="0" distL="0" distR="0" wp14:anchorId="0D8EA754" wp14:editId="64CB8D98">
            <wp:extent cx="5758180" cy="2879090"/>
            <wp:effectExtent l="0" t="0" r="0" b="0"/>
            <wp:docPr id="152" name="Picture 152" descr="Chart of sensitivity of 30 model parameters" title="Fig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Y:\OWS_FAM\Models\Version6_SA_reanalysis_061016\Plot_GSA_metric_values_300_runs_070417_NDD.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8180" cy="2879090"/>
                    </a:xfrm>
                    <a:prstGeom prst="rect">
                      <a:avLst/>
                    </a:prstGeom>
                    <a:noFill/>
                    <a:ln>
                      <a:noFill/>
                    </a:ln>
                  </pic:spPr>
                </pic:pic>
              </a:graphicData>
            </a:graphic>
          </wp:inline>
        </w:drawing>
      </w:r>
    </w:p>
    <w:p w14:paraId="1CCCE1A4" w14:textId="3FC1AA21" w:rsidR="00797313" w:rsidRDefault="00797313" w:rsidP="00797313">
      <w:pPr>
        <w:pStyle w:val="Caption"/>
      </w:pPr>
      <w:bookmarkStart w:id="78" w:name="_Ref479499878"/>
      <w:bookmarkStart w:id="79" w:name="_Toc482034910"/>
      <w:r>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9</w:t>
      </w:r>
      <w:r w:rsidR="00A2085C">
        <w:rPr>
          <w:noProof/>
        </w:rPr>
        <w:fldChar w:fldCharType="end"/>
      </w:r>
      <w:bookmarkEnd w:id="78"/>
      <w:r>
        <w:t xml:space="preserve"> G</w:t>
      </w:r>
      <w:r w:rsidRPr="00B0618E">
        <w:t>lobal sensitivity analysis metrics</w:t>
      </w:r>
      <w:r>
        <w:t xml:space="preserve"> of all 30 model parameters in relation to spatial extent of maximum drawdown.</w:t>
      </w:r>
      <w:r w:rsidRPr="00B0618E">
        <w:t xml:space="preserve"> (a) Delta Moment-Independent Measure (</w:t>
      </w:r>
      <w:r w:rsidR="005C3666">
        <w:rPr>
          <w:i/>
        </w:rPr>
        <w:t>δ</w:t>
      </w:r>
      <w:r w:rsidRPr="00B0618E">
        <w:t>; Plischke et al., 2013) and (b) first order Sobol’ metric (</w:t>
      </w:r>
      <w:r w:rsidRPr="00B0618E">
        <w:rPr>
          <w:i/>
        </w:rPr>
        <w:t>S</w:t>
      </w:r>
      <w:r w:rsidRPr="00B0618E">
        <w:rPr>
          <w:vertAlign w:val="subscript"/>
        </w:rPr>
        <w:t>1</w:t>
      </w:r>
      <w:r w:rsidRPr="00B0618E">
        <w:t xml:space="preserve">; Sobol’, 2001). Sample size for metric computation </w:t>
      </w:r>
      <w:r w:rsidR="00A532C3">
        <w:t>was</w:t>
      </w:r>
      <w:r w:rsidR="00A532C3" w:rsidRPr="00B0618E">
        <w:t xml:space="preserve"> </w:t>
      </w:r>
      <w:r w:rsidRPr="00B0618E">
        <w:t>300 model runs.</w:t>
      </w:r>
      <w:bookmarkEnd w:id="79"/>
    </w:p>
    <w:p w14:paraId="2D2FAC21" w14:textId="4A7BF56D" w:rsidR="004E5193" w:rsidRPr="00B0618E" w:rsidRDefault="004E5193" w:rsidP="004E5193">
      <w:pPr>
        <w:pStyle w:val="Heading3"/>
      </w:pPr>
      <w:r w:rsidRPr="00B0618E">
        <w:t xml:space="preserve">Prediction </w:t>
      </w:r>
      <w:r w:rsidR="007E1C69">
        <w:t xml:space="preserve">metric </w:t>
      </w:r>
      <w:r w:rsidRPr="00B0618E">
        <w:t>4: Maximum vertical flux</w:t>
      </w:r>
    </w:p>
    <w:p w14:paraId="18EB383F" w14:textId="111E5724" w:rsidR="00766564" w:rsidRPr="00B0618E" w:rsidRDefault="004A1CF5" w:rsidP="00E73233">
      <w:pPr>
        <w:pStyle w:val="BodyText"/>
        <w:rPr>
          <w:color w:val="auto"/>
        </w:rPr>
      </w:pPr>
      <w:r w:rsidRPr="00B0618E">
        <w:t xml:space="preserve">The prediction of maximum flux was </w:t>
      </w:r>
      <w:r w:rsidR="0056264C" w:rsidRPr="00B0618E">
        <w:t xml:space="preserve">found to be </w:t>
      </w:r>
      <w:r w:rsidRPr="00B0618E">
        <w:t xml:space="preserve">most sensitive to the </w:t>
      </w:r>
      <w:r w:rsidR="002A5899" w:rsidRPr="00B0618E">
        <w:t>vertical</w:t>
      </w:r>
      <w:r w:rsidR="002A5899" w:rsidRPr="00B0618E">
        <w:rPr>
          <w:i/>
        </w:rPr>
        <w:t xml:space="preserve"> </w:t>
      </w:r>
      <w:r w:rsidR="000B6D10" w:rsidRPr="00B0618E">
        <w:rPr>
          <w:i/>
        </w:rPr>
        <w:t>K</w:t>
      </w:r>
      <w:r w:rsidR="002A5899" w:rsidRPr="00B0618E">
        <w:t xml:space="preserve"> of the </w:t>
      </w:r>
      <w:r w:rsidR="00FF659D" w:rsidRPr="00B0618E">
        <w:t>upper aquitard sequence</w:t>
      </w:r>
      <w:r w:rsidR="000B6D10" w:rsidRPr="00B0618E">
        <w:t xml:space="preserve"> </w:t>
      </w:r>
      <w:r w:rsidR="00881B5C">
        <w:t xml:space="preserve">(i.e., </w:t>
      </w:r>
      <w:r w:rsidR="00881B5C" w:rsidRPr="00B0618E">
        <w:rPr>
          <w:i/>
          <w:color w:val="auto"/>
        </w:rPr>
        <w:t>K</w:t>
      </w:r>
      <w:r w:rsidR="006025C8">
        <w:rPr>
          <w:i/>
          <w:color w:val="auto"/>
          <w:vertAlign w:val="subscript"/>
        </w:rPr>
        <w:t>V</w:t>
      </w:r>
      <w:r w:rsidR="00881B5C" w:rsidRPr="00B0618E">
        <w:rPr>
          <w:color w:val="auto"/>
        </w:rPr>
        <w:t>05</w:t>
      </w:r>
      <w:r w:rsidR="00881B5C">
        <w:rPr>
          <w:color w:val="auto"/>
        </w:rPr>
        <w:t xml:space="preserve">) </w:t>
      </w:r>
      <w:r w:rsidR="007E1C69">
        <w:t xml:space="preserve">for both sensitivity metrics </w:t>
      </w:r>
      <w:r w:rsidR="00FD1382" w:rsidRPr="00B0618E">
        <w:t>(</w:t>
      </w:r>
      <w:r w:rsidR="00FD1382" w:rsidRPr="00B0618E">
        <w:fldChar w:fldCharType="begin"/>
      </w:r>
      <w:r w:rsidR="00FD1382" w:rsidRPr="00B0618E">
        <w:instrText xml:space="preserve"> REF _Ref477363054 \h </w:instrText>
      </w:r>
      <w:r w:rsidR="00B0618E">
        <w:instrText xml:space="preserve"> \* MERGEFORMAT </w:instrText>
      </w:r>
      <w:r w:rsidR="00FD1382" w:rsidRPr="00B0618E">
        <w:fldChar w:fldCharType="separate"/>
      </w:r>
      <w:r w:rsidR="000B6FA5" w:rsidRPr="00B0618E">
        <w:t xml:space="preserve">Figure </w:t>
      </w:r>
      <w:r w:rsidR="000B6FA5">
        <w:rPr>
          <w:noProof/>
        </w:rPr>
        <w:t>3</w:t>
      </w:r>
      <w:r w:rsidR="000B6FA5">
        <w:rPr>
          <w:noProof/>
        </w:rPr>
        <w:noBreakHyphen/>
        <w:t>10</w:t>
      </w:r>
      <w:r w:rsidR="00FD1382" w:rsidRPr="00B0618E">
        <w:fldChar w:fldCharType="end"/>
      </w:r>
      <w:r w:rsidR="007E1C69">
        <w:t>a, b</w:t>
      </w:r>
      <w:r w:rsidR="00FD1382" w:rsidRPr="00B0618E">
        <w:t>)</w:t>
      </w:r>
      <w:r w:rsidRPr="00B0618E">
        <w:t>.</w:t>
      </w:r>
      <w:r w:rsidR="00E73233" w:rsidRPr="00B0618E">
        <w:t xml:space="preserve"> </w:t>
      </w:r>
      <w:r w:rsidR="006B1D24" w:rsidRPr="00B0618E">
        <w:t xml:space="preserve">The values of both sensitivity metrics for this parameter were </w:t>
      </w:r>
      <w:r w:rsidR="007E1C69">
        <w:t xml:space="preserve">significantly larger than all other parameters </w:t>
      </w:r>
      <w:r w:rsidR="007E1C69" w:rsidRPr="00B0618E">
        <w:t>(</w:t>
      </w:r>
      <w:r w:rsidR="005C3666">
        <w:rPr>
          <w:i/>
          <w:color w:val="auto"/>
        </w:rPr>
        <w:t>δ</w:t>
      </w:r>
      <w:r w:rsidR="007E1C69" w:rsidRPr="00B0618E">
        <w:t xml:space="preserve">=0.206, </w:t>
      </w:r>
      <w:r w:rsidR="007E1C69" w:rsidRPr="00B0618E">
        <w:rPr>
          <w:i/>
        </w:rPr>
        <w:t>S</w:t>
      </w:r>
      <w:r w:rsidR="007E1C69" w:rsidRPr="00B0618E">
        <w:rPr>
          <w:vertAlign w:val="subscript"/>
        </w:rPr>
        <w:t>1</w:t>
      </w:r>
      <w:r w:rsidR="007E1C69" w:rsidRPr="00B0618E">
        <w:t>=0.193)</w:t>
      </w:r>
      <w:r w:rsidR="007E1C69">
        <w:t xml:space="preserve"> (</w:t>
      </w:r>
      <w:r w:rsidR="007E1C69">
        <w:fldChar w:fldCharType="begin"/>
      </w:r>
      <w:r w:rsidR="007E1C69">
        <w:instrText xml:space="preserve"> REF _Ref479500703 \h </w:instrText>
      </w:r>
      <w:r w:rsidR="007E1C69">
        <w:fldChar w:fldCharType="separate"/>
      </w:r>
      <w:r w:rsidR="000B6FA5">
        <w:t xml:space="preserve">Figure </w:t>
      </w:r>
      <w:r w:rsidR="000B6FA5">
        <w:rPr>
          <w:noProof/>
        </w:rPr>
        <w:t>3</w:t>
      </w:r>
      <w:r w:rsidR="000B6FA5">
        <w:noBreakHyphen/>
      </w:r>
      <w:r w:rsidR="000B6FA5">
        <w:rPr>
          <w:noProof/>
        </w:rPr>
        <w:t>11</w:t>
      </w:r>
      <w:r w:rsidR="007E1C69">
        <w:fldChar w:fldCharType="end"/>
      </w:r>
      <w:r w:rsidR="009810CF">
        <w:t>a, b</w:t>
      </w:r>
      <w:r w:rsidR="007E1C69">
        <w:t>)</w:t>
      </w:r>
      <w:r w:rsidR="006B1D24" w:rsidRPr="00B0618E">
        <w:t>.</w:t>
      </w:r>
      <w:r w:rsidR="00766564" w:rsidRPr="00B0618E">
        <w:t xml:space="preserve"> </w:t>
      </w:r>
      <w:r w:rsidR="00C82F89" w:rsidRPr="00B0618E">
        <w:t>DMIM</w:t>
      </w:r>
      <w:r w:rsidR="00766564" w:rsidRPr="00B0618E">
        <w:t xml:space="preserve"> </w:t>
      </w:r>
      <w:r w:rsidR="005C3666">
        <w:rPr>
          <w:i/>
        </w:rPr>
        <w:t>δ</w:t>
      </w:r>
      <w:r w:rsidR="00766564" w:rsidRPr="00B0618E">
        <w:t xml:space="preserve"> values </w:t>
      </w:r>
      <w:r w:rsidR="009810CF" w:rsidRPr="00B0618E">
        <w:t xml:space="preserve">for the remainder of the parameters examined </w:t>
      </w:r>
      <w:r w:rsidR="00766564" w:rsidRPr="00B0618E">
        <w:t xml:space="preserve">ranged </w:t>
      </w:r>
      <w:r w:rsidR="009810CF">
        <w:t xml:space="preserve">within a narrow band </w:t>
      </w:r>
      <w:r w:rsidR="00766564" w:rsidRPr="00B0618E">
        <w:t>from 0.028 to 0.087</w:t>
      </w:r>
      <w:r w:rsidR="009810CF">
        <w:t xml:space="preserve">; </w:t>
      </w:r>
      <w:r w:rsidR="009810CF" w:rsidRPr="00B0618E">
        <w:rPr>
          <w:color w:val="auto"/>
        </w:rPr>
        <w:t xml:space="preserve">Sobol’ </w:t>
      </w:r>
      <w:r w:rsidR="009810CF" w:rsidRPr="00B0618E">
        <w:rPr>
          <w:i/>
          <w:color w:val="auto"/>
        </w:rPr>
        <w:t>S</w:t>
      </w:r>
      <w:r w:rsidR="009810CF" w:rsidRPr="00B0618E">
        <w:rPr>
          <w:color w:val="auto"/>
          <w:vertAlign w:val="subscript"/>
        </w:rPr>
        <w:t>1</w:t>
      </w:r>
      <w:r w:rsidR="009810CF">
        <w:rPr>
          <w:color w:val="auto"/>
          <w:vertAlign w:val="subscript"/>
        </w:rPr>
        <w:t xml:space="preserve"> </w:t>
      </w:r>
      <w:r w:rsidR="009810CF">
        <w:t>values ranged with a narrow band from 0.05 to 0.1</w:t>
      </w:r>
      <w:r w:rsidR="00766564" w:rsidRPr="00B0618E">
        <w:t xml:space="preserve">. </w:t>
      </w:r>
      <w:r w:rsidR="006B1D24" w:rsidRPr="00B0618E">
        <w:t xml:space="preserve"> </w:t>
      </w:r>
      <w:r w:rsidR="00E73233" w:rsidRPr="00B0618E">
        <w:rPr>
          <w:color w:val="FF0000"/>
        </w:rPr>
        <w:t xml:space="preserve"> </w:t>
      </w:r>
    </w:p>
    <w:p w14:paraId="12D97C97" w14:textId="3BEDB262" w:rsidR="004A1CF5" w:rsidRPr="00B0618E" w:rsidRDefault="00E73233" w:rsidP="00E73233">
      <w:pPr>
        <w:pStyle w:val="BodyText"/>
        <w:rPr>
          <w:color w:val="auto"/>
        </w:rPr>
      </w:pPr>
      <w:r w:rsidRPr="00B0618E">
        <w:rPr>
          <w:color w:val="auto"/>
        </w:rPr>
        <w:t>The uncertainty of this prediction did not vary significantly with increasing sample size</w:t>
      </w:r>
      <w:r w:rsidR="00FD1382" w:rsidRPr="00B0618E">
        <w:rPr>
          <w:color w:val="auto"/>
        </w:rPr>
        <w:t xml:space="preserve"> (</w:t>
      </w:r>
      <w:r w:rsidR="009810CF">
        <w:rPr>
          <w:color w:val="auto"/>
        </w:rPr>
        <w:t xml:space="preserve">Section </w:t>
      </w:r>
      <w:r w:rsidR="009810CF">
        <w:rPr>
          <w:color w:val="auto"/>
        </w:rPr>
        <w:fldChar w:fldCharType="begin"/>
      </w:r>
      <w:r w:rsidR="009810CF">
        <w:rPr>
          <w:color w:val="auto"/>
        </w:rPr>
        <w:instrText xml:space="preserve"> REF _Ref476296522 \r \h </w:instrText>
      </w:r>
      <w:r w:rsidR="009810CF">
        <w:rPr>
          <w:color w:val="auto"/>
        </w:rPr>
      </w:r>
      <w:r w:rsidR="009810CF">
        <w:rPr>
          <w:color w:val="auto"/>
        </w:rPr>
        <w:fldChar w:fldCharType="separate"/>
      </w:r>
      <w:r w:rsidR="000B6FA5">
        <w:rPr>
          <w:color w:val="auto"/>
        </w:rPr>
        <w:t>3.4.6</w:t>
      </w:r>
      <w:r w:rsidR="009810CF">
        <w:rPr>
          <w:color w:val="auto"/>
        </w:rPr>
        <w:fldChar w:fldCharType="end"/>
      </w:r>
      <w:r w:rsidR="009810CF">
        <w:rPr>
          <w:color w:val="auto"/>
        </w:rPr>
        <w:t xml:space="preserve">, </w:t>
      </w:r>
      <w:r w:rsidR="00564555" w:rsidRPr="00B0618E">
        <w:rPr>
          <w:color w:val="auto"/>
        </w:rPr>
        <w:fldChar w:fldCharType="begin"/>
      </w:r>
      <w:r w:rsidR="00564555" w:rsidRPr="00B0618E">
        <w:rPr>
          <w:color w:val="auto"/>
        </w:rPr>
        <w:instrText xml:space="preserve"> REF _Ref467659115 \h </w:instrText>
      </w:r>
      <w:r w:rsidR="00B0618E">
        <w:rPr>
          <w:color w:val="auto"/>
        </w:rPr>
        <w:instrText xml:space="preserve"> \* MERGEFORMAT </w:instrText>
      </w:r>
      <w:r w:rsidR="00564555" w:rsidRPr="00B0618E">
        <w:rPr>
          <w:color w:val="auto"/>
        </w:rPr>
      </w:r>
      <w:r w:rsidR="00564555" w:rsidRPr="00B0618E">
        <w:rPr>
          <w:color w:val="auto"/>
        </w:rPr>
        <w:fldChar w:fldCharType="separate"/>
      </w:r>
      <w:r w:rsidR="000B6FA5" w:rsidRPr="00B0618E">
        <w:t xml:space="preserve">Figure </w:t>
      </w:r>
      <w:r w:rsidR="000B6FA5">
        <w:rPr>
          <w:noProof/>
        </w:rPr>
        <w:t>3</w:t>
      </w:r>
      <w:r w:rsidR="000B6FA5">
        <w:rPr>
          <w:noProof/>
        </w:rPr>
        <w:noBreakHyphen/>
        <w:t>3</w:t>
      </w:r>
      <w:r w:rsidR="00564555" w:rsidRPr="00B0618E">
        <w:rPr>
          <w:color w:val="auto"/>
        </w:rPr>
        <w:fldChar w:fldCharType="end"/>
      </w:r>
      <w:r w:rsidR="00FD1382" w:rsidRPr="00B0618E">
        <w:rPr>
          <w:color w:val="auto"/>
        </w:rPr>
        <w:t>)</w:t>
      </w:r>
      <w:r w:rsidRPr="00B0618E">
        <w:rPr>
          <w:color w:val="auto"/>
        </w:rPr>
        <w:t>.</w:t>
      </w:r>
      <w:r w:rsidR="001532B1" w:rsidRPr="00B0618E">
        <w:rPr>
          <w:color w:val="auto"/>
        </w:rPr>
        <w:t xml:space="preserve"> Predicted values ranged from </w:t>
      </w:r>
      <w:r w:rsidR="00787438" w:rsidRPr="00B0618E">
        <w:rPr>
          <w:color w:val="auto"/>
        </w:rPr>
        <w:t>17 to 3</w:t>
      </w:r>
      <w:r w:rsidR="006B1D24" w:rsidRPr="00B0618E">
        <w:rPr>
          <w:color w:val="auto"/>
        </w:rPr>
        <w:t>8</w:t>
      </w:r>
      <w:r w:rsidR="00787438" w:rsidRPr="00B0618E">
        <w:rPr>
          <w:color w:val="auto"/>
        </w:rPr>
        <w:t xml:space="preserve"> m</w:t>
      </w:r>
      <w:r w:rsidR="00787438" w:rsidRPr="00B0618E">
        <w:rPr>
          <w:color w:val="auto"/>
          <w:vertAlign w:val="superscript"/>
        </w:rPr>
        <w:t>3</w:t>
      </w:r>
      <w:r w:rsidR="00787438" w:rsidRPr="00B0618E">
        <w:rPr>
          <w:color w:val="auto"/>
        </w:rPr>
        <w:t>/d</w:t>
      </w:r>
      <w:r w:rsidR="00FD1382" w:rsidRPr="00B0618E">
        <w:rPr>
          <w:color w:val="auto"/>
        </w:rPr>
        <w:t xml:space="preserve"> across all 300 model runs</w:t>
      </w:r>
      <w:r w:rsidR="001532B1" w:rsidRPr="00B0618E">
        <w:rPr>
          <w:color w:val="auto"/>
        </w:rPr>
        <w:t>.</w:t>
      </w:r>
      <w:r w:rsidRPr="00B0618E">
        <w:rPr>
          <w:color w:val="auto"/>
        </w:rPr>
        <w:t xml:space="preserve"> </w:t>
      </w:r>
      <w:r w:rsidR="00057438" w:rsidRPr="00B0618E">
        <w:rPr>
          <w:color w:val="auto"/>
        </w:rPr>
        <w:t>For sample sizes of 200 to 300, t</w:t>
      </w:r>
      <w:r w:rsidRPr="00B0618E">
        <w:rPr>
          <w:color w:val="auto"/>
        </w:rPr>
        <w:t>h</w:t>
      </w:r>
      <w:r w:rsidR="00513469" w:rsidRPr="00B0618E">
        <w:rPr>
          <w:color w:val="auto"/>
        </w:rPr>
        <w:t>e 10</w:t>
      </w:r>
      <w:r w:rsidRPr="00B0618E">
        <w:rPr>
          <w:color w:val="auto"/>
          <w:vertAlign w:val="superscript"/>
        </w:rPr>
        <w:t>th</w:t>
      </w:r>
      <w:r w:rsidRPr="00B0618E">
        <w:rPr>
          <w:color w:val="auto"/>
        </w:rPr>
        <w:t xml:space="preserve"> percentile value was </w:t>
      </w:r>
      <w:r w:rsidR="004A0512" w:rsidRPr="00B0618E">
        <w:rPr>
          <w:color w:val="auto"/>
        </w:rPr>
        <w:t xml:space="preserve">consistently </w:t>
      </w:r>
      <w:r w:rsidRPr="00B0618E">
        <w:rPr>
          <w:color w:val="auto"/>
        </w:rPr>
        <w:t>23 m</w:t>
      </w:r>
      <w:r w:rsidR="004A0512" w:rsidRPr="00B0618E">
        <w:rPr>
          <w:color w:val="auto"/>
          <w:vertAlign w:val="superscript"/>
        </w:rPr>
        <w:t>3</w:t>
      </w:r>
      <w:r w:rsidR="004A0512" w:rsidRPr="00B0618E">
        <w:rPr>
          <w:color w:val="auto"/>
        </w:rPr>
        <w:t>/d</w:t>
      </w:r>
      <w:r w:rsidRPr="00B0618E">
        <w:rPr>
          <w:color w:val="auto"/>
        </w:rPr>
        <w:t>; the median value ranged from 26.7 to 27.0 m</w:t>
      </w:r>
      <w:r w:rsidR="004A0512" w:rsidRPr="00B0618E">
        <w:rPr>
          <w:color w:val="auto"/>
          <w:vertAlign w:val="superscript"/>
        </w:rPr>
        <w:t>3</w:t>
      </w:r>
      <w:r w:rsidR="004A0512" w:rsidRPr="00B0618E">
        <w:rPr>
          <w:color w:val="auto"/>
        </w:rPr>
        <w:t>/d</w:t>
      </w:r>
      <w:r w:rsidRPr="00B0618E">
        <w:rPr>
          <w:color w:val="auto"/>
        </w:rPr>
        <w:t>; and th</w:t>
      </w:r>
      <w:r w:rsidR="00513469" w:rsidRPr="00B0618E">
        <w:rPr>
          <w:color w:val="auto"/>
        </w:rPr>
        <w:t>e 90</w:t>
      </w:r>
      <w:r w:rsidRPr="00B0618E">
        <w:rPr>
          <w:color w:val="auto"/>
          <w:vertAlign w:val="superscript"/>
        </w:rPr>
        <w:t>th</w:t>
      </w:r>
      <w:r w:rsidRPr="00B0618E">
        <w:rPr>
          <w:color w:val="auto"/>
        </w:rPr>
        <w:t xml:space="preserve"> percentile value ranged from 3</w:t>
      </w:r>
      <w:r w:rsidR="006B1D24" w:rsidRPr="00B0618E">
        <w:rPr>
          <w:color w:val="auto"/>
        </w:rPr>
        <w:t>3</w:t>
      </w:r>
      <w:r w:rsidRPr="00B0618E">
        <w:rPr>
          <w:color w:val="auto"/>
        </w:rPr>
        <w:t xml:space="preserve"> to 3</w:t>
      </w:r>
      <w:r w:rsidR="006B1D24" w:rsidRPr="00B0618E">
        <w:rPr>
          <w:color w:val="auto"/>
        </w:rPr>
        <w:t>4</w:t>
      </w:r>
      <w:r w:rsidRPr="00B0618E">
        <w:rPr>
          <w:color w:val="auto"/>
        </w:rPr>
        <w:t xml:space="preserve"> m</w:t>
      </w:r>
      <w:r w:rsidR="004A0512" w:rsidRPr="00B0618E">
        <w:rPr>
          <w:color w:val="auto"/>
          <w:vertAlign w:val="superscript"/>
        </w:rPr>
        <w:t>3</w:t>
      </w:r>
      <w:r w:rsidR="004A0512" w:rsidRPr="00B0618E">
        <w:rPr>
          <w:color w:val="auto"/>
        </w:rPr>
        <w:t>/d</w:t>
      </w:r>
      <w:r w:rsidRPr="00B0618E">
        <w:rPr>
          <w:color w:val="auto"/>
        </w:rPr>
        <w:t>.</w:t>
      </w:r>
    </w:p>
    <w:p w14:paraId="3C8D6D12" w14:textId="2C0E6496" w:rsidR="00774C67" w:rsidRPr="00B0618E" w:rsidRDefault="00A532C3" w:rsidP="009810CF">
      <w:pPr>
        <w:pStyle w:val="BodyText"/>
        <w:keepNext/>
        <w:jc w:val="center"/>
      </w:pPr>
      <w:r>
        <w:rPr>
          <w:noProof/>
        </w:rPr>
        <w:drawing>
          <wp:inline distT="0" distB="0" distL="0" distR="0" wp14:anchorId="44F62B99" wp14:editId="641A7E53">
            <wp:extent cx="5758180" cy="2879090"/>
            <wp:effectExtent l="0" t="0" r="0" b="0"/>
            <wp:docPr id="135" name="Picture 135" descr="Chart of relative rankings of model parameter sensitivities" title="Fig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OWS_FAM\Models\Version6_SA_reanalysis_061016\Plot_bootstrap_outputs_v03_160217_ranks_MXQ.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8180" cy="2879090"/>
                    </a:xfrm>
                    <a:prstGeom prst="rect">
                      <a:avLst/>
                    </a:prstGeom>
                    <a:noFill/>
                    <a:ln>
                      <a:noFill/>
                    </a:ln>
                  </pic:spPr>
                </pic:pic>
              </a:graphicData>
            </a:graphic>
          </wp:inline>
        </w:drawing>
      </w:r>
    </w:p>
    <w:p w14:paraId="189E1891" w14:textId="6545BF1D" w:rsidR="00135A92" w:rsidRPr="00B0618E" w:rsidRDefault="00135A92" w:rsidP="00CB249C">
      <w:pPr>
        <w:pStyle w:val="Caption"/>
        <w:keepNext w:val="0"/>
      </w:pPr>
      <w:bookmarkStart w:id="80" w:name="_Ref477363054"/>
      <w:bookmarkStart w:id="81" w:name="_Toc482034911"/>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10</w:t>
      </w:r>
      <w:r w:rsidR="00A2085C">
        <w:rPr>
          <w:noProof/>
        </w:rPr>
        <w:fldChar w:fldCharType="end"/>
      </w:r>
      <w:bookmarkEnd w:id="80"/>
      <w:r w:rsidRPr="00B0618E">
        <w:t xml:space="preserve">. </w:t>
      </w:r>
      <w:r w:rsidR="00DD64D3" w:rsidRPr="00B0618E">
        <w:t xml:space="preserve">Relative rankings of ten parameters used by the </w:t>
      </w:r>
      <w:r w:rsidR="00045A85">
        <w:t>CDM Smith (2016)</w:t>
      </w:r>
      <w:r w:rsidR="00DD64D3" w:rsidRPr="00B0618E">
        <w:t xml:space="preserve"> Gunnedah Basin groundwater flow model (</w:t>
      </w:r>
      <w:r w:rsidR="00594DB3" w:rsidRPr="00B0618E">
        <w:t xml:space="preserve">most sensitive = </w:t>
      </w:r>
      <w:r w:rsidR="00DD64D3" w:rsidRPr="00B0618E">
        <w:t xml:space="preserve">red, </w:t>
      </w:r>
      <w:r w:rsidR="00594DB3" w:rsidRPr="00B0618E">
        <w:t xml:space="preserve">second most sensitive = </w:t>
      </w:r>
      <w:r w:rsidR="00DD64D3" w:rsidRPr="00B0618E">
        <w:t xml:space="preserve">blue, </w:t>
      </w:r>
      <w:r w:rsidR="00594DB3" w:rsidRPr="00B0618E">
        <w:t xml:space="preserve">third most sensitive = </w:t>
      </w:r>
      <w:r w:rsidR="00DD64D3" w:rsidRPr="00B0618E">
        <w:t xml:space="preserve">green; </w:t>
      </w:r>
      <w:r w:rsidR="00594DB3" w:rsidRPr="00B0618E">
        <w:t>less sensitive parameters are</w:t>
      </w:r>
      <w:r w:rsidR="00DD64D3" w:rsidRPr="00B0618E">
        <w:t xml:space="preserve"> shown in grey) to which the prediction of maximum change in vertical flux in the Pilliga Sandstone aquifer was most sensitive. Parameter rankings were based on two global sensitivity analysis metrics: (a) the Delta Moment-Independent Measure (</w:t>
      </w:r>
      <w:r w:rsidR="005C3666">
        <w:rPr>
          <w:i/>
        </w:rPr>
        <w:t>δ</w:t>
      </w:r>
      <w:r w:rsidR="00DD64D3" w:rsidRPr="00B0618E">
        <w:t>; Plischke et al., 201</w:t>
      </w:r>
      <w:r w:rsidR="00C82F89" w:rsidRPr="00B0618E">
        <w:t>3</w:t>
      </w:r>
      <w:r w:rsidR="00DD64D3" w:rsidRPr="00B0618E">
        <w:t>) and (b) the first order Sobol’ metric (</w:t>
      </w:r>
      <w:r w:rsidR="00DD64D3" w:rsidRPr="00B0618E">
        <w:rPr>
          <w:i/>
        </w:rPr>
        <w:t>S</w:t>
      </w:r>
      <w:r w:rsidR="00DD64D3" w:rsidRPr="00B0618E">
        <w:rPr>
          <w:vertAlign w:val="subscript"/>
        </w:rPr>
        <w:t>1</w:t>
      </w:r>
      <w:r w:rsidR="00DD64D3" w:rsidRPr="00B0618E">
        <w:t>; Sobol’, 2001). Sample sizes used as the basis for metric computation ranged from 200 to 300 model runs.</w:t>
      </w:r>
      <w:bookmarkEnd w:id="81"/>
    </w:p>
    <w:p w14:paraId="2031D0A6" w14:textId="74E86E3C" w:rsidR="0034157C" w:rsidRDefault="004B2EBA" w:rsidP="00CB249C">
      <w:pPr>
        <w:pStyle w:val="BodyText"/>
        <w:keepNext/>
        <w:jc w:val="center"/>
        <w:rPr>
          <w:color w:val="auto"/>
        </w:rPr>
      </w:pPr>
      <w:r>
        <w:rPr>
          <w:noProof/>
          <w:color w:val="auto"/>
        </w:rPr>
        <w:drawing>
          <wp:inline distT="0" distB="0" distL="0" distR="0" wp14:anchorId="7BA9DC94" wp14:editId="6BD8FDDF">
            <wp:extent cx="5758180" cy="2879090"/>
            <wp:effectExtent l="0" t="0" r="0" b="0"/>
            <wp:docPr id="153" name="Picture 153" descr="Chart of sensitivity of 30 model parameters" title="Fig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Y:\OWS_FAM\Models\Version6_SA_reanalysis_061016\Plot_GSA_metric_values_300_runs_070417_MXQ.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8180" cy="2879090"/>
                    </a:xfrm>
                    <a:prstGeom prst="rect">
                      <a:avLst/>
                    </a:prstGeom>
                    <a:noFill/>
                    <a:ln>
                      <a:noFill/>
                    </a:ln>
                  </pic:spPr>
                </pic:pic>
              </a:graphicData>
            </a:graphic>
          </wp:inline>
        </w:drawing>
      </w:r>
      <w:r w:rsidR="00A532C3" w:rsidRPr="00A532C3">
        <w:rPr>
          <w:noProof/>
          <w:color w:val="auto"/>
        </w:rPr>
        <w:t xml:space="preserve"> </w:t>
      </w:r>
    </w:p>
    <w:p w14:paraId="1D1235F7" w14:textId="5401B25B" w:rsidR="00797313" w:rsidRDefault="00797313" w:rsidP="00797313">
      <w:pPr>
        <w:pStyle w:val="Caption"/>
      </w:pPr>
      <w:bookmarkStart w:id="82" w:name="_Ref479500703"/>
      <w:bookmarkStart w:id="83" w:name="_Toc482034912"/>
      <w:r>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11</w:t>
      </w:r>
      <w:r w:rsidR="00A2085C">
        <w:rPr>
          <w:noProof/>
        </w:rPr>
        <w:fldChar w:fldCharType="end"/>
      </w:r>
      <w:bookmarkEnd w:id="82"/>
      <w:r>
        <w:t xml:space="preserve"> G</w:t>
      </w:r>
      <w:r w:rsidRPr="00B0618E">
        <w:t>lobal sensitivity analysis metrics</w:t>
      </w:r>
      <w:r>
        <w:t xml:space="preserve"> of all 30 model parameters in relation to maximum vertical flux.</w:t>
      </w:r>
      <w:r w:rsidRPr="00B0618E">
        <w:t xml:space="preserve"> (a) Delta Moment-Independent Measure (</w:t>
      </w:r>
      <w:r w:rsidR="005C3666">
        <w:rPr>
          <w:i/>
        </w:rPr>
        <w:t>δ</w:t>
      </w:r>
      <w:r w:rsidRPr="00B0618E">
        <w:t>; Plischke et al., 2013) and (b) first order Sobol’ metric (</w:t>
      </w:r>
      <w:r w:rsidRPr="00B0618E">
        <w:rPr>
          <w:i/>
        </w:rPr>
        <w:t>S</w:t>
      </w:r>
      <w:r w:rsidRPr="00B0618E">
        <w:rPr>
          <w:vertAlign w:val="subscript"/>
        </w:rPr>
        <w:t>1</w:t>
      </w:r>
      <w:r w:rsidRPr="00B0618E">
        <w:t xml:space="preserve">; Sobol’, 2001). Sample size for metric computation </w:t>
      </w:r>
      <w:r w:rsidR="00A532C3">
        <w:t>was</w:t>
      </w:r>
      <w:r w:rsidR="00A532C3" w:rsidRPr="00B0618E">
        <w:t xml:space="preserve"> </w:t>
      </w:r>
      <w:r w:rsidRPr="00B0618E">
        <w:t>300 model runs.</w:t>
      </w:r>
      <w:bookmarkEnd w:id="83"/>
    </w:p>
    <w:p w14:paraId="405F24C3" w14:textId="77777777" w:rsidR="00797313" w:rsidRPr="00B0618E" w:rsidRDefault="00797313" w:rsidP="00737D7F">
      <w:pPr>
        <w:pStyle w:val="BodyText"/>
        <w:rPr>
          <w:color w:val="auto"/>
        </w:rPr>
      </w:pPr>
    </w:p>
    <w:p w14:paraId="6ABD5058" w14:textId="4A621827" w:rsidR="00E46DC8" w:rsidRPr="00B0618E" w:rsidRDefault="00E46DC8" w:rsidP="00E46DC8">
      <w:pPr>
        <w:pStyle w:val="Heading3"/>
      </w:pPr>
      <w:r>
        <w:t>Summary of prediction metric sensitivities</w:t>
      </w:r>
    </w:p>
    <w:p w14:paraId="0AEEC7BC" w14:textId="0BF53FD8" w:rsidR="00737D7F" w:rsidRDefault="00562430" w:rsidP="00737D7F">
      <w:pPr>
        <w:pStyle w:val="BodyText"/>
        <w:rPr>
          <w:color w:val="auto"/>
        </w:rPr>
      </w:pPr>
      <w:r w:rsidRPr="00B0618E">
        <w:rPr>
          <w:color w:val="auto"/>
        </w:rPr>
        <w:t xml:space="preserve">With the exception of one prediction </w:t>
      </w:r>
      <w:r w:rsidR="009810CF">
        <w:rPr>
          <w:color w:val="auto"/>
        </w:rPr>
        <w:t>metric</w:t>
      </w:r>
      <w:r w:rsidRPr="00B0618E">
        <w:rPr>
          <w:color w:val="auto"/>
        </w:rPr>
        <w:t xml:space="preserve"> (i.e., the time of maximum drawdown), each of the other three prediction types were found to be </w:t>
      </w:r>
      <w:r w:rsidR="00D963C2" w:rsidRPr="00B0618E">
        <w:rPr>
          <w:color w:val="auto"/>
        </w:rPr>
        <w:t xml:space="preserve">most </w:t>
      </w:r>
      <w:r w:rsidRPr="00B0618E">
        <w:rPr>
          <w:color w:val="auto"/>
        </w:rPr>
        <w:t>sensitive to one of t</w:t>
      </w:r>
      <w:r w:rsidR="009810CF">
        <w:rPr>
          <w:color w:val="auto"/>
        </w:rPr>
        <w:t>hree</w:t>
      </w:r>
      <w:r w:rsidRPr="00B0618E">
        <w:rPr>
          <w:color w:val="auto"/>
        </w:rPr>
        <w:t xml:space="preserve"> parameters: the horizontal </w:t>
      </w:r>
      <w:r w:rsidRPr="00B0618E">
        <w:rPr>
          <w:i/>
          <w:color w:val="auto"/>
        </w:rPr>
        <w:t>K</w:t>
      </w:r>
      <w:r w:rsidRPr="00B0618E">
        <w:rPr>
          <w:color w:val="auto"/>
        </w:rPr>
        <w:t xml:space="preserve"> of the Namoi Alluvium aquifer</w:t>
      </w:r>
      <w:r w:rsidR="009810CF">
        <w:rPr>
          <w:color w:val="auto"/>
        </w:rPr>
        <w:t xml:space="preserve"> (</w:t>
      </w:r>
      <w:r w:rsidR="009810CF" w:rsidRPr="00B0618E">
        <w:rPr>
          <w:i/>
          <w:color w:val="auto"/>
        </w:rPr>
        <w:t>K</w:t>
      </w:r>
      <w:r w:rsidR="009810CF" w:rsidRPr="00B0618E">
        <w:rPr>
          <w:i/>
          <w:color w:val="auto"/>
          <w:vertAlign w:val="subscript"/>
        </w:rPr>
        <w:t>H</w:t>
      </w:r>
      <w:r w:rsidR="009810CF" w:rsidRPr="00B0618E">
        <w:rPr>
          <w:color w:val="auto"/>
        </w:rPr>
        <w:t>0</w:t>
      </w:r>
      <w:r w:rsidR="009810CF">
        <w:rPr>
          <w:color w:val="auto"/>
        </w:rPr>
        <w:t>1)</w:t>
      </w:r>
      <w:r w:rsidRPr="00B0618E">
        <w:rPr>
          <w:color w:val="auto"/>
        </w:rPr>
        <w:t>,</w:t>
      </w:r>
      <w:r w:rsidR="009810CF">
        <w:rPr>
          <w:color w:val="auto"/>
        </w:rPr>
        <w:t xml:space="preserve"> </w:t>
      </w:r>
      <w:r w:rsidR="009810CF" w:rsidRPr="00B0618E">
        <w:rPr>
          <w:color w:val="auto"/>
        </w:rPr>
        <w:t xml:space="preserve">the horizontal </w:t>
      </w:r>
      <w:r w:rsidR="009810CF" w:rsidRPr="00B0618E">
        <w:rPr>
          <w:i/>
          <w:color w:val="auto"/>
        </w:rPr>
        <w:t>K</w:t>
      </w:r>
      <w:r w:rsidR="009810CF" w:rsidRPr="00B0618E">
        <w:rPr>
          <w:color w:val="auto"/>
        </w:rPr>
        <w:t xml:space="preserve"> of </w:t>
      </w:r>
      <w:r w:rsidR="009810CF">
        <w:rPr>
          <w:color w:val="auto"/>
        </w:rPr>
        <w:t>the Maules Creek Formation interburden (</w:t>
      </w:r>
      <w:r w:rsidR="009810CF" w:rsidRPr="00B0618E">
        <w:rPr>
          <w:i/>
          <w:color w:val="auto"/>
        </w:rPr>
        <w:t>K</w:t>
      </w:r>
      <w:r w:rsidR="009810CF" w:rsidRPr="00B0618E">
        <w:rPr>
          <w:i/>
          <w:color w:val="auto"/>
          <w:vertAlign w:val="subscript"/>
        </w:rPr>
        <w:t>H</w:t>
      </w:r>
      <w:r w:rsidR="009810CF" w:rsidRPr="00B0618E">
        <w:rPr>
          <w:color w:val="auto"/>
        </w:rPr>
        <w:t>0</w:t>
      </w:r>
      <w:r w:rsidR="009810CF">
        <w:rPr>
          <w:color w:val="auto"/>
        </w:rPr>
        <w:t xml:space="preserve">8), and </w:t>
      </w:r>
      <w:r w:rsidR="009810CF" w:rsidRPr="00B0618E">
        <w:rPr>
          <w:color w:val="auto"/>
        </w:rPr>
        <w:t xml:space="preserve">the </w:t>
      </w:r>
      <w:r w:rsidRPr="00B0618E">
        <w:rPr>
          <w:color w:val="auto"/>
        </w:rPr>
        <w:t xml:space="preserve">vertical </w:t>
      </w:r>
      <w:r w:rsidRPr="00B0618E">
        <w:rPr>
          <w:i/>
          <w:color w:val="auto"/>
        </w:rPr>
        <w:t>K</w:t>
      </w:r>
      <w:r w:rsidRPr="00B0618E">
        <w:rPr>
          <w:color w:val="auto"/>
        </w:rPr>
        <w:t xml:space="preserve"> of the upper aquitard sequence</w:t>
      </w:r>
      <w:r w:rsidR="009810CF">
        <w:rPr>
          <w:color w:val="auto"/>
        </w:rPr>
        <w:t xml:space="preserve"> (</w:t>
      </w:r>
      <w:r w:rsidR="009810CF" w:rsidRPr="00B0618E">
        <w:rPr>
          <w:i/>
          <w:color w:val="auto"/>
        </w:rPr>
        <w:t>K</w:t>
      </w:r>
      <w:r w:rsidR="009810CF">
        <w:rPr>
          <w:i/>
          <w:color w:val="auto"/>
          <w:vertAlign w:val="subscript"/>
        </w:rPr>
        <w:t>V</w:t>
      </w:r>
      <w:r w:rsidR="009810CF" w:rsidRPr="00B0618E">
        <w:rPr>
          <w:color w:val="auto"/>
        </w:rPr>
        <w:t>0</w:t>
      </w:r>
      <w:r w:rsidR="009810CF">
        <w:rPr>
          <w:color w:val="auto"/>
        </w:rPr>
        <w:t>5)</w:t>
      </w:r>
      <w:r w:rsidRPr="00B0618E">
        <w:rPr>
          <w:color w:val="auto"/>
        </w:rPr>
        <w:t xml:space="preserve">. The influence of the </w:t>
      </w:r>
      <w:r w:rsidR="009810CF" w:rsidRPr="00B0618E">
        <w:rPr>
          <w:i/>
          <w:color w:val="auto"/>
        </w:rPr>
        <w:t>K</w:t>
      </w:r>
      <w:r w:rsidR="009810CF" w:rsidRPr="00B0618E">
        <w:rPr>
          <w:i/>
          <w:color w:val="auto"/>
          <w:vertAlign w:val="subscript"/>
        </w:rPr>
        <w:t>H</w:t>
      </w:r>
      <w:r w:rsidR="009810CF" w:rsidRPr="00B0618E">
        <w:rPr>
          <w:color w:val="auto"/>
        </w:rPr>
        <w:t>0</w:t>
      </w:r>
      <w:r w:rsidR="009810CF">
        <w:rPr>
          <w:color w:val="auto"/>
        </w:rPr>
        <w:t>1</w:t>
      </w:r>
      <w:r w:rsidRPr="00B0618E">
        <w:rPr>
          <w:color w:val="auto"/>
        </w:rPr>
        <w:t xml:space="preserve"> parameter is interpreted as follows: this parameter affects the movement of water </w:t>
      </w:r>
      <w:r w:rsidR="00881B5C">
        <w:rPr>
          <w:color w:val="auto"/>
        </w:rPr>
        <w:t>removed from</w:t>
      </w:r>
      <w:r w:rsidRPr="00B0618E">
        <w:rPr>
          <w:color w:val="auto"/>
        </w:rPr>
        <w:t xml:space="preserve"> the top layer of the model as </w:t>
      </w:r>
      <w:r w:rsidR="00881B5C">
        <w:rPr>
          <w:color w:val="auto"/>
        </w:rPr>
        <w:t xml:space="preserve">negative net </w:t>
      </w:r>
      <w:r w:rsidRPr="00B0618E">
        <w:rPr>
          <w:color w:val="auto"/>
        </w:rPr>
        <w:t xml:space="preserve">recharge. </w:t>
      </w:r>
      <w:r w:rsidR="003A7056">
        <w:rPr>
          <w:color w:val="auto"/>
        </w:rPr>
        <w:t xml:space="preserve">When </w:t>
      </w:r>
      <w:r w:rsidR="003A7056" w:rsidRPr="00B0618E">
        <w:rPr>
          <w:i/>
          <w:color w:val="auto"/>
        </w:rPr>
        <w:t>K</w:t>
      </w:r>
      <w:r w:rsidR="003A7056" w:rsidRPr="00B0618E">
        <w:rPr>
          <w:i/>
          <w:color w:val="auto"/>
          <w:vertAlign w:val="subscript"/>
        </w:rPr>
        <w:t>H</w:t>
      </w:r>
      <w:r w:rsidR="003A7056" w:rsidRPr="00B0618E">
        <w:rPr>
          <w:color w:val="auto"/>
        </w:rPr>
        <w:t>0</w:t>
      </w:r>
      <w:r w:rsidR="003A7056">
        <w:rPr>
          <w:color w:val="auto"/>
        </w:rPr>
        <w:t xml:space="preserve">1 is relatively small, the hydraulic gradient between the Namoi Alluvium aquifer and the indirectly underlying Pilliga Sandstone aquifer (i.e., the nearest additional water source) is higher. This results in relatively lower hydraulic heads in the Pilliga Sandstone aquifer, which are observed as drawdown. Conversely, when </w:t>
      </w:r>
      <w:r w:rsidR="003A7056" w:rsidRPr="00B0618E">
        <w:rPr>
          <w:i/>
          <w:color w:val="auto"/>
        </w:rPr>
        <w:t>K</w:t>
      </w:r>
      <w:r w:rsidR="003A7056" w:rsidRPr="00B0618E">
        <w:rPr>
          <w:i/>
          <w:color w:val="auto"/>
          <w:vertAlign w:val="subscript"/>
        </w:rPr>
        <w:t>H</w:t>
      </w:r>
      <w:r w:rsidR="003A7056" w:rsidRPr="00B0618E">
        <w:rPr>
          <w:color w:val="auto"/>
        </w:rPr>
        <w:t>0</w:t>
      </w:r>
      <w:r w:rsidR="003A7056">
        <w:rPr>
          <w:color w:val="auto"/>
        </w:rPr>
        <w:t xml:space="preserve">1 is relatively large, the hydraulic gradient between the two aquifers is lower; consequently, hydraulic heads in the Pilliga Sandstone aquifer are not significantly affected. </w:t>
      </w:r>
      <w:r w:rsidRPr="00B0618E">
        <w:rPr>
          <w:color w:val="auto"/>
        </w:rPr>
        <w:t xml:space="preserve">The influence of the vertical </w:t>
      </w:r>
      <w:r w:rsidRPr="00B0618E">
        <w:rPr>
          <w:i/>
          <w:color w:val="auto"/>
        </w:rPr>
        <w:t>K</w:t>
      </w:r>
      <w:r w:rsidRPr="00B0618E">
        <w:rPr>
          <w:color w:val="auto"/>
        </w:rPr>
        <w:t xml:space="preserve"> of the upper aquitard sequence </w:t>
      </w:r>
      <w:r w:rsidR="009810CF" w:rsidRPr="00B0618E">
        <w:rPr>
          <w:i/>
          <w:color w:val="auto"/>
        </w:rPr>
        <w:t>K</w:t>
      </w:r>
      <w:r w:rsidR="009810CF">
        <w:rPr>
          <w:i/>
          <w:color w:val="auto"/>
          <w:vertAlign w:val="subscript"/>
        </w:rPr>
        <w:t>V</w:t>
      </w:r>
      <w:r w:rsidR="009810CF" w:rsidRPr="00B0618E">
        <w:rPr>
          <w:color w:val="auto"/>
        </w:rPr>
        <w:t>0</w:t>
      </w:r>
      <w:r w:rsidR="009810CF">
        <w:rPr>
          <w:color w:val="auto"/>
        </w:rPr>
        <w:t xml:space="preserve">5 </w:t>
      </w:r>
      <w:r w:rsidRPr="00B0618E">
        <w:rPr>
          <w:color w:val="auto"/>
        </w:rPr>
        <w:t xml:space="preserve">is interpreted as </w:t>
      </w:r>
      <w:r w:rsidR="009810CF">
        <w:rPr>
          <w:color w:val="auto"/>
        </w:rPr>
        <w:t xml:space="preserve">the parameter </w:t>
      </w:r>
      <w:r w:rsidRPr="00B0618E">
        <w:rPr>
          <w:color w:val="auto"/>
        </w:rPr>
        <w:t>controlling the upward propagation of hydraulic stresses to the Pilliga Sandstone aquifer.</w:t>
      </w:r>
    </w:p>
    <w:p w14:paraId="26F261F6" w14:textId="7293DA98" w:rsidR="00B76544" w:rsidRPr="00B0618E" w:rsidRDefault="00B76544" w:rsidP="00737D7F">
      <w:pPr>
        <w:pStyle w:val="BodyText"/>
        <w:rPr>
          <w:color w:val="auto"/>
        </w:rPr>
      </w:pPr>
      <w:r>
        <w:rPr>
          <w:color w:val="auto"/>
        </w:rPr>
        <w:t xml:space="preserve">Based on these findings, further characterisation of the three parameters </w:t>
      </w:r>
      <w:r w:rsidR="00127385">
        <w:rPr>
          <w:color w:val="auto"/>
        </w:rPr>
        <w:t>(</w:t>
      </w:r>
      <w:r w:rsidR="00127385" w:rsidRPr="00B0618E">
        <w:rPr>
          <w:i/>
          <w:color w:val="auto"/>
        </w:rPr>
        <w:t>K</w:t>
      </w:r>
      <w:r w:rsidR="00127385" w:rsidRPr="00B0618E">
        <w:rPr>
          <w:i/>
          <w:color w:val="auto"/>
          <w:vertAlign w:val="subscript"/>
        </w:rPr>
        <w:t>H</w:t>
      </w:r>
      <w:r w:rsidR="00127385" w:rsidRPr="00B0618E">
        <w:rPr>
          <w:color w:val="auto"/>
        </w:rPr>
        <w:t>0</w:t>
      </w:r>
      <w:r w:rsidR="00127385">
        <w:rPr>
          <w:color w:val="auto"/>
        </w:rPr>
        <w:t xml:space="preserve">1, </w:t>
      </w:r>
      <w:r w:rsidR="00127385" w:rsidRPr="00B0618E">
        <w:rPr>
          <w:i/>
          <w:color w:val="auto"/>
        </w:rPr>
        <w:t>K</w:t>
      </w:r>
      <w:r w:rsidR="00127385">
        <w:rPr>
          <w:i/>
          <w:color w:val="auto"/>
          <w:vertAlign w:val="subscript"/>
        </w:rPr>
        <w:t>V</w:t>
      </w:r>
      <w:r w:rsidR="00127385" w:rsidRPr="00B0618E">
        <w:rPr>
          <w:color w:val="auto"/>
        </w:rPr>
        <w:t>0</w:t>
      </w:r>
      <w:r w:rsidR="00127385">
        <w:rPr>
          <w:color w:val="auto"/>
        </w:rPr>
        <w:t xml:space="preserve">5, </w:t>
      </w:r>
      <w:r w:rsidR="00127385" w:rsidRPr="00B0618E">
        <w:rPr>
          <w:i/>
          <w:color w:val="auto"/>
        </w:rPr>
        <w:t>K</w:t>
      </w:r>
      <w:r w:rsidR="00127385" w:rsidRPr="00B0618E">
        <w:rPr>
          <w:i/>
          <w:color w:val="auto"/>
          <w:vertAlign w:val="subscript"/>
        </w:rPr>
        <w:t>H</w:t>
      </w:r>
      <w:r w:rsidR="00127385" w:rsidRPr="00B0618E">
        <w:rPr>
          <w:color w:val="auto"/>
        </w:rPr>
        <w:t>0</w:t>
      </w:r>
      <w:r w:rsidR="00127385">
        <w:rPr>
          <w:color w:val="auto"/>
        </w:rPr>
        <w:t xml:space="preserve">8) </w:t>
      </w:r>
      <w:r>
        <w:rPr>
          <w:color w:val="auto"/>
        </w:rPr>
        <w:t>is warranted</w:t>
      </w:r>
      <w:r w:rsidR="003A7056">
        <w:rPr>
          <w:color w:val="auto"/>
        </w:rPr>
        <w:t>,</w:t>
      </w:r>
      <w:r>
        <w:rPr>
          <w:color w:val="auto"/>
        </w:rPr>
        <w:t xml:space="preserve"> </w:t>
      </w:r>
      <w:r w:rsidR="003A7056">
        <w:rPr>
          <w:color w:val="auto"/>
        </w:rPr>
        <w:t>assuming that</w:t>
      </w:r>
      <w:r>
        <w:rPr>
          <w:color w:val="auto"/>
        </w:rPr>
        <w:t xml:space="preserve"> the</w:t>
      </w:r>
      <w:r w:rsidR="003A7056">
        <w:rPr>
          <w:color w:val="auto"/>
        </w:rPr>
        <w:t xml:space="preserve"> </w:t>
      </w:r>
      <w:r>
        <w:rPr>
          <w:color w:val="auto"/>
        </w:rPr>
        <w:t xml:space="preserve">uncertainty </w:t>
      </w:r>
      <w:r w:rsidR="003A7056">
        <w:rPr>
          <w:color w:val="auto"/>
        </w:rPr>
        <w:t>associated with each of these parameters is either</w:t>
      </w:r>
      <w:r>
        <w:rPr>
          <w:color w:val="auto"/>
        </w:rPr>
        <w:t xml:space="preserve"> poorly characterised or known to be large.</w:t>
      </w:r>
      <w:r w:rsidR="00127385">
        <w:rPr>
          <w:color w:val="auto"/>
        </w:rPr>
        <w:t xml:space="preserve"> The question of parameter uncertainty was first addressed in Section </w:t>
      </w:r>
      <w:r w:rsidR="00E177DC">
        <w:rPr>
          <w:color w:val="auto"/>
        </w:rPr>
        <w:fldChar w:fldCharType="begin"/>
      </w:r>
      <w:r w:rsidR="00E177DC">
        <w:rPr>
          <w:color w:val="auto"/>
        </w:rPr>
        <w:instrText xml:space="preserve"> REF _Ref479501980 \r \h </w:instrText>
      </w:r>
      <w:r w:rsidR="00E177DC">
        <w:rPr>
          <w:color w:val="auto"/>
        </w:rPr>
      </w:r>
      <w:r w:rsidR="00E177DC">
        <w:rPr>
          <w:color w:val="auto"/>
        </w:rPr>
        <w:fldChar w:fldCharType="separate"/>
      </w:r>
      <w:r w:rsidR="000B6FA5">
        <w:rPr>
          <w:color w:val="auto"/>
        </w:rPr>
        <w:t>3.4</w:t>
      </w:r>
      <w:r w:rsidR="00E177DC">
        <w:rPr>
          <w:color w:val="auto"/>
        </w:rPr>
        <w:fldChar w:fldCharType="end"/>
      </w:r>
      <w:r w:rsidR="00127385">
        <w:rPr>
          <w:color w:val="auto"/>
        </w:rPr>
        <w:t xml:space="preserve">. </w:t>
      </w:r>
      <w:r w:rsidR="00127385" w:rsidRPr="00B0618E">
        <w:t>The</w:t>
      </w:r>
      <w:r w:rsidR="00127385">
        <w:t xml:space="preserve"> initial parameter uncertainty was defined </w:t>
      </w:r>
      <w:r w:rsidR="00E177DC">
        <w:t xml:space="preserve">by assuming </w:t>
      </w:r>
      <w:r w:rsidR="003A7056">
        <w:t>log-</w:t>
      </w:r>
      <w:r w:rsidR="00127385" w:rsidRPr="00B0618E">
        <w:t xml:space="preserve">uniform distributions with arbitrary ranges defined by the </w:t>
      </w:r>
      <w:r w:rsidR="00045A85">
        <w:t>CDM Smith (2016)</w:t>
      </w:r>
      <w:r w:rsidR="00127385" w:rsidRPr="00B0618E">
        <w:t xml:space="preserve"> parameter value (for each of </w:t>
      </w:r>
      <w:r w:rsidR="00127385" w:rsidRPr="00B0618E">
        <w:rPr>
          <w:i/>
        </w:rPr>
        <w:t>K</w:t>
      </w:r>
      <w:r w:rsidR="00127385" w:rsidRPr="00B0618E">
        <w:rPr>
          <w:i/>
          <w:vertAlign w:val="subscript"/>
        </w:rPr>
        <w:t>H</w:t>
      </w:r>
      <w:r w:rsidR="00127385" w:rsidRPr="00B0618E">
        <w:t xml:space="preserve">, </w:t>
      </w:r>
      <w:r w:rsidR="00127385" w:rsidRPr="00B0618E">
        <w:rPr>
          <w:i/>
        </w:rPr>
        <w:t>K</w:t>
      </w:r>
      <w:r w:rsidR="00127385" w:rsidRPr="00B0618E">
        <w:rPr>
          <w:i/>
          <w:vertAlign w:val="subscript"/>
        </w:rPr>
        <w:t>V</w:t>
      </w:r>
      <w:r w:rsidR="00127385" w:rsidRPr="00B0618E">
        <w:rPr>
          <w:i/>
        </w:rPr>
        <w:t xml:space="preserve"> </w:t>
      </w:r>
      <w:r w:rsidR="00127385" w:rsidRPr="00B0618E">
        <w:t xml:space="preserve">and </w:t>
      </w:r>
      <w:r w:rsidR="00127385" w:rsidRPr="00B0618E">
        <w:rPr>
          <w:i/>
        </w:rPr>
        <w:t>S</w:t>
      </w:r>
      <w:r w:rsidR="00127385" w:rsidRPr="00B0618E">
        <w:rPr>
          <w:i/>
          <w:vertAlign w:val="subscript"/>
        </w:rPr>
        <w:t>S</w:t>
      </w:r>
      <w:r w:rsidR="00127385" w:rsidRPr="00B0618E">
        <w:t>) ± two orders of magnitude.</w:t>
      </w:r>
      <w:r w:rsidR="000016FA">
        <w:t xml:space="preserve"> </w:t>
      </w:r>
      <w:r w:rsidR="00E46DC8">
        <w:t>V</w:t>
      </w:r>
      <w:r w:rsidR="000016FA">
        <w:t xml:space="preserve">ery </w:t>
      </w:r>
      <w:r w:rsidR="00E46DC8">
        <w:t>few</w:t>
      </w:r>
      <w:r w:rsidR="000016FA">
        <w:t xml:space="preserve"> data </w:t>
      </w:r>
      <w:r w:rsidR="00E46DC8">
        <w:t xml:space="preserve">were available </w:t>
      </w:r>
      <w:r w:rsidR="000016FA">
        <w:t>to define a more credible parameter distribution</w:t>
      </w:r>
      <w:r w:rsidR="00E46DC8">
        <w:t>;</w:t>
      </w:r>
      <w:r w:rsidR="000016FA">
        <w:t xml:space="preserve"> hence</w:t>
      </w:r>
      <w:r w:rsidR="00E46DC8">
        <w:t>,</w:t>
      </w:r>
      <w:r w:rsidR="000016FA">
        <w:t xml:space="preserve"> the initial uncertainty </w:t>
      </w:r>
      <w:r w:rsidR="00E46DC8">
        <w:t>wa</w:t>
      </w:r>
      <w:r w:rsidR="000016FA">
        <w:t xml:space="preserve">s indeed poorly defined and therefore improved characterisation of </w:t>
      </w:r>
      <w:r w:rsidR="000016FA">
        <w:rPr>
          <w:color w:val="auto"/>
        </w:rPr>
        <w:t>the three parameters (</w:t>
      </w:r>
      <w:r w:rsidR="000016FA" w:rsidRPr="00B0618E">
        <w:rPr>
          <w:i/>
          <w:color w:val="auto"/>
        </w:rPr>
        <w:t>K</w:t>
      </w:r>
      <w:r w:rsidR="000016FA" w:rsidRPr="00B0618E">
        <w:rPr>
          <w:i/>
          <w:color w:val="auto"/>
          <w:vertAlign w:val="subscript"/>
        </w:rPr>
        <w:t>H</w:t>
      </w:r>
      <w:r w:rsidR="000016FA" w:rsidRPr="00B0618E">
        <w:rPr>
          <w:color w:val="auto"/>
        </w:rPr>
        <w:t>0</w:t>
      </w:r>
      <w:r w:rsidR="000016FA">
        <w:rPr>
          <w:color w:val="auto"/>
        </w:rPr>
        <w:t xml:space="preserve">1, </w:t>
      </w:r>
      <w:r w:rsidR="000016FA" w:rsidRPr="00B0618E">
        <w:rPr>
          <w:i/>
          <w:color w:val="auto"/>
        </w:rPr>
        <w:t>K</w:t>
      </w:r>
      <w:r w:rsidR="000016FA">
        <w:rPr>
          <w:i/>
          <w:color w:val="auto"/>
          <w:vertAlign w:val="subscript"/>
        </w:rPr>
        <w:t>V</w:t>
      </w:r>
      <w:r w:rsidR="000016FA" w:rsidRPr="00B0618E">
        <w:rPr>
          <w:color w:val="auto"/>
        </w:rPr>
        <w:t>0</w:t>
      </w:r>
      <w:r w:rsidR="000016FA">
        <w:rPr>
          <w:color w:val="auto"/>
        </w:rPr>
        <w:t xml:space="preserve">5, </w:t>
      </w:r>
      <w:r w:rsidR="000016FA" w:rsidRPr="00B0618E">
        <w:rPr>
          <w:i/>
          <w:color w:val="auto"/>
        </w:rPr>
        <w:t>K</w:t>
      </w:r>
      <w:r w:rsidR="000016FA" w:rsidRPr="00B0618E">
        <w:rPr>
          <w:i/>
          <w:color w:val="auto"/>
          <w:vertAlign w:val="subscript"/>
        </w:rPr>
        <w:t>H</w:t>
      </w:r>
      <w:r w:rsidR="000016FA" w:rsidRPr="00B0618E">
        <w:rPr>
          <w:color w:val="auto"/>
        </w:rPr>
        <w:t>0</w:t>
      </w:r>
      <w:r w:rsidR="000016FA">
        <w:rPr>
          <w:color w:val="auto"/>
        </w:rPr>
        <w:t xml:space="preserve">8) </w:t>
      </w:r>
      <w:r w:rsidR="00E46DC8">
        <w:rPr>
          <w:color w:val="auto"/>
        </w:rPr>
        <w:t xml:space="preserve">was </w:t>
      </w:r>
      <w:r w:rsidR="000016FA">
        <w:rPr>
          <w:color w:val="auto"/>
        </w:rPr>
        <w:t>justified</w:t>
      </w:r>
      <w:r w:rsidR="000016FA">
        <w:t xml:space="preserve">. </w:t>
      </w:r>
      <w:r w:rsidR="003A7056">
        <w:t xml:space="preserve">Given the specific focus of the present study on </w:t>
      </w:r>
      <w:r w:rsidR="00E46DC8">
        <w:t xml:space="preserve">aquitard </w:t>
      </w:r>
      <w:r w:rsidR="003A7056">
        <w:t xml:space="preserve">properties and their representation, the improved characterisation of aquitard </w:t>
      </w:r>
      <w:r w:rsidR="00E46DC8">
        <w:t xml:space="preserve">(e.g., </w:t>
      </w:r>
      <w:r w:rsidR="00E46DC8" w:rsidRPr="00B0618E">
        <w:rPr>
          <w:i/>
          <w:color w:val="auto"/>
        </w:rPr>
        <w:t>K</w:t>
      </w:r>
      <w:r w:rsidR="00E46DC8">
        <w:rPr>
          <w:i/>
          <w:color w:val="auto"/>
          <w:vertAlign w:val="subscript"/>
        </w:rPr>
        <w:t>V</w:t>
      </w:r>
      <w:r w:rsidR="00E46DC8" w:rsidRPr="00B0618E">
        <w:rPr>
          <w:color w:val="auto"/>
        </w:rPr>
        <w:t>0</w:t>
      </w:r>
      <w:r w:rsidR="00E46DC8">
        <w:rPr>
          <w:color w:val="auto"/>
        </w:rPr>
        <w:t xml:space="preserve">5) </w:t>
      </w:r>
      <w:r w:rsidR="00E46DC8">
        <w:t xml:space="preserve">hydraulic conductivity </w:t>
      </w:r>
      <w:r w:rsidR="00E46DC8">
        <w:rPr>
          <w:color w:val="auto"/>
        </w:rPr>
        <w:t xml:space="preserve">was pursued in this study, rather than aquifer (e.g., </w:t>
      </w:r>
      <w:r w:rsidR="00E46DC8" w:rsidRPr="00B0618E">
        <w:rPr>
          <w:i/>
          <w:color w:val="auto"/>
        </w:rPr>
        <w:t>K</w:t>
      </w:r>
      <w:r w:rsidR="00E46DC8" w:rsidRPr="00B0618E">
        <w:rPr>
          <w:i/>
          <w:color w:val="auto"/>
          <w:vertAlign w:val="subscript"/>
        </w:rPr>
        <w:t>H</w:t>
      </w:r>
      <w:r w:rsidR="00E46DC8" w:rsidRPr="00B0618E">
        <w:rPr>
          <w:color w:val="auto"/>
        </w:rPr>
        <w:t>0</w:t>
      </w:r>
      <w:r w:rsidR="00E46DC8">
        <w:rPr>
          <w:color w:val="auto"/>
        </w:rPr>
        <w:t xml:space="preserve">1) or coal seam (e.g., </w:t>
      </w:r>
      <w:r w:rsidR="00E46DC8" w:rsidRPr="00B0618E">
        <w:rPr>
          <w:i/>
          <w:color w:val="auto"/>
        </w:rPr>
        <w:t>K</w:t>
      </w:r>
      <w:r w:rsidR="00E46DC8" w:rsidRPr="00B0618E">
        <w:rPr>
          <w:i/>
          <w:color w:val="auto"/>
          <w:vertAlign w:val="subscript"/>
        </w:rPr>
        <w:t>H</w:t>
      </w:r>
      <w:r w:rsidR="00E46DC8" w:rsidRPr="00B0618E">
        <w:rPr>
          <w:color w:val="auto"/>
        </w:rPr>
        <w:t>0</w:t>
      </w:r>
      <w:r w:rsidR="00E46DC8">
        <w:rPr>
          <w:color w:val="auto"/>
        </w:rPr>
        <w:t>8) hydraulic conductivity</w:t>
      </w:r>
      <w:r w:rsidR="000016FA">
        <w:rPr>
          <w:color w:val="auto"/>
        </w:rPr>
        <w:t xml:space="preserve">. </w:t>
      </w:r>
    </w:p>
    <w:p w14:paraId="05712BD3" w14:textId="3E5A2A5B" w:rsidR="00BF4D39" w:rsidRPr="00B0618E" w:rsidRDefault="0034157C" w:rsidP="00BF4D39">
      <w:pPr>
        <w:pStyle w:val="Heading2"/>
      </w:pPr>
      <w:bookmarkStart w:id="84" w:name="_Ref476069585"/>
      <w:bookmarkStart w:id="85" w:name="_Toc483127575"/>
      <w:r w:rsidRPr="00B0618E">
        <w:t>Prediction u</w:t>
      </w:r>
      <w:r w:rsidR="00BF4D39" w:rsidRPr="00B0618E">
        <w:t>ncertainty analysis - Results</w:t>
      </w:r>
      <w:bookmarkEnd w:id="84"/>
      <w:r w:rsidRPr="00B0618E">
        <w:t xml:space="preserve"> and Discussion</w:t>
      </w:r>
      <w:bookmarkEnd w:id="85"/>
    </w:p>
    <w:p w14:paraId="61AAFDCA" w14:textId="56EEB216" w:rsidR="00BF4D39" w:rsidRPr="00B0618E" w:rsidRDefault="00DF4A58" w:rsidP="00DF4A58">
      <w:pPr>
        <w:pStyle w:val="BodyText"/>
      </w:pPr>
      <w:r w:rsidRPr="00B0618E">
        <w:t xml:space="preserve">The uncertainty of predictions generated using the </w:t>
      </w:r>
      <w:r w:rsidR="00045A85">
        <w:t>CDM Smith (2016)</w:t>
      </w:r>
      <w:r w:rsidRPr="00B0618E">
        <w:t xml:space="preserve"> Gunnedah</w:t>
      </w:r>
      <w:r w:rsidR="003A7056">
        <w:t>-Surat</w:t>
      </w:r>
      <w:r w:rsidRPr="00B0618E">
        <w:t xml:space="preserve"> </w:t>
      </w:r>
      <w:r w:rsidR="003A7056">
        <w:t>b</w:t>
      </w:r>
      <w:r w:rsidRPr="00B0618E">
        <w:t>asin</w:t>
      </w:r>
      <w:r w:rsidR="003A7056">
        <w:t>s</w:t>
      </w:r>
      <w:r w:rsidRPr="00B0618E">
        <w:t xml:space="preserve"> model is described using summary statistics as follows.</w:t>
      </w:r>
      <w:r w:rsidR="00C150A3" w:rsidRPr="00B0618E">
        <w:t xml:space="preserve"> Differences between maximum and minimum values do not provide robust estimates of prediction uncertainty, as these are highly sensitive to the presence of outlying values. Instead, prediction uncertainty is quantified here using </w:t>
      </w:r>
      <w:r w:rsidR="003A7056">
        <w:t>three</w:t>
      </w:r>
      <w:r w:rsidR="00C150A3" w:rsidRPr="00B0618E">
        <w:t xml:space="preserve"> statistic</w:t>
      </w:r>
      <w:r w:rsidR="00470DF3" w:rsidRPr="00B0618E">
        <w:t>al measures</w:t>
      </w:r>
      <w:r w:rsidR="00C150A3" w:rsidRPr="00B0618E">
        <w:t xml:space="preserve">: (1) </w:t>
      </w:r>
      <w:r w:rsidR="001D2998" w:rsidRPr="00B0618E">
        <w:t>standard deviation</w:t>
      </w:r>
      <w:r w:rsidR="00C150A3" w:rsidRPr="00B0618E">
        <w:t>, which is commonly used in linearised prediction uncertainty analyses</w:t>
      </w:r>
      <w:r w:rsidR="001D2998" w:rsidRPr="00B0618E">
        <w:t xml:space="preserve"> (</w:t>
      </w:r>
      <w:r w:rsidR="00693154" w:rsidRPr="00B0618E">
        <w:t xml:space="preserve">though </w:t>
      </w:r>
      <w:r w:rsidR="003A7056">
        <w:t>typically</w:t>
      </w:r>
      <w:r w:rsidR="001D2998" w:rsidRPr="00B0618E">
        <w:t xml:space="preserve"> implemented as variance)</w:t>
      </w:r>
      <w:r w:rsidR="00C150A3" w:rsidRPr="00B0618E">
        <w:t>; (</w:t>
      </w:r>
      <w:r w:rsidR="003A7056">
        <w:t>2</w:t>
      </w:r>
      <w:r w:rsidR="00C150A3" w:rsidRPr="00B0618E">
        <w:t xml:space="preserve">) the interquartile range (i.e., the difference between the </w:t>
      </w:r>
      <w:r w:rsidR="003A7056">
        <w:t>2</w:t>
      </w:r>
      <w:r w:rsidR="00C150A3" w:rsidRPr="00B0618E">
        <w:t>5</w:t>
      </w:r>
      <w:r w:rsidR="00C150A3" w:rsidRPr="00B0618E">
        <w:rPr>
          <w:vertAlign w:val="superscript"/>
        </w:rPr>
        <w:t>th</w:t>
      </w:r>
      <w:r w:rsidR="00C150A3" w:rsidRPr="00B0618E">
        <w:t xml:space="preserve"> and </w:t>
      </w:r>
      <w:r w:rsidR="003A7056">
        <w:t>7</w:t>
      </w:r>
      <w:r w:rsidR="00C150A3" w:rsidRPr="00B0618E">
        <w:t>5</w:t>
      </w:r>
      <w:r w:rsidR="00C150A3" w:rsidRPr="00B0618E">
        <w:rPr>
          <w:vertAlign w:val="superscript"/>
        </w:rPr>
        <w:t>th</w:t>
      </w:r>
      <w:r w:rsidR="00C150A3" w:rsidRPr="00B0618E">
        <w:t xml:space="preserve"> percentiles), which is most robust to outliers</w:t>
      </w:r>
      <w:r w:rsidR="00470DF3" w:rsidRPr="00B0618E">
        <w:t>; and</w:t>
      </w:r>
      <w:r w:rsidR="00C150A3" w:rsidRPr="00B0618E">
        <w:t xml:space="preserve"> (</w:t>
      </w:r>
      <w:r w:rsidR="003A7056">
        <w:t>3</w:t>
      </w:r>
      <w:r w:rsidR="00C150A3" w:rsidRPr="00B0618E">
        <w:t xml:space="preserve">) the 90 </w:t>
      </w:r>
      <w:r w:rsidR="003A7056">
        <w:t>% confidence interval</w:t>
      </w:r>
      <w:r w:rsidR="00C150A3" w:rsidRPr="00B0618E">
        <w:t xml:space="preserve"> (i.e., the difference between the </w:t>
      </w:r>
      <w:r w:rsidR="0076348C">
        <w:t>5</w:t>
      </w:r>
      <w:r w:rsidR="00C150A3" w:rsidRPr="00B0618E">
        <w:rPr>
          <w:vertAlign w:val="superscript"/>
        </w:rPr>
        <w:t>th</w:t>
      </w:r>
      <w:r w:rsidR="00C150A3" w:rsidRPr="00B0618E">
        <w:t xml:space="preserve"> and </w:t>
      </w:r>
      <w:r w:rsidR="0076348C">
        <w:t>95</w:t>
      </w:r>
      <w:r w:rsidR="00C150A3" w:rsidRPr="00B0618E">
        <w:rPr>
          <w:vertAlign w:val="superscript"/>
        </w:rPr>
        <w:t>th</w:t>
      </w:r>
      <w:r w:rsidR="00C150A3" w:rsidRPr="00B0618E">
        <w:t xml:space="preserve"> percentiles</w:t>
      </w:r>
      <w:r w:rsidR="00AA1933" w:rsidRPr="00B0618E">
        <w:t>)</w:t>
      </w:r>
      <w:r w:rsidR="00C150A3" w:rsidRPr="00B0618E">
        <w:t>.</w:t>
      </w:r>
      <w:r w:rsidR="00197214" w:rsidRPr="00B0618E">
        <w:t xml:space="preserve"> </w:t>
      </w:r>
    </w:p>
    <w:p w14:paraId="77D71ACD" w14:textId="77777777" w:rsidR="00BF4D39" w:rsidRPr="00B0618E" w:rsidRDefault="00BF4D39" w:rsidP="00BF4D39">
      <w:pPr>
        <w:pStyle w:val="Heading3"/>
      </w:pPr>
      <w:r w:rsidRPr="00B0618E">
        <w:t>Prediction 1: Magnitude of maximum drawdown</w:t>
      </w:r>
    </w:p>
    <w:p w14:paraId="122C244F" w14:textId="6353FE27" w:rsidR="009F63B0" w:rsidRPr="00B0618E" w:rsidRDefault="001F4987" w:rsidP="00BF4D39">
      <w:pPr>
        <w:pStyle w:val="BodyText"/>
      </w:pPr>
      <w:r w:rsidRPr="00B0618E">
        <w:t>Using a sample size of 300 model runs, p</w:t>
      </w:r>
      <w:r w:rsidR="00DF4A58" w:rsidRPr="00B0618E">
        <w:t xml:space="preserve">redictions of the magnitude of maximum drawdown </w:t>
      </w:r>
      <w:r w:rsidR="00057438" w:rsidRPr="00B0618E">
        <w:t xml:space="preserve">at any active Pilliga Sandstone aquifer cell in the </w:t>
      </w:r>
      <w:r w:rsidR="00A91D99" w:rsidRPr="00B0618E">
        <w:t xml:space="preserve">model domain </w:t>
      </w:r>
      <w:r w:rsidR="00DF4A58" w:rsidRPr="00B0618E">
        <w:t xml:space="preserve">ranged from </w:t>
      </w:r>
      <w:r w:rsidR="00E65489" w:rsidRPr="00B0618E">
        <w:t>&lt;</w:t>
      </w:r>
      <w:r w:rsidR="00057438" w:rsidRPr="00B0618E">
        <w:t xml:space="preserve"> </w:t>
      </w:r>
      <w:r w:rsidR="00E65489" w:rsidRPr="00B0618E">
        <w:t>1</w:t>
      </w:r>
      <w:r w:rsidR="00DF4A58" w:rsidRPr="00B0618E">
        <w:t>.0 m to 29.7 m, with a median value of 0.7 m</w:t>
      </w:r>
      <w:r w:rsidR="00C656FE" w:rsidRPr="00B0618E">
        <w:t xml:space="preserve"> (</w:t>
      </w:r>
      <w:r w:rsidR="00C656FE" w:rsidRPr="00B0618E">
        <w:fldChar w:fldCharType="begin"/>
      </w:r>
      <w:r w:rsidR="00C656FE" w:rsidRPr="00B0618E">
        <w:instrText xml:space="preserve"> REF _Ref477363692 \h </w:instrText>
      </w:r>
      <w:r w:rsidR="00B0618E">
        <w:instrText xml:space="preserve"> \* MERGEFORMAT </w:instrText>
      </w:r>
      <w:r w:rsidR="00C656FE" w:rsidRPr="00B0618E">
        <w:fldChar w:fldCharType="separate"/>
      </w:r>
      <w:r w:rsidR="000B6FA5" w:rsidRPr="00B0618E">
        <w:t xml:space="preserve">Figure </w:t>
      </w:r>
      <w:r w:rsidR="000B6FA5">
        <w:rPr>
          <w:noProof/>
        </w:rPr>
        <w:t>3</w:t>
      </w:r>
      <w:r w:rsidR="000B6FA5">
        <w:rPr>
          <w:noProof/>
        </w:rPr>
        <w:noBreakHyphen/>
        <w:t>12</w:t>
      </w:r>
      <w:r w:rsidR="00C656FE" w:rsidRPr="00B0618E">
        <w:fldChar w:fldCharType="end"/>
      </w:r>
      <w:r w:rsidR="00C656FE" w:rsidRPr="00B0618E">
        <w:t>)</w:t>
      </w:r>
      <w:r w:rsidR="00DF4A58" w:rsidRPr="00B0618E">
        <w:t xml:space="preserve">. </w:t>
      </w:r>
      <w:r w:rsidR="00AD5FDB" w:rsidRPr="00B0618E">
        <w:t>T</w:t>
      </w:r>
      <w:r w:rsidR="00B7143E" w:rsidRPr="00B0618E">
        <w:t xml:space="preserve">he </w:t>
      </w:r>
      <w:r w:rsidR="00AD5FDB" w:rsidRPr="00B0618E">
        <w:t>strongly right</w:t>
      </w:r>
      <w:r w:rsidR="00B7143E" w:rsidRPr="00B0618E">
        <w:t>-skewe</w:t>
      </w:r>
      <w:r w:rsidR="00AD5FDB" w:rsidRPr="00B0618E">
        <w:t>d frequency histogram indicated</w:t>
      </w:r>
      <w:r w:rsidR="00B7143E" w:rsidRPr="00B0618E">
        <w:t xml:space="preserve"> that many model runs </w:t>
      </w:r>
      <w:r w:rsidR="00AD5FDB" w:rsidRPr="00B0618E">
        <w:t>predicted near-zero maximum drawdown values</w:t>
      </w:r>
      <w:r w:rsidR="00B7143E" w:rsidRPr="00B0618E">
        <w:t xml:space="preserve">. </w:t>
      </w:r>
      <w:r w:rsidR="007607BB" w:rsidRPr="00B0618E">
        <w:t xml:space="preserve">The </w:t>
      </w:r>
      <w:r w:rsidR="001D2998" w:rsidRPr="00B0618E">
        <w:t>standard deviation</w:t>
      </w:r>
      <w:r w:rsidR="007607BB" w:rsidRPr="00B0618E">
        <w:t xml:space="preserve"> of predicted values was </w:t>
      </w:r>
      <w:r w:rsidR="001D2998" w:rsidRPr="00B0618E">
        <w:t>3.0</w:t>
      </w:r>
      <w:r w:rsidR="007607BB" w:rsidRPr="00B0618E">
        <w:t xml:space="preserve"> m. </w:t>
      </w:r>
      <w:r w:rsidR="00DF4A58" w:rsidRPr="00B0618E">
        <w:t xml:space="preserve">The interquartile range of predicted values </w:t>
      </w:r>
      <w:r w:rsidR="007607BB" w:rsidRPr="00B0618E">
        <w:t xml:space="preserve">was </w:t>
      </w:r>
      <w:r w:rsidR="00DF4A58" w:rsidRPr="00B0618E">
        <w:t xml:space="preserve">3.0 m, </w:t>
      </w:r>
      <w:r w:rsidR="007607BB" w:rsidRPr="00B0618E">
        <w:t xml:space="preserve">ranging </w:t>
      </w:r>
      <w:r w:rsidR="00DF4A58" w:rsidRPr="00B0618E">
        <w:t>from 0.1 m to 3.1 m.</w:t>
      </w:r>
      <w:r w:rsidR="007607BB" w:rsidRPr="00B0618E">
        <w:t xml:space="preserve"> </w:t>
      </w:r>
      <w:r w:rsidR="007D4D45" w:rsidRPr="00B0618E">
        <w:t xml:space="preserve">The 90 % confidence interval was 0.6 m, ranging from 1.8 m to 2.3 m. </w:t>
      </w:r>
      <w:r w:rsidR="00197214" w:rsidRPr="00CE6DD9">
        <w:t xml:space="preserve">It should be noted that the numerical convergence criterion with regards to hydraulic head (i.e., 0.1 m) should be considered as an acceptance threshold for this prediction. The magnitude of maximum drawdown was calculated as </w:t>
      </w:r>
      <w:r w:rsidR="00DB3FC3" w:rsidRPr="00CE6DD9">
        <w:t>≤</w:t>
      </w:r>
      <w:r w:rsidR="00197214" w:rsidRPr="00CE6DD9">
        <w:t xml:space="preserve"> 0.1 m in </w:t>
      </w:r>
      <w:r w:rsidR="00CE6DD9">
        <w:t>65</w:t>
      </w:r>
      <w:r w:rsidR="00CE6DD9" w:rsidRPr="00CE6DD9">
        <w:t xml:space="preserve"> </w:t>
      </w:r>
      <w:r w:rsidR="00197214" w:rsidRPr="00CE6DD9">
        <w:t>of the 300 model runs.</w:t>
      </w:r>
    </w:p>
    <w:p w14:paraId="4279ABAA" w14:textId="5DF103E5" w:rsidR="00475D90" w:rsidRPr="00B0618E" w:rsidRDefault="008F1177" w:rsidP="00F40E73">
      <w:pPr>
        <w:pStyle w:val="BodyText"/>
        <w:keepNext/>
        <w:jc w:val="center"/>
      </w:pPr>
      <w:r w:rsidRPr="00B0618E">
        <w:rPr>
          <w:noProof/>
        </w:rPr>
        <w:drawing>
          <wp:inline distT="0" distB="0" distL="0" distR="0" wp14:anchorId="68CACD4C" wp14:editId="39EE7E5E">
            <wp:extent cx="5761990" cy="2875280"/>
            <wp:effectExtent l="0" t="0" r="0" b="1270"/>
            <wp:docPr id="55" name="Picture 55" descr="Charts of model output statistics" title="Fig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WS_FAM\Models\Version6_SA_reanalysis_061016\Plot_bootstrap_outputs_v06_010317_CDF_PDF_MXD.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1990" cy="2875280"/>
                    </a:xfrm>
                    <a:prstGeom prst="rect">
                      <a:avLst/>
                    </a:prstGeom>
                    <a:noFill/>
                    <a:ln>
                      <a:noFill/>
                    </a:ln>
                  </pic:spPr>
                </pic:pic>
              </a:graphicData>
            </a:graphic>
          </wp:inline>
        </w:drawing>
      </w:r>
    </w:p>
    <w:p w14:paraId="50BB5EBD" w14:textId="60242253" w:rsidR="00475D90" w:rsidRPr="00B0618E" w:rsidRDefault="00475D90" w:rsidP="00475D90">
      <w:pPr>
        <w:pStyle w:val="Caption"/>
      </w:pPr>
      <w:bookmarkStart w:id="86" w:name="_Ref477363692"/>
      <w:bookmarkStart w:id="87" w:name="_Toc482034913"/>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12</w:t>
      </w:r>
      <w:r w:rsidR="00A2085C">
        <w:rPr>
          <w:noProof/>
        </w:rPr>
        <w:fldChar w:fldCharType="end"/>
      </w:r>
      <w:bookmarkEnd w:id="86"/>
      <w:r w:rsidRPr="00B0618E">
        <w:t xml:space="preserve">. (a) Cumulative </w:t>
      </w:r>
      <w:r w:rsidR="00C656FE" w:rsidRPr="00B0618E">
        <w:t xml:space="preserve">density function </w:t>
      </w:r>
      <w:r w:rsidRPr="00B0618E">
        <w:t xml:space="preserve">and (b) </w:t>
      </w:r>
      <w:r w:rsidR="00C656FE" w:rsidRPr="00B0618E">
        <w:t xml:space="preserve">frequency histogram </w:t>
      </w:r>
      <w:r w:rsidRPr="00B0618E">
        <w:t>of initial modelled predictions of the magnitude of maximum drawdown</w:t>
      </w:r>
      <w:r w:rsidR="004107EF" w:rsidRPr="00B0618E">
        <w:t>, based on a sample size of 300 model runs</w:t>
      </w:r>
      <w:r w:rsidRPr="00B0618E">
        <w:t>.</w:t>
      </w:r>
      <w:bookmarkEnd w:id="87"/>
    </w:p>
    <w:p w14:paraId="3F2E6B87" w14:textId="77777777" w:rsidR="00BF4D39" w:rsidRPr="00B0618E" w:rsidRDefault="00BF4D39" w:rsidP="00BF4D39">
      <w:pPr>
        <w:pStyle w:val="Heading3"/>
      </w:pPr>
      <w:r w:rsidRPr="00B0618E">
        <w:t>Prediction 2: Timing of maximum drawdown</w:t>
      </w:r>
    </w:p>
    <w:p w14:paraId="72DFDEF9" w14:textId="375140FC" w:rsidR="009F63B0" w:rsidRPr="00B0618E" w:rsidRDefault="001F4987" w:rsidP="00BF4D39">
      <w:pPr>
        <w:pStyle w:val="BodyText"/>
      </w:pPr>
      <w:r w:rsidRPr="00B0618E">
        <w:t>Using a sample size of 300 model runs, p</w:t>
      </w:r>
      <w:r w:rsidR="00DF4A58" w:rsidRPr="00B0618E">
        <w:t>redictions of the timing of maximum drawdown ranged from 1</w:t>
      </w:r>
      <w:r w:rsidR="00C96617">
        <w:t xml:space="preserve"> years </w:t>
      </w:r>
      <w:r w:rsidR="00DF4A58" w:rsidRPr="00B0618E">
        <w:t xml:space="preserve">to </w:t>
      </w:r>
      <w:r w:rsidR="00221D10" w:rsidRPr="00B0618E">
        <w:t>160</w:t>
      </w:r>
      <w:r w:rsidR="00C96617">
        <w:t xml:space="preserve"> years,</w:t>
      </w:r>
      <w:r w:rsidR="00DF4A58" w:rsidRPr="00B0618E">
        <w:t xml:space="preserve"> with a median value of 1</w:t>
      </w:r>
      <w:r w:rsidR="00221D10" w:rsidRPr="00B0618E">
        <w:t>54</w:t>
      </w:r>
      <w:r w:rsidR="00C96617">
        <w:t xml:space="preserve"> years </w:t>
      </w:r>
      <w:r w:rsidR="002F5CB8" w:rsidRPr="00B0618E">
        <w:t>(</w:t>
      </w:r>
      <w:r w:rsidR="002F5CB8" w:rsidRPr="00B0618E">
        <w:fldChar w:fldCharType="begin"/>
      </w:r>
      <w:r w:rsidR="002F5CB8" w:rsidRPr="00B0618E">
        <w:instrText xml:space="preserve"> REF _Ref476228273 \h </w:instrText>
      </w:r>
      <w:r w:rsidR="00B0618E">
        <w:instrText xml:space="preserve"> \* MERGEFORMAT </w:instrText>
      </w:r>
      <w:r w:rsidR="002F5CB8" w:rsidRPr="00B0618E">
        <w:fldChar w:fldCharType="separate"/>
      </w:r>
      <w:r w:rsidR="000B6FA5" w:rsidRPr="00B0618E">
        <w:t xml:space="preserve">Figure </w:t>
      </w:r>
      <w:r w:rsidR="000B6FA5">
        <w:rPr>
          <w:noProof/>
        </w:rPr>
        <w:t>3</w:t>
      </w:r>
      <w:r w:rsidR="000B6FA5">
        <w:rPr>
          <w:noProof/>
        </w:rPr>
        <w:noBreakHyphen/>
        <w:t>13</w:t>
      </w:r>
      <w:r w:rsidR="002F5CB8" w:rsidRPr="00B0618E">
        <w:fldChar w:fldCharType="end"/>
      </w:r>
      <w:r w:rsidR="002F5CB8" w:rsidRPr="00B0618E">
        <w:t>)</w:t>
      </w:r>
      <w:r w:rsidR="00DF4A58" w:rsidRPr="00B0618E">
        <w:t xml:space="preserve">. </w:t>
      </w:r>
      <w:r w:rsidR="007607BB" w:rsidRPr="00B0618E">
        <w:t xml:space="preserve">The </w:t>
      </w:r>
      <w:r w:rsidR="001D2998" w:rsidRPr="00B0618E">
        <w:t xml:space="preserve">standard deviation </w:t>
      </w:r>
      <w:r w:rsidR="007607BB" w:rsidRPr="00B0618E">
        <w:t xml:space="preserve">of predicted values was </w:t>
      </w:r>
      <w:r w:rsidR="001D2998" w:rsidRPr="00B0618E">
        <w:t>42</w:t>
      </w:r>
      <w:r w:rsidR="00C96617">
        <w:t xml:space="preserve"> years.</w:t>
      </w:r>
      <w:r w:rsidR="007607BB" w:rsidRPr="00B0618E">
        <w:t xml:space="preserve"> </w:t>
      </w:r>
      <w:r w:rsidR="00DF4A58" w:rsidRPr="00B0618E">
        <w:t xml:space="preserve">The interquartile range of predicted values </w:t>
      </w:r>
      <w:r w:rsidR="007607BB" w:rsidRPr="00B0618E">
        <w:t>was</w:t>
      </w:r>
      <w:r w:rsidR="00DF4A58" w:rsidRPr="00B0618E">
        <w:t xml:space="preserve"> </w:t>
      </w:r>
      <w:r w:rsidR="00221D10" w:rsidRPr="00B0618E">
        <w:t>46</w:t>
      </w:r>
      <w:r w:rsidR="00C96617">
        <w:t xml:space="preserve"> years,</w:t>
      </w:r>
      <w:r w:rsidR="00DF4A58" w:rsidRPr="00B0618E">
        <w:t xml:space="preserve"> </w:t>
      </w:r>
      <w:r w:rsidR="007607BB" w:rsidRPr="00B0618E">
        <w:t xml:space="preserve">ranging </w:t>
      </w:r>
      <w:r w:rsidR="00DF4A58" w:rsidRPr="00B0618E">
        <w:t xml:space="preserve">from </w:t>
      </w:r>
      <w:r w:rsidR="00221D10" w:rsidRPr="00B0618E">
        <w:t>114</w:t>
      </w:r>
      <w:r w:rsidR="00C96617">
        <w:t xml:space="preserve"> years </w:t>
      </w:r>
      <w:r w:rsidR="00DF4A58" w:rsidRPr="00B0618E">
        <w:t xml:space="preserve">to </w:t>
      </w:r>
      <w:r w:rsidR="00221D10" w:rsidRPr="00B0618E">
        <w:t>160</w:t>
      </w:r>
      <w:r w:rsidR="00C96617">
        <w:t xml:space="preserve"> years.</w:t>
      </w:r>
      <w:r w:rsidR="000823AC" w:rsidRPr="00B0618E">
        <w:t xml:space="preserve"> </w:t>
      </w:r>
      <w:r w:rsidR="000B1240" w:rsidRPr="00B0618E">
        <w:t>The 90 % confidence interval was 8</w:t>
      </w:r>
      <w:r w:rsidR="000B1240">
        <w:t xml:space="preserve"> years,</w:t>
      </w:r>
      <w:r w:rsidR="000B1240" w:rsidRPr="00B0618E">
        <w:t xml:space="preserve"> ranging from 127</w:t>
      </w:r>
      <w:r w:rsidR="000B1240">
        <w:t xml:space="preserve"> years </w:t>
      </w:r>
      <w:r w:rsidR="000B1240" w:rsidRPr="00B0618E">
        <w:t>to 135</w:t>
      </w:r>
      <w:r w:rsidR="000B1240">
        <w:t xml:space="preserve"> years.</w:t>
      </w:r>
      <w:r w:rsidR="000B1240" w:rsidRPr="00B0618E">
        <w:t xml:space="preserve"> </w:t>
      </w:r>
      <w:r w:rsidR="00CE22CD" w:rsidRPr="00B0618E">
        <w:t xml:space="preserve">It should be noted that the </w:t>
      </w:r>
      <w:r w:rsidR="002F5CB8" w:rsidRPr="00B0618E">
        <w:t>maximum simulation time</w:t>
      </w:r>
      <w:r w:rsidR="00CE22CD" w:rsidRPr="00B0618E">
        <w:t xml:space="preserve"> specified for the model (i.e., </w:t>
      </w:r>
      <w:r w:rsidR="00221D10" w:rsidRPr="00B0618E">
        <w:t>160</w:t>
      </w:r>
      <w:r w:rsidR="00C96617">
        <w:t xml:space="preserve"> years </w:t>
      </w:r>
      <w:r w:rsidR="00221D10" w:rsidRPr="00B0618E">
        <w:t>after the cessation of CSG extraction</w:t>
      </w:r>
      <w:r w:rsidR="00CE22CD" w:rsidRPr="00B0618E">
        <w:t xml:space="preserve">) </w:t>
      </w:r>
      <w:r w:rsidR="000B1240">
        <w:t>si</w:t>
      </w:r>
      <w:r w:rsidR="00CE22CD" w:rsidRPr="00B0618E">
        <w:t xml:space="preserve">gnificantly affected this prediction type. Nearly one third of all model runs (i.e., 95 runs) resulted in a predicted </w:t>
      </w:r>
      <w:r w:rsidR="002F5CB8" w:rsidRPr="00B0618E">
        <w:t xml:space="preserve">timing of maximum drawdown </w:t>
      </w:r>
      <w:r w:rsidR="00CE22CD" w:rsidRPr="00B0618E">
        <w:t xml:space="preserve">value of </w:t>
      </w:r>
      <w:r w:rsidR="00221D10" w:rsidRPr="00B0618E">
        <w:t>160</w:t>
      </w:r>
      <w:r w:rsidR="00C96617">
        <w:t xml:space="preserve"> years.</w:t>
      </w:r>
      <w:r w:rsidR="00CE22CD" w:rsidRPr="00B0618E">
        <w:t xml:space="preserve"> </w:t>
      </w:r>
      <w:r w:rsidR="007D7A02" w:rsidRPr="00B0618E">
        <w:t>These</w:t>
      </w:r>
      <w:r w:rsidR="00CE22CD" w:rsidRPr="00B0618E">
        <w:t xml:space="preserve"> results indicate</w:t>
      </w:r>
      <w:r w:rsidR="007D7A02" w:rsidRPr="00B0618E">
        <w:t>d</w:t>
      </w:r>
      <w:r w:rsidR="00CE22CD" w:rsidRPr="00B0618E">
        <w:t xml:space="preserve"> that the </w:t>
      </w:r>
      <w:r w:rsidR="002F5CB8" w:rsidRPr="00B0618E">
        <w:t>maximum simulation time</w:t>
      </w:r>
      <w:r w:rsidR="00CE22CD" w:rsidRPr="00B0618E">
        <w:t xml:space="preserve"> of these models w</w:t>
      </w:r>
      <w:r w:rsidR="002F5CB8" w:rsidRPr="00B0618E">
        <w:t>as</w:t>
      </w:r>
      <w:r w:rsidR="00CE22CD" w:rsidRPr="00B0618E">
        <w:t xml:space="preserve"> </w:t>
      </w:r>
      <w:r w:rsidR="00B85C82">
        <w:t xml:space="preserve">possibly </w:t>
      </w:r>
      <w:r w:rsidR="00CE22CD" w:rsidRPr="00B0618E">
        <w:t xml:space="preserve">not sufficiently large to capture the </w:t>
      </w:r>
      <w:r w:rsidR="002F5CB8" w:rsidRPr="00B0618E">
        <w:t>maximum</w:t>
      </w:r>
      <w:r w:rsidR="00CE22CD" w:rsidRPr="00B0618E">
        <w:t xml:space="preserve"> drawdown responses. </w:t>
      </w:r>
      <w:r w:rsidR="00086408">
        <w:rPr>
          <w:color w:val="auto"/>
        </w:rPr>
        <w:t>Due to large model run times it was not feasible to repeat the sampling process</w:t>
      </w:r>
      <w:r w:rsidR="00DD6F16" w:rsidRPr="00DD6F16">
        <w:rPr>
          <w:color w:val="auto"/>
        </w:rPr>
        <w:t xml:space="preserve"> </w:t>
      </w:r>
      <w:r w:rsidR="00DD6F16">
        <w:rPr>
          <w:color w:val="auto"/>
        </w:rPr>
        <w:t>using an extended model duration</w:t>
      </w:r>
      <w:r w:rsidR="00086408">
        <w:rPr>
          <w:color w:val="auto"/>
        </w:rPr>
        <w:t xml:space="preserve"> within the duration of the present study. </w:t>
      </w:r>
      <w:r w:rsidR="00CE22CD" w:rsidRPr="00B0618E">
        <w:t>This factor is also the cause of the non-asymptotic behaviour of the cumulative density function for this prediction (</w:t>
      </w:r>
      <w:r w:rsidR="00CE22CD" w:rsidRPr="00B0618E">
        <w:fldChar w:fldCharType="begin"/>
      </w:r>
      <w:r w:rsidR="00CE22CD" w:rsidRPr="00B0618E">
        <w:instrText xml:space="preserve"> REF _Ref476228273 \h </w:instrText>
      </w:r>
      <w:r w:rsidR="000E0810" w:rsidRPr="00B0618E">
        <w:instrText xml:space="preserve"> \* MERGEFORMAT </w:instrText>
      </w:r>
      <w:r w:rsidR="00CE22CD" w:rsidRPr="00B0618E">
        <w:fldChar w:fldCharType="separate"/>
      </w:r>
      <w:r w:rsidR="000B6FA5" w:rsidRPr="00B0618E">
        <w:t xml:space="preserve">Figure </w:t>
      </w:r>
      <w:r w:rsidR="000B6FA5">
        <w:rPr>
          <w:noProof/>
        </w:rPr>
        <w:t>3</w:t>
      </w:r>
      <w:r w:rsidR="000B6FA5">
        <w:rPr>
          <w:noProof/>
        </w:rPr>
        <w:noBreakHyphen/>
        <w:t>13</w:t>
      </w:r>
      <w:r w:rsidR="00CE22CD" w:rsidRPr="00B0618E">
        <w:fldChar w:fldCharType="end"/>
      </w:r>
      <w:r w:rsidR="00CE22CD" w:rsidRPr="00B0618E">
        <w:t>a)</w:t>
      </w:r>
      <w:r w:rsidR="002F5CB8" w:rsidRPr="00B0618E">
        <w:t xml:space="preserve"> and the </w:t>
      </w:r>
      <w:r w:rsidR="007D7A02" w:rsidRPr="00B0618E">
        <w:t>left</w:t>
      </w:r>
      <w:r w:rsidR="002F5CB8" w:rsidRPr="00B0618E">
        <w:t>-skewed frequency histogram (</w:t>
      </w:r>
      <w:r w:rsidR="002F5CB8" w:rsidRPr="00B0618E">
        <w:fldChar w:fldCharType="begin"/>
      </w:r>
      <w:r w:rsidR="002F5CB8" w:rsidRPr="00B0618E">
        <w:instrText xml:space="preserve"> REF _Ref476228273 \h </w:instrText>
      </w:r>
      <w:r w:rsidR="00B0618E">
        <w:instrText xml:space="preserve"> \* MERGEFORMAT </w:instrText>
      </w:r>
      <w:r w:rsidR="002F5CB8" w:rsidRPr="00B0618E">
        <w:fldChar w:fldCharType="separate"/>
      </w:r>
      <w:r w:rsidR="000B6FA5" w:rsidRPr="00B0618E">
        <w:t xml:space="preserve">Figure </w:t>
      </w:r>
      <w:r w:rsidR="000B6FA5">
        <w:rPr>
          <w:noProof/>
        </w:rPr>
        <w:t>3</w:t>
      </w:r>
      <w:r w:rsidR="000B6FA5">
        <w:rPr>
          <w:noProof/>
        </w:rPr>
        <w:noBreakHyphen/>
        <w:t>13</w:t>
      </w:r>
      <w:r w:rsidR="002F5CB8" w:rsidRPr="00B0618E">
        <w:fldChar w:fldCharType="end"/>
      </w:r>
      <w:r w:rsidR="002F5CB8" w:rsidRPr="00B0618E">
        <w:t>b)</w:t>
      </w:r>
      <w:r w:rsidR="00CE22CD" w:rsidRPr="00B0618E">
        <w:t>.</w:t>
      </w:r>
      <w:r w:rsidR="00B85C82">
        <w:t xml:space="preserve"> As mentioned earlier, the 160</w:t>
      </w:r>
      <w:r w:rsidR="000B1240">
        <w:t>-</w:t>
      </w:r>
      <w:r w:rsidR="00B85C82">
        <w:t>year</w:t>
      </w:r>
      <w:r w:rsidR="000B1240">
        <w:t xml:space="preserve"> long</w:t>
      </w:r>
      <w:r w:rsidR="00B85C82">
        <w:t xml:space="preserve"> simulation period was chosen to be consistent with the approach taken for the Bioregional Assessments</w:t>
      </w:r>
      <w:r w:rsidR="000B1240">
        <w:t xml:space="preserve"> Programme</w:t>
      </w:r>
      <w:r w:rsidR="00B85C82">
        <w:t xml:space="preserve">. </w:t>
      </w:r>
    </w:p>
    <w:p w14:paraId="1179FADC" w14:textId="7359CE04" w:rsidR="00610B77" w:rsidRPr="00B0618E" w:rsidRDefault="008F1177" w:rsidP="00F40E73">
      <w:pPr>
        <w:pStyle w:val="BodyText"/>
        <w:keepNext/>
        <w:jc w:val="center"/>
      </w:pPr>
      <w:r w:rsidRPr="00B0618E">
        <w:rPr>
          <w:noProof/>
        </w:rPr>
        <w:drawing>
          <wp:inline distT="0" distB="0" distL="0" distR="0" wp14:anchorId="36EB5AB5" wp14:editId="7BABA5B5">
            <wp:extent cx="5761990" cy="2875280"/>
            <wp:effectExtent l="0" t="0" r="0" b="1270"/>
            <wp:docPr id="57" name="Picture 57" descr="Charts of model output statistics" title="Fig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OWS_FAM\Models\Version6_SA_reanalysis_061016\Plot_bootstrap_outputs_v06_010317_CDF_PDF_tMXD.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990" cy="2875280"/>
                    </a:xfrm>
                    <a:prstGeom prst="rect">
                      <a:avLst/>
                    </a:prstGeom>
                    <a:noFill/>
                    <a:ln>
                      <a:noFill/>
                    </a:ln>
                  </pic:spPr>
                </pic:pic>
              </a:graphicData>
            </a:graphic>
          </wp:inline>
        </w:drawing>
      </w:r>
    </w:p>
    <w:p w14:paraId="0F997BE7" w14:textId="25871CA8" w:rsidR="001C00A0" w:rsidRPr="00B0618E" w:rsidRDefault="001C00A0" w:rsidP="001C00A0">
      <w:pPr>
        <w:pStyle w:val="Caption"/>
      </w:pPr>
      <w:bookmarkStart w:id="88" w:name="_Ref476228273"/>
      <w:bookmarkStart w:id="89" w:name="_Toc482034914"/>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13</w:t>
      </w:r>
      <w:r w:rsidR="00A2085C">
        <w:rPr>
          <w:noProof/>
        </w:rPr>
        <w:fldChar w:fldCharType="end"/>
      </w:r>
      <w:bookmarkEnd w:id="88"/>
      <w:r w:rsidRPr="00B0618E">
        <w:t xml:space="preserve">. </w:t>
      </w:r>
      <w:r w:rsidR="00475D90" w:rsidRPr="00B0618E">
        <w:t xml:space="preserve">(a) Cumulative </w:t>
      </w:r>
      <w:r w:rsidR="00B7143E" w:rsidRPr="00B0618E">
        <w:t xml:space="preserve">density function and (b) frequency histogram </w:t>
      </w:r>
      <w:r w:rsidRPr="00B0618E">
        <w:t>of in</w:t>
      </w:r>
      <w:r w:rsidR="005B13AE" w:rsidRPr="00B0618E">
        <w:t>i</w:t>
      </w:r>
      <w:r w:rsidRPr="00B0618E">
        <w:t>tial modelled predictions of</w:t>
      </w:r>
      <w:r w:rsidR="00475D90" w:rsidRPr="00B0618E">
        <w:t xml:space="preserve"> </w:t>
      </w:r>
      <w:r w:rsidRPr="00B0618E">
        <w:t>the timing of maximum drawdown</w:t>
      </w:r>
      <w:r w:rsidR="004107EF" w:rsidRPr="00B0618E">
        <w:t>, based on a sample size of 300 model runs</w:t>
      </w:r>
      <w:r w:rsidRPr="00B0618E">
        <w:t>.</w:t>
      </w:r>
      <w:bookmarkEnd w:id="89"/>
    </w:p>
    <w:p w14:paraId="0E330651" w14:textId="77777777" w:rsidR="00BF4D39" w:rsidRPr="00B0618E" w:rsidRDefault="00BF4D39" w:rsidP="00BF4D39">
      <w:pPr>
        <w:pStyle w:val="Heading3"/>
      </w:pPr>
      <w:r w:rsidRPr="00B0618E">
        <w:t>Prediction 3: Spatial extent of drawdown propagation</w:t>
      </w:r>
    </w:p>
    <w:p w14:paraId="34F43403" w14:textId="77777777" w:rsidR="005A4902" w:rsidRDefault="001F4987" w:rsidP="00DF4A58">
      <w:pPr>
        <w:pStyle w:val="BodyText"/>
      </w:pPr>
      <w:r w:rsidRPr="00B0618E">
        <w:t>Using a sample size of 300 model runs, p</w:t>
      </w:r>
      <w:r w:rsidR="00DF4A58" w:rsidRPr="00B0618E">
        <w:t xml:space="preserve">redictions of the spatial extent of drawdown propagation </w:t>
      </w:r>
      <w:r w:rsidRPr="00B0618E">
        <w:t xml:space="preserve">in the Pilliga Sandstone aquifer </w:t>
      </w:r>
      <w:r w:rsidR="00DF4A58" w:rsidRPr="00B0618E">
        <w:t xml:space="preserve">(i.e., model cells with drawdown </w:t>
      </w:r>
      <w:r w:rsidR="001E2EEE" w:rsidRPr="00B0618E">
        <w:t>≥</w:t>
      </w:r>
      <w:r w:rsidR="00DF4A58" w:rsidRPr="00B0618E">
        <w:t xml:space="preserve"> 2 m) ranged from zero to 10 418 cells, with a median value of zero cells</w:t>
      </w:r>
      <w:r w:rsidR="005A4902">
        <w:t xml:space="preserve"> (</w:t>
      </w:r>
      <w:r w:rsidR="005A4902" w:rsidRPr="00B0618E">
        <w:fldChar w:fldCharType="begin"/>
      </w:r>
      <w:r w:rsidR="005A4902" w:rsidRPr="00B0618E">
        <w:instrText xml:space="preserve"> REF _Ref477364478 \h </w:instrText>
      </w:r>
      <w:r w:rsidR="005A4902">
        <w:instrText xml:space="preserve"> \* MERGEFORMAT </w:instrText>
      </w:r>
      <w:r w:rsidR="005A4902" w:rsidRPr="00B0618E">
        <w:fldChar w:fldCharType="separate"/>
      </w:r>
      <w:r w:rsidR="000B6FA5" w:rsidRPr="00B0618E">
        <w:t xml:space="preserve">Figure </w:t>
      </w:r>
      <w:r w:rsidR="000B6FA5">
        <w:rPr>
          <w:noProof/>
        </w:rPr>
        <w:t>3</w:t>
      </w:r>
      <w:r w:rsidR="000B6FA5">
        <w:rPr>
          <w:noProof/>
        </w:rPr>
        <w:noBreakHyphen/>
        <w:t>14</w:t>
      </w:r>
      <w:r w:rsidR="005A4902" w:rsidRPr="00B0618E">
        <w:fldChar w:fldCharType="end"/>
      </w:r>
      <w:r w:rsidR="005A4902">
        <w:t>a)</w:t>
      </w:r>
      <w:r w:rsidR="007D7A02" w:rsidRPr="00B0618E">
        <w:t xml:space="preserve">. </w:t>
      </w:r>
      <w:r w:rsidR="000274B1" w:rsidRPr="00B0618E">
        <w:t>T</w:t>
      </w:r>
      <w:r w:rsidR="007D7A02" w:rsidRPr="00B0618E">
        <w:t xml:space="preserve">he strongly </w:t>
      </w:r>
      <w:r w:rsidR="000274B1" w:rsidRPr="00B0618E">
        <w:t>right</w:t>
      </w:r>
      <w:r w:rsidR="007D7A02" w:rsidRPr="00B0618E">
        <w:t xml:space="preserve">-skewed frequency histogram </w:t>
      </w:r>
      <w:r w:rsidR="000274B1" w:rsidRPr="00B0618E">
        <w:t>indicated that a</w:t>
      </w:r>
      <w:r w:rsidR="001E2EEE" w:rsidRPr="00B0618E">
        <w:t xml:space="preserve"> large number of model runs </w:t>
      </w:r>
      <w:r w:rsidR="000274B1" w:rsidRPr="00B0618E">
        <w:t xml:space="preserve">featured </w:t>
      </w:r>
      <w:r w:rsidR="001E2EEE" w:rsidRPr="00B0618E">
        <w:t>zero cells</w:t>
      </w:r>
      <w:r w:rsidR="007D7A02" w:rsidRPr="00B0618E">
        <w:t xml:space="preserve"> with </w:t>
      </w:r>
      <w:r w:rsidR="001E2EEE" w:rsidRPr="00B0618E">
        <w:t xml:space="preserve">drawdown ≥ 2 m </w:t>
      </w:r>
      <w:r w:rsidR="004879BC" w:rsidRPr="00B0618E">
        <w:t>(</w:t>
      </w:r>
      <w:r w:rsidR="004879BC" w:rsidRPr="00B0618E">
        <w:fldChar w:fldCharType="begin"/>
      </w:r>
      <w:r w:rsidR="004879BC" w:rsidRPr="00B0618E">
        <w:instrText xml:space="preserve"> REF _Ref477364478 \h </w:instrText>
      </w:r>
      <w:r w:rsidR="00B0618E">
        <w:instrText xml:space="preserve"> \* MERGEFORMAT </w:instrText>
      </w:r>
      <w:r w:rsidR="004879BC" w:rsidRPr="00B0618E">
        <w:fldChar w:fldCharType="separate"/>
      </w:r>
      <w:r w:rsidR="000B6FA5" w:rsidRPr="00B0618E">
        <w:t xml:space="preserve">Figure </w:t>
      </w:r>
      <w:r w:rsidR="000B6FA5">
        <w:rPr>
          <w:noProof/>
        </w:rPr>
        <w:t>3</w:t>
      </w:r>
      <w:r w:rsidR="000B6FA5">
        <w:rPr>
          <w:noProof/>
        </w:rPr>
        <w:noBreakHyphen/>
        <w:t>14</w:t>
      </w:r>
      <w:r w:rsidR="004879BC" w:rsidRPr="00B0618E">
        <w:fldChar w:fldCharType="end"/>
      </w:r>
      <w:r w:rsidR="001E2EEE" w:rsidRPr="00B0618E">
        <w:t>b</w:t>
      </w:r>
      <w:r w:rsidR="004879BC" w:rsidRPr="00B0618E">
        <w:t>)</w:t>
      </w:r>
      <w:r w:rsidR="00DF4A58" w:rsidRPr="00B0618E">
        <w:t xml:space="preserve">. </w:t>
      </w:r>
    </w:p>
    <w:p w14:paraId="6F401A89" w14:textId="37A9733C" w:rsidR="00475D90" w:rsidRPr="00B0618E" w:rsidRDefault="00891F3C" w:rsidP="00D92CFA">
      <w:pPr>
        <w:pStyle w:val="BodyText"/>
        <w:keepNext/>
        <w:jc w:val="center"/>
      </w:pPr>
      <w:r w:rsidRPr="00B0618E">
        <w:rPr>
          <w:noProof/>
        </w:rPr>
        <w:drawing>
          <wp:inline distT="0" distB="0" distL="0" distR="0" wp14:anchorId="2ED7AF46" wp14:editId="3DFAA2A5">
            <wp:extent cx="5101627" cy="2545194"/>
            <wp:effectExtent l="0" t="0" r="3810" b="7620"/>
            <wp:docPr id="63" name="Picture 63" descr="Charts of model output statistics" title="Fig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OWS_FAM\Models\Version6_SA_reanalysis_061016\Plot_bootstrap_outputs_v06_010317_CDF_PDF_NDD.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112095" cy="2550416"/>
                    </a:xfrm>
                    <a:prstGeom prst="rect">
                      <a:avLst/>
                    </a:prstGeom>
                    <a:noFill/>
                    <a:ln>
                      <a:noFill/>
                    </a:ln>
                  </pic:spPr>
                </pic:pic>
              </a:graphicData>
            </a:graphic>
          </wp:inline>
        </w:drawing>
      </w:r>
    </w:p>
    <w:p w14:paraId="0946E598" w14:textId="40FC2414" w:rsidR="00475D90" w:rsidRDefault="00475D90" w:rsidP="00475D90">
      <w:pPr>
        <w:pStyle w:val="Caption"/>
      </w:pPr>
      <w:bookmarkStart w:id="90" w:name="_Ref477364478"/>
      <w:bookmarkStart w:id="91" w:name="_Toc482034915"/>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14</w:t>
      </w:r>
      <w:r w:rsidR="00A2085C">
        <w:rPr>
          <w:noProof/>
        </w:rPr>
        <w:fldChar w:fldCharType="end"/>
      </w:r>
      <w:bookmarkEnd w:id="90"/>
      <w:r w:rsidRPr="00B0618E">
        <w:t xml:space="preserve">. (a) Cumulative </w:t>
      </w:r>
      <w:r w:rsidR="001E2EEE" w:rsidRPr="00B0618E">
        <w:t xml:space="preserve">density function and (b) frequency histogram </w:t>
      </w:r>
      <w:r w:rsidRPr="00B0618E">
        <w:t xml:space="preserve">of initial modelled predictions of the spatial extent of drawdown </w:t>
      </w:r>
      <w:r w:rsidR="001D2998" w:rsidRPr="00B0618E">
        <w:t xml:space="preserve">≥ </w:t>
      </w:r>
      <w:r w:rsidRPr="00B0618E">
        <w:t>2 m</w:t>
      </w:r>
      <w:r w:rsidR="004107EF" w:rsidRPr="00B0618E">
        <w:t>, based on a sample size of 300 model runs</w:t>
      </w:r>
      <w:r w:rsidRPr="00B0618E">
        <w:t>.</w:t>
      </w:r>
      <w:bookmarkEnd w:id="91"/>
    </w:p>
    <w:p w14:paraId="1447FF36" w14:textId="77777777" w:rsidR="005A4902" w:rsidRPr="00B0618E" w:rsidRDefault="005A4902" w:rsidP="005A4902">
      <w:pPr>
        <w:pStyle w:val="BodyText"/>
      </w:pPr>
      <w:r w:rsidRPr="00B0618E">
        <w:t>Note that the cumulative density function presented is a truncated distribution, in which approximately 70 % of the model runs featured ‘zero impact’ (i.e., for which the maximum reported drawdown for Pilliga Sandstone aquifer cells was less than 2 m). The standard deviation of predicted values was 1 829 cells.</w:t>
      </w:r>
      <w:r w:rsidRPr="00B0618E">
        <w:rPr>
          <w:vertAlign w:val="superscript"/>
        </w:rPr>
        <w:t xml:space="preserve"> </w:t>
      </w:r>
      <w:r w:rsidRPr="00B0618E">
        <w:t xml:space="preserve">The interquartile range of predicted values was 1 496 cells, ranging from zero to 1 496 cells. The 90 % confidence interval was 347 cells, ranging from 822 cells to 1 169 cells. </w:t>
      </w:r>
    </w:p>
    <w:p w14:paraId="536D4909" w14:textId="7D55616A" w:rsidR="005A4902" w:rsidRPr="00B0618E" w:rsidRDefault="005A4902" w:rsidP="005A4902">
      <w:pPr>
        <w:pStyle w:val="BodyText"/>
      </w:pPr>
      <w:r w:rsidRPr="00B0618E">
        <w:t xml:space="preserve">Spatial maps with isolines of drawdowns are shown in </w:t>
      </w:r>
      <w:r w:rsidRPr="00B0618E">
        <w:fldChar w:fldCharType="begin"/>
      </w:r>
      <w:r w:rsidRPr="00B0618E">
        <w:instrText xml:space="preserve"> REF _Ref478319130 \h </w:instrText>
      </w:r>
      <w:r>
        <w:instrText xml:space="preserve"> \* MERGEFORMAT </w:instrText>
      </w:r>
      <w:r w:rsidRPr="00B0618E">
        <w:fldChar w:fldCharType="separate"/>
      </w:r>
      <w:r w:rsidR="000B6FA5" w:rsidRPr="00B0618E">
        <w:t xml:space="preserve">Figure </w:t>
      </w:r>
      <w:r w:rsidR="000B6FA5">
        <w:rPr>
          <w:noProof/>
        </w:rPr>
        <w:t>3</w:t>
      </w:r>
      <w:r w:rsidR="000B6FA5">
        <w:rPr>
          <w:noProof/>
        </w:rPr>
        <w:noBreakHyphen/>
        <w:t>15</w:t>
      </w:r>
      <w:r w:rsidRPr="00B0618E">
        <w:fldChar w:fldCharType="end"/>
      </w:r>
      <w:r w:rsidRPr="00B0618E">
        <w:t xml:space="preserve"> for the </w:t>
      </w:r>
      <w:r w:rsidR="00C060F4">
        <w:t>5</w:t>
      </w:r>
      <w:r w:rsidR="00C060F4" w:rsidRPr="00C060F4">
        <w:rPr>
          <w:vertAlign w:val="superscript"/>
        </w:rPr>
        <w:t>th</w:t>
      </w:r>
      <w:r w:rsidR="00C060F4">
        <w:t>, 50</w:t>
      </w:r>
      <w:r w:rsidR="00C060F4" w:rsidRPr="00C060F4">
        <w:rPr>
          <w:vertAlign w:val="superscript"/>
        </w:rPr>
        <w:t>th</w:t>
      </w:r>
      <w:r w:rsidR="00C060F4">
        <w:t xml:space="preserve">, </w:t>
      </w:r>
      <w:r w:rsidRPr="00B0618E">
        <w:t>90</w:t>
      </w:r>
      <w:r w:rsidRPr="00B0618E">
        <w:rPr>
          <w:vertAlign w:val="superscript"/>
        </w:rPr>
        <w:t>th</w:t>
      </w:r>
      <w:r w:rsidRPr="00B0618E">
        <w:t>, 95</w:t>
      </w:r>
      <w:r w:rsidRPr="00B0618E">
        <w:rPr>
          <w:vertAlign w:val="superscript"/>
        </w:rPr>
        <w:t>th</w:t>
      </w:r>
      <w:r w:rsidRPr="00B0618E">
        <w:t>, and 99</w:t>
      </w:r>
      <w:r w:rsidRPr="00B0618E">
        <w:rPr>
          <w:vertAlign w:val="superscript"/>
        </w:rPr>
        <w:t>th</w:t>
      </w:r>
      <w:r w:rsidRPr="00B0618E">
        <w:t xml:space="preserve"> percentiles. Maps were constructed by calculating at each model cell the cumulative distribution of drawdowns, based on 300 calculated values of drawdown for each model cell. The drawdowns after 155 years following cessation of gas extraction are used here; this time corresponds to the median time to maximum drawdown across all 300 model runs. Isolines shown are for 1 and 2 m drawdown (</w:t>
      </w:r>
      <w:r w:rsidRPr="00B0618E">
        <w:fldChar w:fldCharType="begin"/>
      </w:r>
      <w:r w:rsidRPr="00B0618E">
        <w:instrText xml:space="preserve"> REF _Ref478319130 \h </w:instrText>
      </w:r>
      <w:r>
        <w:instrText xml:space="preserve"> \* MERGEFORMAT </w:instrText>
      </w:r>
      <w:r w:rsidRPr="00B0618E">
        <w:fldChar w:fldCharType="separate"/>
      </w:r>
      <w:r w:rsidR="000B6FA5" w:rsidRPr="00B0618E">
        <w:t xml:space="preserve">Figure </w:t>
      </w:r>
      <w:r w:rsidR="000B6FA5">
        <w:rPr>
          <w:noProof/>
        </w:rPr>
        <w:t>3</w:t>
      </w:r>
      <w:r w:rsidR="000B6FA5">
        <w:rPr>
          <w:noProof/>
        </w:rPr>
        <w:noBreakHyphen/>
        <w:t>15</w:t>
      </w:r>
      <w:r w:rsidRPr="00B0618E">
        <w:fldChar w:fldCharType="end"/>
      </w:r>
      <w:r w:rsidRPr="00B0618E">
        <w:t>); as expected, larger areas of drawdown are observed for the higher percentiles</w:t>
      </w:r>
      <w:r w:rsidR="00C060F4">
        <w:t>, while the 5</w:t>
      </w:r>
      <w:r w:rsidR="00C060F4" w:rsidRPr="00C060F4">
        <w:rPr>
          <w:vertAlign w:val="superscript"/>
        </w:rPr>
        <w:t>th</w:t>
      </w:r>
      <w:r w:rsidR="00C060F4">
        <w:t xml:space="preserve"> and 50</w:t>
      </w:r>
      <w:r w:rsidR="00C060F4" w:rsidRPr="00C060F4">
        <w:rPr>
          <w:vertAlign w:val="superscript"/>
        </w:rPr>
        <w:t>th</w:t>
      </w:r>
      <w:r w:rsidR="00C060F4">
        <w:t xml:space="preserve"> percentile</w:t>
      </w:r>
      <w:r w:rsidR="006F3A3B">
        <w:t>s</w:t>
      </w:r>
      <w:r w:rsidR="00C060F4">
        <w:t xml:space="preserve"> have zero cells with drawdown</w:t>
      </w:r>
      <w:r w:rsidR="006F3A3B">
        <w:t>s</w:t>
      </w:r>
      <w:r w:rsidR="00C060F4">
        <w:t xml:space="preserve"> &gt; 1 m</w:t>
      </w:r>
      <w:r w:rsidRPr="00B0618E">
        <w:t xml:space="preserve">. </w:t>
      </w:r>
    </w:p>
    <w:p w14:paraId="6C5B23C2" w14:textId="42BC82FF" w:rsidR="001E1B94" w:rsidRPr="00B0618E" w:rsidRDefault="005A4902" w:rsidP="00D92CFA">
      <w:pPr>
        <w:pStyle w:val="BodyText"/>
        <w:jc w:val="center"/>
        <w:rPr>
          <w:rFonts w:eastAsiaTheme="minorHAnsi"/>
          <w:color w:val="auto"/>
          <w:sz w:val="22"/>
        </w:rPr>
      </w:pPr>
      <w:r w:rsidRPr="005A4902">
        <w:rPr>
          <w:noProof/>
        </w:rPr>
        <w:drawing>
          <wp:inline distT="0" distB="0" distL="0" distR="0" wp14:anchorId="4355148D" wp14:editId="03C54745">
            <wp:extent cx="6040120" cy="5609590"/>
            <wp:effectExtent l="0" t="0" r="0" b="0"/>
            <wp:docPr id="3" name="Picture 3" descr="Diagrams of spatial distribution of 1 and 2 metre drawdown model outputs" title="Fig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40120" cy="5609590"/>
                    </a:xfrm>
                    <a:prstGeom prst="rect">
                      <a:avLst/>
                    </a:prstGeom>
                    <a:noFill/>
                    <a:ln>
                      <a:noFill/>
                    </a:ln>
                  </pic:spPr>
                </pic:pic>
              </a:graphicData>
            </a:graphic>
          </wp:inline>
        </w:drawing>
      </w:r>
    </w:p>
    <w:p w14:paraId="49E5C1CD" w14:textId="77777777" w:rsidR="001E1B94" w:rsidRPr="00B0618E" w:rsidRDefault="001E1B94" w:rsidP="001E1B94">
      <w:pPr>
        <w:pStyle w:val="BodyText"/>
        <w:rPr>
          <w:rFonts w:eastAsiaTheme="minorHAnsi"/>
          <w:color w:val="auto"/>
          <w:sz w:val="22"/>
        </w:rPr>
      </w:pPr>
    </w:p>
    <w:p w14:paraId="7F77A8B5" w14:textId="0F364DE4" w:rsidR="001E1B94" w:rsidRDefault="001E1B94" w:rsidP="001E1B94">
      <w:pPr>
        <w:pStyle w:val="Caption"/>
      </w:pPr>
      <w:bookmarkStart w:id="92" w:name="_Ref478319130"/>
      <w:bookmarkStart w:id="93" w:name="_Toc482034916"/>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15</w:t>
      </w:r>
      <w:r w:rsidR="00A2085C">
        <w:rPr>
          <w:noProof/>
        </w:rPr>
        <w:fldChar w:fldCharType="end"/>
      </w:r>
      <w:bookmarkEnd w:id="92"/>
      <w:r w:rsidRPr="00B0618E">
        <w:t xml:space="preserve">. Percentiles of spatial distributions of </w:t>
      </w:r>
      <w:r w:rsidR="00F47AA9">
        <w:t xml:space="preserve">1 and 2 m </w:t>
      </w:r>
      <w:r w:rsidRPr="00B0618E">
        <w:t>drawdown</w:t>
      </w:r>
      <w:r w:rsidR="004E35A8">
        <w:t xml:space="preserve"> (solid black lines)</w:t>
      </w:r>
      <w:r w:rsidRPr="00B0618E">
        <w:t xml:space="preserve">, observed at the median time of maximum drawdown (i.e., 155 years after the cessation of coal seam gas extraction); purple = Pilliga Sandstone aquifer cells; blue = upper aquitard sequence cells. </w:t>
      </w:r>
      <w:r w:rsidR="00F47AA9">
        <w:t xml:space="preserve">Drawdowns &lt; 1 m are not shown. </w:t>
      </w:r>
      <w:r w:rsidRPr="00B0618E">
        <w:t xml:space="preserve">Percentiles shown are (a) </w:t>
      </w:r>
      <w:r w:rsidR="005A4902">
        <w:t>5</w:t>
      </w:r>
      <w:r w:rsidR="005A4902" w:rsidRPr="005A4902">
        <w:rPr>
          <w:vertAlign w:val="superscript"/>
        </w:rPr>
        <w:t>th</w:t>
      </w:r>
      <w:r w:rsidR="005A4902">
        <w:t>, (b) 50</w:t>
      </w:r>
      <w:r w:rsidR="005A4902" w:rsidRPr="005A4902">
        <w:rPr>
          <w:vertAlign w:val="superscript"/>
        </w:rPr>
        <w:t>th</w:t>
      </w:r>
      <w:r w:rsidR="005A4902">
        <w:t xml:space="preserve">, (c) </w:t>
      </w:r>
      <w:r w:rsidRPr="00B0618E">
        <w:t>90</w:t>
      </w:r>
      <w:r w:rsidRPr="00B0618E">
        <w:rPr>
          <w:vertAlign w:val="superscript"/>
        </w:rPr>
        <w:t>th</w:t>
      </w:r>
      <w:r w:rsidRPr="00B0618E">
        <w:t>, (</w:t>
      </w:r>
      <w:r w:rsidR="005A4902">
        <w:t>d</w:t>
      </w:r>
      <w:r w:rsidRPr="00B0618E">
        <w:t>) 95</w:t>
      </w:r>
      <w:r w:rsidRPr="00B0618E">
        <w:rPr>
          <w:vertAlign w:val="superscript"/>
        </w:rPr>
        <w:t>th</w:t>
      </w:r>
      <w:r w:rsidRPr="00B0618E">
        <w:t xml:space="preserve"> and (</w:t>
      </w:r>
      <w:r w:rsidR="005A4902">
        <w:t>e</w:t>
      </w:r>
      <w:r w:rsidRPr="00B0618E">
        <w:t>) 99</w:t>
      </w:r>
      <w:r w:rsidRPr="00B0618E">
        <w:rPr>
          <w:vertAlign w:val="superscript"/>
        </w:rPr>
        <w:t>th</w:t>
      </w:r>
      <w:r w:rsidRPr="00B0618E">
        <w:t xml:space="preserve">. Distributions are based on </w:t>
      </w:r>
      <w:r w:rsidR="00B51581" w:rsidRPr="00B0618E">
        <w:t>a</w:t>
      </w:r>
      <w:r w:rsidRPr="00B0618E">
        <w:t xml:space="preserve"> set of 300 model runs</w:t>
      </w:r>
      <w:r w:rsidR="00B51581" w:rsidRPr="00B0618E">
        <w:t xml:space="preserve"> using the ‘initial’ model</w:t>
      </w:r>
      <w:r w:rsidRPr="00B0618E">
        <w:t>.</w:t>
      </w:r>
      <w:bookmarkEnd w:id="93"/>
    </w:p>
    <w:p w14:paraId="2916761D" w14:textId="77777777" w:rsidR="005A4902" w:rsidRPr="005A4902" w:rsidRDefault="005A4902" w:rsidP="005A4902">
      <w:pPr>
        <w:pStyle w:val="BodyText"/>
      </w:pPr>
    </w:p>
    <w:p w14:paraId="7FE2BA60" w14:textId="468E1A29" w:rsidR="00BF4D39" w:rsidRPr="00B0618E" w:rsidRDefault="00BF4D39" w:rsidP="00BF4D39">
      <w:pPr>
        <w:pStyle w:val="Heading3"/>
      </w:pPr>
      <w:bookmarkStart w:id="94" w:name="_Ref479500438"/>
      <w:r w:rsidRPr="00B0618E">
        <w:t>Prediction 4: Maximum vertical flux</w:t>
      </w:r>
      <w:bookmarkEnd w:id="94"/>
    </w:p>
    <w:p w14:paraId="191BFACE" w14:textId="77777777" w:rsidR="007A4AAC" w:rsidRDefault="001F4987" w:rsidP="000B1240">
      <w:pPr>
        <w:pStyle w:val="BodyText"/>
      </w:pPr>
      <w:r w:rsidRPr="00B0618E">
        <w:t>Using a sample size of 300 model runs, p</w:t>
      </w:r>
      <w:r w:rsidR="00DF4A58" w:rsidRPr="00B0618E">
        <w:t xml:space="preserve">redictions of the maximum vertical flux </w:t>
      </w:r>
      <w:r w:rsidRPr="00B0618E">
        <w:t xml:space="preserve">in any active Pilliga Sandstone aquifer cell in the model domain </w:t>
      </w:r>
      <w:r w:rsidR="00DF4A58" w:rsidRPr="00B0618E">
        <w:t>ranged from 294 m</w:t>
      </w:r>
      <w:r w:rsidR="00DF4A58" w:rsidRPr="00B0618E">
        <w:rPr>
          <w:vertAlign w:val="superscript"/>
        </w:rPr>
        <w:t>3</w:t>
      </w:r>
      <w:r w:rsidR="00221D10" w:rsidRPr="00B0618E">
        <w:t>/d to 1</w:t>
      </w:r>
      <w:r w:rsidR="00DF4A58" w:rsidRPr="00B0618E">
        <w:t>418 m</w:t>
      </w:r>
      <w:r w:rsidR="00DF4A58" w:rsidRPr="00B0618E">
        <w:rPr>
          <w:vertAlign w:val="superscript"/>
        </w:rPr>
        <w:t>3</w:t>
      </w:r>
      <w:r w:rsidR="00DF4A58" w:rsidRPr="00B0618E">
        <w:t>/d, with a median value of 737 m</w:t>
      </w:r>
      <w:r w:rsidR="00DF4A58" w:rsidRPr="00B0618E">
        <w:rPr>
          <w:vertAlign w:val="superscript"/>
        </w:rPr>
        <w:t>3</w:t>
      </w:r>
      <w:r w:rsidR="00DF4A58" w:rsidRPr="00B0618E">
        <w:t>/d</w:t>
      </w:r>
      <w:r w:rsidR="001F168D" w:rsidRPr="00B0618E">
        <w:t xml:space="preserve"> (</w:t>
      </w:r>
      <w:r w:rsidR="001F168D" w:rsidRPr="00B0618E">
        <w:fldChar w:fldCharType="begin"/>
      </w:r>
      <w:r w:rsidR="001F168D" w:rsidRPr="00B0618E">
        <w:instrText xml:space="preserve"> REF _Ref477364962 \h </w:instrText>
      </w:r>
      <w:r w:rsidR="00B0618E">
        <w:instrText xml:space="preserve"> \* MERGEFORMAT </w:instrText>
      </w:r>
      <w:r w:rsidR="001F168D" w:rsidRPr="00B0618E">
        <w:fldChar w:fldCharType="separate"/>
      </w:r>
      <w:r w:rsidR="000B6FA5" w:rsidRPr="00B0618E">
        <w:t xml:space="preserve">Figure </w:t>
      </w:r>
      <w:r w:rsidR="000B6FA5">
        <w:rPr>
          <w:noProof/>
        </w:rPr>
        <w:t>3</w:t>
      </w:r>
      <w:r w:rsidR="000B6FA5">
        <w:rPr>
          <w:noProof/>
        </w:rPr>
        <w:noBreakHyphen/>
        <w:t>16</w:t>
      </w:r>
      <w:r w:rsidR="001F168D" w:rsidRPr="00B0618E">
        <w:fldChar w:fldCharType="end"/>
      </w:r>
      <w:r w:rsidR="001F168D" w:rsidRPr="00B0618E">
        <w:t>)</w:t>
      </w:r>
      <w:r w:rsidR="00DF4A58" w:rsidRPr="00B0618E">
        <w:t>.</w:t>
      </w:r>
      <w:r w:rsidR="004804CF" w:rsidRPr="00B0618E">
        <w:t xml:space="preserve"> Approximately 25% of all model runs </w:t>
      </w:r>
      <w:r w:rsidRPr="00B0618E">
        <w:t xml:space="preserve">featured </w:t>
      </w:r>
      <w:r w:rsidR="004804CF" w:rsidRPr="00B0618E">
        <w:t xml:space="preserve">a maximum vertical flux of </w:t>
      </w:r>
      <w:r w:rsidRPr="00B0618E">
        <w:t xml:space="preserve">around </w:t>
      </w:r>
      <w:r w:rsidR="004804CF" w:rsidRPr="00B0618E">
        <w:t>550 m</w:t>
      </w:r>
      <w:r w:rsidR="004804CF" w:rsidRPr="00B0618E">
        <w:rPr>
          <w:vertAlign w:val="superscript"/>
        </w:rPr>
        <w:t>3</w:t>
      </w:r>
      <w:r w:rsidR="004804CF" w:rsidRPr="00B0618E">
        <w:t xml:space="preserve">/d. </w:t>
      </w:r>
      <w:r w:rsidR="007607BB" w:rsidRPr="00B0618E">
        <w:t xml:space="preserve">The </w:t>
      </w:r>
      <w:r w:rsidR="001D2998" w:rsidRPr="00B0618E">
        <w:t>standard deviation</w:t>
      </w:r>
      <w:r w:rsidR="007607BB" w:rsidRPr="00B0618E">
        <w:t xml:space="preserve"> of predicted values was </w:t>
      </w:r>
      <w:r w:rsidR="001D2998" w:rsidRPr="00B0618E">
        <w:t>241</w:t>
      </w:r>
      <w:r w:rsidR="007607BB" w:rsidRPr="00B0618E">
        <w:t xml:space="preserve"> m</w:t>
      </w:r>
      <w:r w:rsidR="007607BB" w:rsidRPr="00B0618E">
        <w:rPr>
          <w:vertAlign w:val="superscript"/>
        </w:rPr>
        <w:t>3</w:t>
      </w:r>
      <w:r w:rsidR="007607BB" w:rsidRPr="00B0618E">
        <w:t xml:space="preserve">/d. </w:t>
      </w:r>
      <w:r w:rsidR="00DF4A58" w:rsidRPr="00B0618E">
        <w:t>The interquartile range of predicted values ranged over 363 m</w:t>
      </w:r>
      <w:r w:rsidR="00DF4A58" w:rsidRPr="00B0618E">
        <w:rPr>
          <w:vertAlign w:val="superscript"/>
        </w:rPr>
        <w:t>3</w:t>
      </w:r>
      <w:r w:rsidR="00DF4A58" w:rsidRPr="00B0618E">
        <w:t>/d, from 548 m</w:t>
      </w:r>
      <w:r w:rsidR="00DF4A58" w:rsidRPr="00B0618E">
        <w:rPr>
          <w:vertAlign w:val="superscript"/>
        </w:rPr>
        <w:t>3</w:t>
      </w:r>
      <w:r w:rsidR="00DF4A58" w:rsidRPr="00B0618E">
        <w:t>/d to 911 m</w:t>
      </w:r>
      <w:r w:rsidR="00DF4A58" w:rsidRPr="00B0618E">
        <w:rPr>
          <w:vertAlign w:val="superscript"/>
        </w:rPr>
        <w:t>3</w:t>
      </w:r>
      <w:r w:rsidR="00DF4A58" w:rsidRPr="00B0618E">
        <w:t>/d.</w:t>
      </w:r>
      <w:r w:rsidR="007607BB" w:rsidRPr="00B0618E">
        <w:t xml:space="preserve"> </w:t>
      </w:r>
      <w:r w:rsidR="000B1240" w:rsidRPr="00B0618E">
        <w:t>The 90 % confidence interval was 46 m</w:t>
      </w:r>
      <w:r w:rsidR="000B1240" w:rsidRPr="00B0618E">
        <w:rPr>
          <w:vertAlign w:val="superscript"/>
        </w:rPr>
        <w:t>3</w:t>
      </w:r>
      <w:r w:rsidR="000B1240" w:rsidRPr="00B0618E">
        <w:t>/d, ranging from 757 m</w:t>
      </w:r>
      <w:r w:rsidR="000B1240" w:rsidRPr="00B0618E">
        <w:rPr>
          <w:vertAlign w:val="superscript"/>
        </w:rPr>
        <w:t>3</w:t>
      </w:r>
      <w:r w:rsidR="000B1240" w:rsidRPr="00B0618E">
        <w:t>/d to 803 m</w:t>
      </w:r>
      <w:r w:rsidR="000B1240" w:rsidRPr="00B0618E">
        <w:rPr>
          <w:vertAlign w:val="superscript"/>
        </w:rPr>
        <w:t>3</w:t>
      </w:r>
      <w:r w:rsidR="000B1240" w:rsidRPr="00B0618E">
        <w:t>/d.</w:t>
      </w:r>
    </w:p>
    <w:p w14:paraId="1946D85B" w14:textId="6171807C" w:rsidR="00610B77" w:rsidRPr="00B0618E" w:rsidRDefault="000B1240" w:rsidP="000B1240">
      <w:pPr>
        <w:pStyle w:val="BodyText"/>
      </w:pPr>
      <w:r w:rsidRPr="00B0618E">
        <w:t xml:space="preserve"> </w:t>
      </w:r>
      <w:r w:rsidR="008F1177" w:rsidRPr="00B0618E">
        <w:rPr>
          <w:noProof/>
        </w:rPr>
        <w:drawing>
          <wp:inline distT="0" distB="0" distL="0" distR="0" wp14:anchorId="0BCFD7CC" wp14:editId="07FBB403">
            <wp:extent cx="5761990" cy="2875280"/>
            <wp:effectExtent l="0" t="0" r="0" b="1270"/>
            <wp:docPr id="60" name="Picture 60" descr="Charts of model output statistics" title="Fig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OWS_FAM\Models\Version6_SA_reanalysis_061016\Plot_bootstrap_outputs_v06_010317_CDF_PDF_MXQ.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1990" cy="2875280"/>
                    </a:xfrm>
                    <a:prstGeom prst="rect">
                      <a:avLst/>
                    </a:prstGeom>
                    <a:noFill/>
                    <a:ln>
                      <a:noFill/>
                    </a:ln>
                  </pic:spPr>
                </pic:pic>
              </a:graphicData>
            </a:graphic>
          </wp:inline>
        </w:drawing>
      </w:r>
    </w:p>
    <w:p w14:paraId="4DE6CD8F" w14:textId="35B48C6A" w:rsidR="001C00A0" w:rsidRPr="00B0618E" w:rsidRDefault="001C00A0" w:rsidP="001C00A0">
      <w:pPr>
        <w:pStyle w:val="Caption"/>
      </w:pPr>
      <w:bookmarkStart w:id="95" w:name="_Ref477364962"/>
      <w:bookmarkStart w:id="96" w:name="_Toc482034917"/>
      <w:r w:rsidRPr="00B0618E">
        <w:t xml:space="preserve">Figure </w:t>
      </w:r>
      <w:r w:rsidR="00A2085C">
        <w:fldChar w:fldCharType="begin"/>
      </w:r>
      <w:r w:rsidR="00A2085C">
        <w:instrText xml:space="preserve"> STYLEREF 1 \s </w:instrText>
      </w:r>
      <w:r w:rsidR="00A2085C">
        <w:fldChar w:fldCharType="separate"/>
      </w:r>
      <w:r w:rsidR="000B6FA5">
        <w:rPr>
          <w:noProof/>
        </w:rPr>
        <w:t>3</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16</w:t>
      </w:r>
      <w:r w:rsidR="00A2085C">
        <w:rPr>
          <w:noProof/>
        </w:rPr>
        <w:fldChar w:fldCharType="end"/>
      </w:r>
      <w:bookmarkEnd w:id="95"/>
      <w:r w:rsidRPr="00B0618E">
        <w:t xml:space="preserve">. </w:t>
      </w:r>
      <w:r w:rsidR="00475D90" w:rsidRPr="00B0618E">
        <w:t xml:space="preserve">(a) Cumulative </w:t>
      </w:r>
      <w:r w:rsidR="001F168D" w:rsidRPr="00B0618E">
        <w:t xml:space="preserve">density function and (b) frequency histogram </w:t>
      </w:r>
      <w:r w:rsidRPr="00B0618E">
        <w:t>of initial modelled predictions of changes in vertical groundwater fluxes</w:t>
      </w:r>
      <w:r w:rsidR="004107EF" w:rsidRPr="00B0618E">
        <w:t>, based on a sample size of 300 model runs</w:t>
      </w:r>
      <w:r w:rsidRPr="00B0618E">
        <w:t>.</w:t>
      </w:r>
      <w:bookmarkEnd w:id="96"/>
    </w:p>
    <w:p w14:paraId="122B7ADD" w14:textId="53C4FA33" w:rsidR="004E5193" w:rsidRPr="00B0618E" w:rsidRDefault="004E5193" w:rsidP="0034157C">
      <w:pPr>
        <w:pStyle w:val="BodyText"/>
      </w:pPr>
      <w:r w:rsidRPr="00B0618E">
        <w:br w:type="page"/>
      </w:r>
    </w:p>
    <w:p w14:paraId="291539A4" w14:textId="77777777" w:rsidR="00CE24B7" w:rsidRPr="00B0618E" w:rsidRDefault="005C76E5" w:rsidP="00CE24B7">
      <w:pPr>
        <w:pStyle w:val="Heading1"/>
      </w:pPr>
      <w:bookmarkStart w:id="97" w:name="_Ref476303051"/>
      <w:bookmarkStart w:id="98" w:name="_Toc483127576"/>
      <w:r w:rsidRPr="00B0618E">
        <w:t>Improved c</w:t>
      </w:r>
      <w:r w:rsidR="00CE24B7" w:rsidRPr="00B0618E">
        <w:t>haracterisation of aquitard vertical hydraulic conductivity</w:t>
      </w:r>
      <w:bookmarkEnd w:id="97"/>
      <w:bookmarkEnd w:id="98"/>
    </w:p>
    <w:p w14:paraId="2E511BC0" w14:textId="77777777" w:rsidR="00CE24B7" w:rsidRPr="00B0618E" w:rsidRDefault="00CE24B7" w:rsidP="00CE24B7">
      <w:pPr>
        <w:pStyle w:val="Heading2"/>
      </w:pPr>
      <w:bookmarkStart w:id="99" w:name="_Ref482028011"/>
      <w:bookmarkStart w:id="100" w:name="_Toc483127577"/>
      <w:r w:rsidRPr="00B0618E">
        <w:t>Core testing</w:t>
      </w:r>
      <w:bookmarkEnd w:id="99"/>
      <w:bookmarkEnd w:id="100"/>
    </w:p>
    <w:p w14:paraId="6F4EA1E6" w14:textId="74BE56CD" w:rsidR="00B60E10" w:rsidRDefault="00B60E10" w:rsidP="00882D65">
      <w:pPr>
        <w:pStyle w:val="BodyText"/>
      </w:pPr>
      <w:r w:rsidRPr="00597700">
        <w:t xml:space="preserve">CDM Smith (2016) reported there is </w:t>
      </w:r>
      <w:r w:rsidR="00FC550F">
        <w:t xml:space="preserve">generally </w:t>
      </w:r>
      <w:r w:rsidRPr="00597700">
        <w:t xml:space="preserve">a lack of published information describing the range and spatial distribution of hydrogeological properties of the deep consolidated strata within the Gunnedah </w:t>
      </w:r>
      <w:r w:rsidR="00FC550F">
        <w:t>and Surat b</w:t>
      </w:r>
      <w:r w:rsidRPr="00597700">
        <w:t>asin</w:t>
      </w:r>
      <w:r w:rsidR="00FC550F">
        <w:t>s</w:t>
      </w:r>
      <w:r w:rsidRPr="00597700">
        <w:t xml:space="preserve">. Only limited data </w:t>
      </w:r>
      <w:r w:rsidR="00597700">
        <w:t>were</w:t>
      </w:r>
      <w:r w:rsidRPr="00597700">
        <w:t xml:space="preserve"> available for strata within the vicinity of the Project area, which relate predominantly to coal seam geology. Drill stem tests ha</w:t>
      </w:r>
      <w:r w:rsidR="00597700">
        <w:t>d</w:t>
      </w:r>
      <w:r w:rsidRPr="00597700">
        <w:t xml:space="preserve"> been undertaken almost exclusively on the coal seams.</w:t>
      </w:r>
      <w:r w:rsidR="00FC550F">
        <w:t xml:space="preserve"> For the </w:t>
      </w:r>
      <w:r w:rsidR="00FC550F" w:rsidRPr="00B0618E">
        <w:t>Napperby</w:t>
      </w:r>
      <w:r w:rsidR="00FC550F">
        <w:t xml:space="preserve"> and </w:t>
      </w:r>
      <w:r w:rsidRPr="00B0618E">
        <w:t xml:space="preserve">Purlawaugh </w:t>
      </w:r>
      <w:r w:rsidR="00597700">
        <w:t xml:space="preserve">aquitard </w:t>
      </w:r>
      <w:r w:rsidRPr="00B0618E">
        <w:t>formation</w:t>
      </w:r>
      <w:r w:rsidR="00FC550F">
        <w:t>s,</w:t>
      </w:r>
      <w:r>
        <w:t xml:space="preserve"> </w:t>
      </w:r>
      <w:r w:rsidR="00FC550F">
        <w:t xml:space="preserve">limited </w:t>
      </w:r>
      <w:r w:rsidR="00FC550F" w:rsidRPr="00856901">
        <w:t>falling head</w:t>
      </w:r>
      <w:r w:rsidR="00FC550F">
        <w:t xml:space="preserve"> data was available from the </w:t>
      </w:r>
      <w:r w:rsidRPr="00597700">
        <w:t>Narrabri Coal Mine groundwater model</w:t>
      </w:r>
      <w:r w:rsidR="00FC550F">
        <w:t>.</w:t>
      </w:r>
      <w:r w:rsidRPr="00597700">
        <w:t xml:space="preserve"> No </w:t>
      </w:r>
      <w:r w:rsidRPr="00597700">
        <w:rPr>
          <w:i/>
        </w:rPr>
        <w:t>K</w:t>
      </w:r>
      <w:r w:rsidRPr="00597700">
        <w:rPr>
          <w:vertAlign w:val="subscript"/>
        </w:rPr>
        <w:t>V</w:t>
      </w:r>
      <w:r w:rsidRPr="00597700">
        <w:t xml:space="preserve"> estimates </w:t>
      </w:r>
      <w:r w:rsidR="00597700">
        <w:t>wer</w:t>
      </w:r>
      <w:r w:rsidRPr="00597700">
        <w:t xml:space="preserve">e available for Watermark and Porcupine </w:t>
      </w:r>
      <w:r w:rsidR="00597700">
        <w:t xml:space="preserve">aquitard </w:t>
      </w:r>
      <w:r w:rsidRPr="00597700">
        <w:t>formations</w:t>
      </w:r>
      <w:r w:rsidR="00FC550F">
        <w:t xml:space="preserve"> (CDM Smith, 2016). This paucity of hydraulic conductivity data illustrates that there is very little opportunity to couple existing </w:t>
      </w:r>
      <w:r w:rsidR="00597700">
        <w:t>hydrogeologic parameters</w:t>
      </w:r>
      <w:r w:rsidR="00FC550F">
        <w:t xml:space="preserve"> to geological</w:t>
      </w:r>
      <w:r w:rsidR="001C37FE">
        <w:t>,</w:t>
      </w:r>
      <w:r w:rsidR="00FC550F">
        <w:t xml:space="preserve"> geophysical or seismic data.</w:t>
      </w:r>
      <w:r w:rsidR="001C37FE">
        <w:t xml:space="preserve"> </w:t>
      </w:r>
      <w:r w:rsidR="00597700">
        <w:t>Because of t</w:t>
      </w:r>
      <w:r w:rsidR="001C37FE">
        <w:t>his paucity of data</w:t>
      </w:r>
      <w:r w:rsidR="00597700">
        <w:t>,</w:t>
      </w:r>
      <w:r w:rsidR="001C37FE">
        <w:t xml:space="preserve"> </w:t>
      </w:r>
      <w:r w:rsidR="00597700">
        <w:t>Turnadge et al. (201</w:t>
      </w:r>
      <w:r w:rsidR="00D646E1">
        <w:t>8</w:t>
      </w:r>
      <w:r w:rsidR="00597700">
        <w:t xml:space="preserve">b) decided </w:t>
      </w:r>
      <w:r w:rsidR="001C37FE">
        <w:t xml:space="preserve">to </w:t>
      </w:r>
      <w:r w:rsidR="00597700">
        <w:t>collect core samples of the key aquitard sequences and correlate the measured permeability with the available geophysical borehole data.</w:t>
      </w:r>
    </w:p>
    <w:p w14:paraId="78A2600D" w14:textId="74CA339D" w:rsidR="00882D65" w:rsidRPr="00B0618E" w:rsidRDefault="00F54B33" w:rsidP="00882D65">
      <w:pPr>
        <w:pStyle w:val="BodyText"/>
      </w:pPr>
      <w:r w:rsidRPr="00B0618E">
        <w:t>T</w:t>
      </w:r>
      <w:r w:rsidR="00882D65" w:rsidRPr="00B0618E">
        <w:t>ri-axial core testing was used to estimate porosity-permeability relationships for the two aquitard sequences underlying the Pilliga Sandstone</w:t>
      </w:r>
      <w:r w:rsidR="0028010B" w:rsidRPr="00B0618E">
        <w:t xml:space="preserve"> aquifer</w:t>
      </w:r>
      <w:r w:rsidR="00272F61" w:rsidRPr="00B0618E">
        <w:t xml:space="preserve"> (Turnadge et al., 201</w:t>
      </w:r>
      <w:r w:rsidR="00D646E1">
        <w:t>8</w:t>
      </w:r>
      <w:r w:rsidR="009833F3">
        <w:t>b</w:t>
      </w:r>
      <w:r w:rsidR="00272F61" w:rsidRPr="00B0618E">
        <w:t>); i.e., (a) the Triassic-Jurassic age Purlawaugh to Napperby formation sequence and (b) the Permian age Watermark to Porcupine formation sequence.</w:t>
      </w:r>
      <w:r w:rsidR="00CB7214" w:rsidRPr="00B0618E">
        <w:t xml:space="preserve"> P</w:t>
      </w:r>
      <w:r w:rsidR="00882D65" w:rsidRPr="00B0618E">
        <w:t xml:space="preserve">arametric </w:t>
      </w:r>
      <w:r w:rsidR="00CB7214" w:rsidRPr="00B0618E">
        <w:t xml:space="preserve">analytical </w:t>
      </w:r>
      <w:r w:rsidR="00882D65" w:rsidRPr="00B0618E">
        <w:t xml:space="preserve">models were </w:t>
      </w:r>
      <w:r w:rsidR="00CB7214" w:rsidRPr="00B0618E">
        <w:t xml:space="preserve">then </w:t>
      </w:r>
      <w:r w:rsidR="00882D65" w:rsidRPr="00B0618E">
        <w:t>derived to describe the porosity-permeability relationship for four aquitard units located within the two aquitard sequences (</w:t>
      </w:r>
      <w:r w:rsidR="000B1240">
        <w:t xml:space="preserve">i.e., </w:t>
      </w:r>
      <w:r w:rsidR="00882D65" w:rsidRPr="00B0618E">
        <w:t>upper</w:t>
      </w:r>
      <w:r w:rsidR="000B1240">
        <w:t xml:space="preserve"> sequence</w:t>
      </w:r>
      <w:r w:rsidR="00882D65" w:rsidRPr="00B0618E">
        <w:t xml:space="preserve">: Purlawaugh and Napperby </w:t>
      </w:r>
      <w:r w:rsidR="00882D65" w:rsidRPr="00B0618E">
        <w:rPr>
          <w:color w:val="auto"/>
        </w:rPr>
        <w:t>formations; lower</w:t>
      </w:r>
      <w:r w:rsidR="000B1240">
        <w:rPr>
          <w:color w:val="auto"/>
        </w:rPr>
        <w:t xml:space="preserve"> sequence</w:t>
      </w:r>
      <w:r w:rsidR="00882D65" w:rsidRPr="00B0618E">
        <w:rPr>
          <w:color w:val="auto"/>
        </w:rPr>
        <w:t>: Watermark and Porcupine formations).</w:t>
      </w:r>
      <w:r w:rsidR="00CB7214" w:rsidRPr="00B0618E">
        <w:rPr>
          <w:color w:val="auto"/>
        </w:rPr>
        <w:t xml:space="preserve"> </w:t>
      </w:r>
      <w:r w:rsidR="00882D65" w:rsidRPr="00B0618E">
        <w:rPr>
          <w:color w:val="auto"/>
        </w:rPr>
        <w:t xml:space="preserve">Downhole porosity logs were </w:t>
      </w:r>
      <w:r w:rsidR="00CB7214" w:rsidRPr="00B0618E">
        <w:rPr>
          <w:color w:val="auto"/>
        </w:rPr>
        <w:t xml:space="preserve">then </w:t>
      </w:r>
      <w:r w:rsidR="00882D65" w:rsidRPr="00B0618E">
        <w:rPr>
          <w:color w:val="auto"/>
        </w:rPr>
        <w:t xml:space="preserve">obtained for 97 exploration </w:t>
      </w:r>
      <w:r w:rsidR="00882D65" w:rsidRPr="00B0618E">
        <w:t xml:space="preserve">wells located across the Gunnedah Basin. </w:t>
      </w:r>
      <w:r w:rsidR="00CB7214" w:rsidRPr="00B0618E">
        <w:t>The derived p</w:t>
      </w:r>
      <w:r w:rsidR="00882D65" w:rsidRPr="00B0618E">
        <w:t>orosity-permeability models were applied to these logs to estimate vertical distributions of permeability (and therefore v</w:t>
      </w:r>
      <w:r w:rsidR="00CB7214" w:rsidRPr="00B0618E">
        <w:t xml:space="preserve">ertical hydraulic conductivity, or </w:t>
      </w:r>
      <w:r w:rsidR="00CB7214" w:rsidRPr="00B0618E">
        <w:rPr>
          <w:i/>
        </w:rPr>
        <w:t>K</w:t>
      </w:r>
      <w:r w:rsidR="00036549" w:rsidRPr="00B0618E">
        <w:rPr>
          <w:i/>
          <w:vertAlign w:val="subscript"/>
        </w:rPr>
        <w:t>V</w:t>
      </w:r>
      <w:r w:rsidR="00CB7214" w:rsidRPr="00B0618E">
        <w:t xml:space="preserve">) at various locations across the Gunnedah Basin. Upscaling approaches were subsequently applied to upscale these core scale aquitard </w:t>
      </w:r>
      <w:r w:rsidR="00CB7214" w:rsidRPr="00B0618E">
        <w:rPr>
          <w:i/>
        </w:rPr>
        <w:t>K</w:t>
      </w:r>
      <w:r w:rsidR="00036549" w:rsidRPr="00B0618E">
        <w:rPr>
          <w:i/>
          <w:vertAlign w:val="subscript"/>
        </w:rPr>
        <w:t>V</w:t>
      </w:r>
      <w:r w:rsidR="00CB7214" w:rsidRPr="00B0618E">
        <w:t xml:space="preserve"> values for inclusion in the regional</w:t>
      </w:r>
      <w:r w:rsidR="000B1240">
        <w:t>-</w:t>
      </w:r>
      <w:r w:rsidR="00CB7214" w:rsidRPr="00B0618E">
        <w:t>scale numerical groundwater flow model.</w:t>
      </w:r>
    </w:p>
    <w:p w14:paraId="084BC19F" w14:textId="77777777" w:rsidR="004E5193" w:rsidRPr="00B0618E" w:rsidRDefault="004E5193" w:rsidP="004E5193">
      <w:pPr>
        <w:pStyle w:val="Heading2"/>
      </w:pPr>
      <w:bookmarkStart w:id="101" w:name="_Toc483127578"/>
      <w:r w:rsidRPr="00B0618E">
        <w:t>Parameter upscaling</w:t>
      </w:r>
      <w:bookmarkEnd w:id="101"/>
    </w:p>
    <w:p w14:paraId="5D4F9DA4" w14:textId="028FF622" w:rsidR="00272F61" w:rsidRDefault="00272F61" w:rsidP="00B8026A">
      <w:pPr>
        <w:pStyle w:val="BodyText"/>
        <w:rPr>
          <w:color w:val="auto"/>
        </w:rPr>
      </w:pPr>
      <w:r w:rsidRPr="00B0618E">
        <w:rPr>
          <w:color w:val="auto"/>
        </w:rPr>
        <w:t>The upscaling of parameter values from small support scales (e.g., centimetres</w:t>
      </w:r>
      <w:r w:rsidR="00774C67" w:rsidRPr="00B0618E">
        <w:rPr>
          <w:color w:val="auto"/>
        </w:rPr>
        <w:t>, for core samples</w:t>
      </w:r>
      <w:r w:rsidRPr="00B0618E">
        <w:rPr>
          <w:color w:val="auto"/>
        </w:rPr>
        <w:t>) to large</w:t>
      </w:r>
      <w:r w:rsidRPr="00B0618E">
        <w:t xml:space="preserve"> </w:t>
      </w:r>
      <w:r w:rsidRPr="00B0618E">
        <w:rPr>
          <w:color w:val="auto"/>
        </w:rPr>
        <w:t>support scales (e.g., kilometres</w:t>
      </w:r>
      <w:r w:rsidR="00774C67" w:rsidRPr="00B0618E">
        <w:rPr>
          <w:color w:val="auto"/>
        </w:rPr>
        <w:t>, for regional-scale flow processes</w:t>
      </w:r>
      <w:r w:rsidRPr="00B0618E">
        <w:rPr>
          <w:color w:val="auto"/>
        </w:rPr>
        <w:t xml:space="preserve">) can be undertaken using </w:t>
      </w:r>
      <w:r w:rsidR="009002F7">
        <w:rPr>
          <w:color w:val="auto"/>
        </w:rPr>
        <w:t xml:space="preserve">(1) </w:t>
      </w:r>
      <w:r w:rsidRPr="00B0618E">
        <w:rPr>
          <w:color w:val="auto"/>
        </w:rPr>
        <w:t xml:space="preserve">analytical, </w:t>
      </w:r>
      <w:r w:rsidR="009002F7">
        <w:rPr>
          <w:color w:val="auto"/>
        </w:rPr>
        <w:t xml:space="preserve">(2) </w:t>
      </w:r>
      <w:r w:rsidRPr="00B0618E">
        <w:rPr>
          <w:color w:val="auto"/>
        </w:rPr>
        <w:t xml:space="preserve">numerical or </w:t>
      </w:r>
      <w:r w:rsidR="009002F7">
        <w:rPr>
          <w:color w:val="auto"/>
        </w:rPr>
        <w:t xml:space="preserve">(3) </w:t>
      </w:r>
      <w:r w:rsidRPr="00B0618E">
        <w:rPr>
          <w:color w:val="auto"/>
        </w:rPr>
        <w:t>geostatistical methods (</w:t>
      </w:r>
      <w:r w:rsidR="00B8026A" w:rsidRPr="00B8026A">
        <w:rPr>
          <w:color w:val="auto"/>
        </w:rPr>
        <w:t>Sanchez‐Vila et al</w:t>
      </w:r>
      <w:r w:rsidR="009002F7">
        <w:rPr>
          <w:color w:val="auto"/>
        </w:rPr>
        <w:t xml:space="preserve">., </w:t>
      </w:r>
      <w:r w:rsidR="009002F7" w:rsidRPr="008F59C0">
        <w:rPr>
          <w:color w:val="auto"/>
        </w:rPr>
        <w:t>199</w:t>
      </w:r>
      <w:r w:rsidR="008F59C0" w:rsidRPr="008F59C0">
        <w:rPr>
          <w:color w:val="auto"/>
        </w:rPr>
        <w:t>5</w:t>
      </w:r>
      <w:r w:rsidR="009002F7" w:rsidRPr="008F59C0">
        <w:rPr>
          <w:color w:val="auto"/>
        </w:rPr>
        <w:t>,</w:t>
      </w:r>
      <w:r w:rsidR="009002F7">
        <w:rPr>
          <w:color w:val="auto"/>
        </w:rPr>
        <w:t xml:space="preserve"> 2006; </w:t>
      </w:r>
      <w:r w:rsidR="00B8026A" w:rsidRPr="00B8026A">
        <w:rPr>
          <w:color w:val="auto"/>
        </w:rPr>
        <w:t>Wen and Gomez‐Hernandez</w:t>
      </w:r>
      <w:r w:rsidR="009002F7">
        <w:rPr>
          <w:color w:val="auto"/>
        </w:rPr>
        <w:t>,</w:t>
      </w:r>
      <w:r w:rsidR="00B8026A" w:rsidRPr="00B8026A">
        <w:rPr>
          <w:color w:val="auto"/>
        </w:rPr>
        <w:t xml:space="preserve"> 1996</w:t>
      </w:r>
      <w:r w:rsidR="009002F7">
        <w:rPr>
          <w:color w:val="auto"/>
        </w:rPr>
        <w:t>;</w:t>
      </w:r>
      <w:r w:rsidR="00B8026A" w:rsidRPr="00B8026A">
        <w:rPr>
          <w:color w:val="auto"/>
        </w:rPr>
        <w:t xml:space="preserve"> Renard and de Marsily</w:t>
      </w:r>
      <w:r w:rsidR="009002F7">
        <w:rPr>
          <w:color w:val="auto"/>
        </w:rPr>
        <w:t>,</w:t>
      </w:r>
      <w:r w:rsidR="00B8026A" w:rsidRPr="00B8026A">
        <w:rPr>
          <w:color w:val="auto"/>
        </w:rPr>
        <w:t xml:space="preserve"> 1997</w:t>
      </w:r>
      <w:r w:rsidR="009002F7">
        <w:rPr>
          <w:color w:val="auto"/>
        </w:rPr>
        <w:t xml:space="preserve">; Li et al., 2011; Moore et al., 2013; </w:t>
      </w:r>
      <w:r w:rsidRPr="00B0618E">
        <w:rPr>
          <w:color w:val="auto"/>
        </w:rPr>
        <w:t>Turnadge et al., 201</w:t>
      </w:r>
      <w:r w:rsidR="00D646E1">
        <w:rPr>
          <w:color w:val="auto"/>
        </w:rPr>
        <w:t>8</w:t>
      </w:r>
      <w:r w:rsidR="009833F3">
        <w:rPr>
          <w:color w:val="auto"/>
        </w:rPr>
        <w:t>a</w:t>
      </w:r>
      <w:r w:rsidRPr="00B0618E">
        <w:rPr>
          <w:color w:val="auto"/>
        </w:rPr>
        <w:t>). In the present study, the former two approaches were used to upscale core-scale aquitard vertical hydraulic conductivity values to values suitable for inclusion in a regional-scale groundwater flow model.</w:t>
      </w:r>
      <w:r w:rsidR="008C4E3E" w:rsidRPr="00B0618E">
        <w:rPr>
          <w:color w:val="auto"/>
        </w:rPr>
        <w:t xml:space="preserve"> The primary analytical approach to upscaling </w:t>
      </w:r>
      <w:r w:rsidR="00921DC2" w:rsidRPr="00B0618E">
        <w:rPr>
          <w:color w:val="auto"/>
        </w:rPr>
        <w:t xml:space="preserve">involved the use of </w:t>
      </w:r>
      <w:r w:rsidR="008C4E3E" w:rsidRPr="00B0618E">
        <w:rPr>
          <w:color w:val="auto"/>
        </w:rPr>
        <w:t xml:space="preserve">harmonic </w:t>
      </w:r>
      <w:r w:rsidR="00921DC2" w:rsidRPr="00B0618E">
        <w:rPr>
          <w:color w:val="auto"/>
        </w:rPr>
        <w:t>mean values</w:t>
      </w:r>
      <w:r w:rsidR="008C4E3E" w:rsidRPr="00B0618E">
        <w:rPr>
          <w:color w:val="auto"/>
        </w:rPr>
        <w:t xml:space="preserve">; however, </w:t>
      </w:r>
      <w:r w:rsidR="00921DC2" w:rsidRPr="00B0618E">
        <w:rPr>
          <w:color w:val="auto"/>
        </w:rPr>
        <w:t xml:space="preserve">for comparison purposes, </w:t>
      </w:r>
      <w:r w:rsidR="008C4E3E" w:rsidRPr="00B0618E">
        <w:rPr>
          <w:color w:val="auto"/>
        </w:rPr>
        <w:t xml:space="preserve">upscaled values were also derived using arithmetic and geometric </w:t>
      </w:r>
      <w:r w:rsidR="00921DC2" w:rsidRPr="00B0618E">
        <w:rPr>
          <w:color w:val="auto"/>
        </w:rPr>
        <w:t>mean values</w:t>
      </w:r>
      <w:r w:rsidR="008C4E3E" w:rsidRPr="00B0618E">
        <w:rPr>
          <w:color w:val="auto"/>
        </w:rPr>
        <w:t>. The numerical upscaling approach involved the use of a one-dimensional steady</w:t>
      </w:r>
      <w:r w:rsidR="00F86053" w:rsidRPr="00B0618E">
        <w:rPr>
          <w:color w:val="auto"/>
        </w:rPr>
        <w:t>-</w:t>
      </w:r>
      <w:r w:rsidR="008C4E3E" w:rsidRPr="00B0618E">
        <w:rPr>
          <w:color w:val="auto"/>
        </w:rPr>
        <w:t xml:space="preserve">state confined groundwater flow model which was solved using a finite difference scheme. </w:t>
      </w:r>
    </w:p>
    <w:p w14:paraId="5A5AF21B" w14:textId="5B3980D7" w:rsidR="007A4AAC" w:rsidRDefault="007A4AAC" w:rsidP="00B8026A">
      <w:pPr>
        <w:pStyle w:val="BodyText"/>
      </w:pPr>
      <w:r>
        <w:rPr>
          <w:color w:val="auto"/>
        </w:rPr>
        <w:t xml:space="preserve">The inherent assumption when upscaling </w:t>
      </w:r>
      <w:r w:rsidR="0014423D">
        <w:rPr>
          <w:color w:val="auto"/>
        </w:rPr>
        <w:t xml:space="preserve">parameters </w:t>
      </w:r>
      <w:r>
        <w:rPr>
          <w:color w:val="auto"/>
        </w:rPr>
        <w:t xml:space="preserve">from </w:t>
      </w:r>
      <w:r w:rsidR="0014423D">
        <w:rPr>
          <w:color w:val="auto"/>
        </w:rPr>
        <w:t xml:space="preserve">the </w:t>
      </w:r>
      <w:r>
        <w:rPr>
          <w:color w:val="auto"/>
        </w:rPr>
        <w:t>core</w:t>
      </w:r>
      <w:r w:rsidR="0014423D">
        <w:rPr>
          <w:color w:val="auto"/>
        </w:rPr>
        <w:t>-scale</w:t>
      </w:r>
      <w:r>
        <w:rPr>
          <w:color w:val="auto"/>
        </w:rPr>
        <w:t xml:space="preserve"> to numerical grid cells is that </w:t>
      </w:r>
      <w:r w:rsidR="0014423D">
        <w:rPr>
          <w:color w:val="auto"/>
        </w:rPr>
        <w:t xml:space="preserve">whatever upscaling approach is used does not introduce unacceptable errors </w:t>
      </w:r>
      <w:r w:rsidR="00AD12C2">
        <w:rPr>
          <w:color w:val="auto"/>
        </w:rPr>
        <w:t xml:space="preserve">and thus uncertainties </w:t>
      </w:r>
      <w:r w:rsidR="0014423D">
        <w:rPr>
          <w:color w:val="auto"/>
        </w:rPr>
        <w:t xml:space="preserve">in the large-scale </w:t>
      </w:r>
      <w:r w:rsidR="0014423D" w:rsidRPr="0014423D">
        <w:rPr>
          <w:i/>
          <w:color w:val="auto"/>
        </w:rPr>
        <w:t>K</w:t>
      </w:r>
      <w:r w:rsidR="0014423D" w:rsidRPr="0014423D">
        <w:rPr>
          <w:color w:val="auto"/>
          <w:vertAlign w:val="subscript"/>
        </w:rPr>
        <w:t>V</w:t>
      </w:r>
      <w:r w:rsidR="0014423D">
        <w:rPr>
          <w:color w:val="auto"/>
        </w:rPr>
        <w:t xml:space="preserve"> when extrapolating such parameter beyond the measurement support. </w:t>
      </w:r>
      <w:r w:rsidRPr="007A4AAC">
        <w:rPr>
          <w:color w:val="auto"/>
        </w:rPr>
        <w:t>Several studies have demonstrated</w:t>
      </w:r>
      <w:r w:rsidR="0014423D">
        <w:rPr>
          <w:color w:val="auto"/>
        </w:rPr>
        <w:t xml:space="preserve"> that in low-permeable media,</w:t>
      </w:r>
      <w:r w:rsidRPr="007A4AAC">
        <w:rPr>
          <w:color w:val="auto"/>
        </w:rPr>
        <w:t xml:space="preserve"> </w:t>
      </w:r>
      <w:r w:rsidRPr="0014423D">
        <w:rPr>
          <w:i/>
          <w:color w:val="auto"/>
        </w:rPr>
        <w:t>K</w:t>
      </w:r>
      <w:r w:rsidRPr="007A4AAC">
        <w:rPr>
          <w:color w:val="auto"/>
        </w:rPr>
        <w:t xml:space="preserve"> values are fairly insensitive to the scale of measurement, even beyond the </w:t>
      </w:r>
      <w:r w:rsidR="0014423D">
        <w:rPr>
          <w:color w:val="auto"/>
        </w:rPr>
        <w:t>typical core or borehole</w:t>
      </w:r>
      <w:r w:rsidRPr="007A4AAC">
        <w:rPr>
          <w:color w:val="auto"/>
        </w:rPr>
        <w:t xml:space="preserve"> scale (up to a certain degree). E</w:t>
      </w:r>
      <w:r w:rsidR="0014423D">
        <w:rPr>
          <w:color w:val="auto"/>
        </w:rPr>
        <w:t>.</w:t>
      </w:r>
      <w:r w:rsidRPr="007A4AAC">
        <w:rPr>
          <w:color w:val="auto"/>
        </w:rPr>
        <w:t>g</w:t>
      </w:r>
      <w:r w:rsidR="0014423D">
        <w:rPr>
          <w:color w:val="auto"/>
        </w:rPr>
        <w:t>.</w:t>
      </w:r>
      <w:r w:rsidRPr="007A4AAC">
        <w:rPr>
          <w:color w:val="auto"/>
        </w:rPr>
        <w:t>, Yu et al. (2013) de</w:t>
      </w:r>
      <w:r w:rsidR="0014423D">
        <w:rPr>
          <w:color w:val="auto"/>
        </w:rPr>
        <w:t>monstrated for plastic Boom C</w:t>
      </w:r>
      <w:r w:rsidRPr="007A4AAC">
        <w:rPr>
          <w:color w:val="auto"/>
        </w:rPr>
        <w:t xml:space="preserve">lay </w:t>
      </w:r>
      <w:r w:rsidR="00092563">
        <w:rPr>
          <w:color w:val="auto"/>
        </w:rPr>
        <w:t>of</w:t>
      </w:r>
      <w:r w:rsidR="00AC0D2D">
        <w:rPr>
          <w:color w:val="auto"/>
        </w:rPr>
        <w:t xml:space="preserve"> marine origin </w:t>
      </w:r>
      <w:r w:rsidRPr="007A4AAC">
        <w:rPr>
          <w:color w:val="auto"/>
        </w:rPr>
        <w:t xml:space="preserve">that </w:t>
      </w:r>
      <w:r w:rsidRPr="0014423D">
        <w:rPr>
          <w:i/>
          <w:color w:val="auto"/>
        </w:rPr>
        <w:t>K</w:t>
      </w:r>
      <w:r w:rsidR="0014423D" w:rsidRPr="0014423D">
        <w:rPr>
          <w:color w:val="auto"/>
          <w:vertAlign w:val="subscript"/>
        </w:rPr>
        <w:t>V</w:t>
      </w:r>
      <w:r w:rsidRPr="007A4AAC">
        <w:rPr>
          <w:color w:val="auto"/>
        </w:rPr>
        <w:t xml:space="preserve"> was nearly identical across a range of scales from cm to a macro-permeameter with a flow cross-sectional area of about 190 m</w:t>
      </w:r>
      <w:r w:rsidRPr="0014423D">
        <w:rPr>
          <w:color w:val="auto"/>
          <w:vertAlign w:val="superscript"/>
        </w:rPr>
        <w:t>2</w:t>
      </w:r>
      <w:r w:rsidRPr="007A4AAC">
        <w:rPr>
          <w:color w:val="auto"/>
        </w:rPr>
        <w:t xml:space="preserve">. </w:t>
      </w:r>
      <w:r w:rsidR="00AC0D2D">
        <w:rPr>
          <w:color w:val="auto"/>
        </w:rPr>
        <w:t xml:space="preserve">In other words, the representative elementary volume </w:t>
      </w:r>
      <w:r w:rsidR="00BB7D70">
        <w:rPr>
          <w:color w:val="auto"/>
        </w:rPr>
        <w:t xml:space="preserve">(REV) </w:t>
      </w:r>
      <w:r w:rsidR="00AC0D2D">
        <w:rPr>
          <w:color w:val="auto"/>
        </w:rPr>
        <w:t xml:space="preserve">for </w:t>
      </w:r>
      <w:r w:rsidR="00AC0D2D" w:rsidRPr="00BB7D70">
        <w:rPr>
          <w:i/>
          <w:color w:val="auto"/>
        </w:rPr>
        <w:t>K</w:t>
      </w:r>
      <w:r w:rsidR="00AC0D2D" w:rsidRPr="00BB7D70">
        <w:rPr>
          <w:color w:val="auto"/>
          <w:vertAlign w:val="subscript"/>
        </w:rPr>
        <w:t>V</w:t>
      </w:r>
      <w:r w:rsidR="00AC0D2D">
        <w:rPr>
          <w:color w:val="auto"/>
        </w:rPr>
        <w:t xml:space="preserve"> is </w:t>
      </w:r>
      <w:r w:rsidR="00BB7D70">
        <w:rPr>
          <w:color w:val="auto"/>
        </w:rPr>
        <w:t xml:space="preserve">orders of magnitude larger than the core scale. </w:t>
      </w:r>
      <w:r w:rsidRPr="007A4AAC">
        <w:rPr>
          <w:color w:val="auto"/>
        </w:rPr>
        <w:t xml:space="preserve">Using numerical experiments, McKenna and Rautman (1996) demonstrated that upscaling errors were around 5% for mildly heterogeneous </w:t>
      </w:r>
      <w:r w:rsidRPr="0014423D">
        <w:rPr>
          <w:i/>
          <w:color w:val="auto"/>
        </w:rPr>
        <w:t>K</w:t>
      </w:r>
      <w:r w:rsidRPr="007A4AAC">
        <w:rPr>
          <w:color w:val="auto"/>
        </w:rPr>
        <w:t xml:space="preserve"> fields </w:t>
      </w:r>
      <w:r w:rsidR="0014423D">
        <w:rPr>
          <w:color w:val="auto"/>
        </w:rPr>
        <w:t>(</w:t>
      </w:r>
      <w:r w:rsidR="0014423D" w:rsidRPr="0014423D">
        <w:rPr>
          <w:i/>
          <w:color w:val="auto"/>
        </w:rPr>
        <w:t>σ</w:t>
      </w:r>
      <w:r w:rsidR="0014423D">
        <w:rPr>
          <w:color w:val="auto"/>
        </w:rPr>
        <w:t xml:space="preserve"> log</w:t>
      </w:r>
      <w:r w:rsidR="00AC0D2D">
        <w:rPr>
          <w:color w:val="auto"/>
        </w:rPr>
        <w:t xml:space="preserve"> </w:t>
      </w:r>
      <w:r w:rsidR="0014423D" w:rsidRPr="0014423D">
        <w:rPr>
          <w:i/>
          <w:color w:val="auto"/>
        </w:rPr>
        <w:t>K</w:t>
      </w:r>
      <w:r w:rsidR="0014423D">
        <w:rPr>
          <w:color w:val="auto"/>
        </w:rPr>
        <w:t xml:space="preserve"> = 0.5) </w:t>
      </w:r>
      <w:r w:rsidR="00DC27D5">
        <w:rPr>
          <w:color w:val="auto"/>
        </w:rPr>
        <w:t>when specific</w:t>
      </w:r>
      <w:r w:rsidRPr="007A4AAC">
        <w:rPr>
          <w:color w:val="auto"/>
        </w:rPr>
        <w:t xml:space="preserve"> upscaling methods</w:t>
      </w:r>
      <w:r w:rsidR="00DC27D5">
        <w:rPr>
          <w:color w:val="auto"/>
        </w:rPr>
        <w:t xml:space="preserve"> were used</w:t>
      </w:r>
      <w:r w:rsidRPr="007A4AAC">
        <w:rPr>
          <w:color w:val="auto"/>
        </w:rPr>
        <w:t xml:space="preserve"> (</w:t>
      </w:r>
      <w:r w:rsidR="00DC27D5">
        <w:rPr>
          <w:color w:val="auto"/>
        </w:rPr>
        <w:t xml:space="preserve">i.e., </w:t>
      </w:r>
      <w:r w:rsidRPr="007A4AAC">
        <w:rPr>
          <w:color w:val="auto"/>
        </w:rPr>
        <w:t>geometric mean, numerical-inverse method, and renormalization scaling techniques).</w:t>
      </w:r>
      <w:r w:rsidR="00AC0D2D">
        <w:rPr>
          <w:color w:val="auto"/>
        </w:rPr>
        <w:t xml:space="preserve"> While there are definitely stratigraphic and other differences between the literature studies and the current study area, the presence of f</w:t>
      </w:r>
      <w:r w:rsidR="00AC0D2D" w:rsidRPr="00B0618E">
        <w:t xml:space="preserve">ine-grained units </w:t>
      </w:r>
      <w:r w:rsidR="00AC0D2D">
        <w:t>such as</w:t>
      </w:r>
      <w:r w:rsidR="00AC0D2D" w:rsidRPr="00B0618E">
        <w:t xml:space="preserve"> claystones (e.g.,</w:t>
      </w:r>
      <w:r w:rsidR="00AC0D2D">
        <w:t xml:space="preserve"> Benelabri and Leard F</w:t>
      </w:r>
      <w:r w:rsidR="00AC0D2D" w:rsidRPr="00B0618E">
        <w:t>ormations</w:t>
      </w:r>
      <w:r w:rsidR="00AC0D2D">
        <w:t>) and shales (e.g., Porcupine</w:t>
      </w:r>
      <w:r w:rsidR="00AC0D2D" w:rsidRPr="00B0618E">
        <w:t xml:space="preserve"> </w:t>
      </w:r>
      <w:r w:rsidR="00AC0D2D">
        <w:t>and Watermark F</w:t>
      </w:r>
      <w:r w:rsidR="00AC0D2D" w:rsidRPr="00B0618E">
        <w:t>ormations)</w:t>
      </w:r>
      <w:r w:rsidR="00AC0D2D">
        <w:t xml:space="preserve"> indicate that </w:t>
      </w:r>
      <w:r w:rsidR="00BB7D70">
        <w:t xml:space="preserve">a </w:t>
      </w:r>
      <w:r w:rsidR="00AC0D2D">
        <w:t>similarly large REV may exist</w:t>
      </w:r>
      <w:r w:rsidR="00AC0D2D" w:rsidRPr="00B0618E">
        <w:t>.</w:t>
      </w:r>
    </w:p>
    <w:p w14:paraId="4D5EA0E6" w14:textId="5F441363" w:rsidR="00B77A26" w:rsidRPr="00B0618E" w:rsidRDefault="00B77A26" w:rsidP="00B8026A">
      <w:pPr>
        <w:pStyle w:val="BodyText"/>
        <w:rPr>
          <w:color w:val="auto"/>
        </w:rPr>
      </w:pPr>
      <w:r>
        <w:t xml:space="preserve">An alternative approach to upscaling properties from the pore to the core scale was discussed by Arena et al. (2016). These authors used upscaling techniques based on micro-CT imaging data at scales ranging from micro-scale to core-scale combined with independent core-plug measurements </w:t>
      </w:r>
      <w:r w:rsidR="00EC7FDA">
        <w:t xml:space="preserve">of permeability and wireline log data. Main impediments to developing a mature whole core to log scale workflow were associated with the ability to robustly identify rock types and upscale data from the plug scale to the whole core scale and the need for improved direct calibration of the log response to the whole core scale properties. </w:t>
      </w:r>
    </w:p>
    <w:p w14:paraId="525F9536" w14:textId="7F01148D" w:rsidR="00CE24B7" w:rsidRPr="00AA5CA6" w:rsidRDefault="00CE24B7" w:rsidP="00CE24B7">
      <w:pPr>
        <w:pStyle w:val="Heading3"/>
      </w:pPr>
      <w:r w:rsidRPr="00AA5CA6">
        <w:t xml:space="preserve">Analytical </w:t>
      </w:r>
      <w:r w:rsidR="00927513" w:rsidRPr="00AA5CA6">
        <w:t xml:space="preserve">upscaling </w:t>
      </w:r>
      <w:r w:rsidRPr="00AA5CA6">
        <w:t>methods</w:t>
      </w:r>
    </w:p>
    <w:p w14:paraId="3448EB75" w14:textId="040947F0" w:rsidR="009002F7" w:rsidRDefault="00FF4B9B" w:rsidP="009002F7">
      <w:pPr>
        <w:pStyle w:val="BodyText"/>
      </w:pPr>
      <w:r>
        <w:t>Analytical approaches to upscaling parameter values involve</w:t>
      </w:r>
      <w:r w:rsidR="009002F7">
        <w:t xml:space="preserve"> calculati</w:t>
      </w:r>
      <w:r>
        <w:t>on of</w:t>
      </w:r>
      <w:r w:rsidR="009002F7">
        <w:t xml:space="preserve"> the arithmetic, geometric, harmonic, power or volume‐weighted mean of a given sample </w:t>
      </w:r>
      <w:r>
        <w:t>of values</w:t>
      </w:r>
      <w:r w:rsidR="009002F7">
        <w:t xml:space="preserve"> </w:t>
      </w:r>
      <w:r>
        <w:t>(Li et al., 2011)</w:t>
      </w:r>
      <w:r w:rsidR="009002F7">
        <w:t xml:space="preserve">. For one‐dimensional flow in heterogeneous </w:t>
      </w:r>
      <w:r>
        <w:t>porous media</w:t>
      </w:r>
      <w:r w:rsidR="009002F7">
        <w:t xml:space="preserve">, the equivalent hydraulic conductivity </w:t>
      </w:r>
      <w:r>
        <w:t xml:space="preserve">can be </w:t>
      </w:r>
      <w:r w:rsidR="009002F7">
        <w:t xml:space="preserve">calculated </w:t>
      </w:r>
      <w:r>
        <w:t xml:space="preserve">using </w:t>
      </w:r>
      <w:r w:rsidR="009002F7">
        <w:t xml:space="preserve">the harmonic mean (Freeze and Cherry, 1979). </w:t>
      </w:r>
      <w:r>
        <w:t xml:space="preserve">For </w:t>
      </w:r>
      <w:r w:rsidR="009002F7">
        <w:t xml:space="preserve">two‐dimensional heterogeneous media, it has been shown that </w:t>
      </w:r>
      <w:r>
        <w:t xml:space="preserve">under certain conditions </w:t>
      </w:r>
      <w:r w:rsidR="009002F7">
        <w:t>the geometric mean is an appropriate means of parameter upscaling (Gomez‐Hernandez and Wen, 1998; Sanchez‐Vila et al</w:t>
      </w:r>
      <w:r w:rsidR="009002F7" w:rsidRPr="00350269">
        <w:t>., 199</w:t>
      </w:r>
      <w:r w:rsidR="008F59C0" w:rsidRPr="00350269">
        <w:t>5</w:t>
      </w:r>
      <w:r w:rsidR="009002F7" w:rsidRPr="00350269">
        <w:t>).</w:t>
      </w:r>
      <w:r w:rsidR="009002F7">
        <w:t xml:space="preserve"> </w:t>
      </w:r>
    </w:p>
    <w:p w14:paraId="37EC2364" w14:textId="384A187E" w:rsidR="001C4C4C" w:rsidRPr="00B0618E" w:rsidRDefault="00FF4B9B" w:rsidP="009002F7">
      <w:pPr>
        <w:pStyle w:val="BodyText"/>
      </w:pPr>
      <w:r>
        <w:t>In the present study h</w:t>
      </w:r>
      <w:r w:rsidR="00882D65" w:rsidRPr="00B0618E">
        <w:t xml:space="preserve">armonic </w:t>
      </w:r>
      <w:r w:rsidR="00C62381" w:rsidRPr="00B0618E">
        <w:t>averaging was</w:t>
      </w:r>
      <w:r w:rsidR="00921DC2" w:rsidRPr="00B0618E">
        <w:t xml:space="preserve"> </w:t>
      </w:r>
      <w:r w:rsidR="00882D65" w:rsidRPr="00B0618E">
        <w:t xml:space="preserve">used to upscale </w:t>
      </w:r>
      <w:r w:rsidR="00C62381" w:rsidRPr="00B0618E">
        <w:rPr>
          <w:color w:val="auto"/>
        </w:rPr>
        <w:t xml:space="preserve">64 and 78 </w:t>
      </w:r>
      <w:r w:rsidR="00882D65" w:rsidRPr="00B0618E">
        <w:t xml:space="preserve">vertical </w:t>
      </w:r>
      <w:r w:rsidR="00C62381" w:rsidRPr="00B0618E">
        <w:t>profiles</w:t>
      </w:r>
      <w:r w:rsidR="00882D65" w:rsidRPr="00B0618E">
        <w:t xml:space="preserve"> of </w:t>
      </w:r>
      <w:r w:rsidR="00036549" w:rsidRPr="00B0618E">
        <w:rPr>
          <w:i/>
        </w:rPr>
        <w:t>K</w:t>
      </w:r>
      <w:r w:rsidR="00036549" w:rsidRPr="00B0618E">
        <w:rPr>
          <w:i/>
          <w:vertAlign w:val="subscript"/>
        </w:rPr>
        <w:t>V</w:t>
      </w:r>
      <w:r w:rsidR="00882D65" w:rsidRPr="00B0618E">
        <w:t xml:space="preserve"> to scalar values</w:t>
      </w:r>
      <w:r w:rsidR="00C62381" w:rsidRPr="00B0618E">
        <w:t xml:space="preserve"> for the upper and lower aquitard sequences</w:t>
      </w:r>
      <w:r w:rsidR="00F86053" w:rsidRPr="00B0618E">
        <w:t>,</w:t>
      </w:r>
      <w:r w:rsidR="00C62381" w:rsidRPr="00B0618E">
        <w:t xml:space="preserve"> respectively</w:t>
      </w:r>
      <w:r w:rsidR="00882D65" w:rsidRPr="00B0618E">
        <w:t>.</w:t>
      </w:r>
      <w:r w:rsidR="006D5D4F" w:rsidRPr="00B0618E">
        <w:t xml:space="preserve"> Numerous v</w:t>
      </w:r>
      <w:r w:rsidR="00C62381" w:rsidRPr="00B0618E">
        <w:t xml:space="preserve">ertical profiles were omitted from further analysis </w:t>
      </w:r>
      <w:r w:rsidR="00713E21" w:rsidRPr="00B0618E">
        <w:t xml:space="preserve">(from the initial sample set of 97 profiles) </w:t>
      </w:r>
      <w:r w:rsidR="00C62381" w:rsidRPr="00B0618E">
        <w:t xml:space="preserve">on the basis of unsuitable location and/or geology. </w:t>
      </w:r>
      <w:r w:rsidR="00B86E73">
        <w:t xml:space="preserve">For the upper aquitard sequence, only the </w:t>
      </w:r>
      <w:r w:rsidR="00B86E73" w:rsidRPr="00B86E73">
        <w:t xml:space="preserve">wells </w:t>
      </w:r>
      <w:r w:rsidR="00B86E73">
        <w:t xml:space="preserve">that </w:t>
      </w:r>
      <w:r w:rsidR="00B86E73" w:rsidRPr="00B86E73">
        <w:t>featured the presence of either the Purlawaugh or Napperby formations</w:t>
      </w:r>
      <w:r w:rsidR="00B86E73">
        <w:t xml:space="preserve"> were retained (64</w:t>
      </w:r>
      <w:r w:rsidR="00B86E73" w:rsidRPr="00B86E73">
        <w:t xml:space="preserve"> </w:t>
      </w:r>
      <w:r w:rsidR="00B86E73">
        <w:t xml:space="preserve">out </w:t>
      </w:r>
      <w:r w:rsidR="00B86E73" w:rsidRPr="00B86E73">
        <w:t>of 97</w:t>
      </w:r>
      <w:r w:rsidR="00B86E73">
        <w:t xml:space="preserve">). </w:t>
      </w:r>
      <w:r w:rsidR="00B86E73" w:rsidRPr="00B86E73">
        <w:t>Similarly, 78 of the 97 wells featured the presence of either the Watermark or Porcupine formations</w:t>
      </w:r>
      <w:r w:rsidR="00B86E73">
        <w:t xml:space="preserve"> for the lower aquitard sequence</w:t>
      </w:r>
      <w:r w:rsidR="00B86E73" w:rsidRPr="00B86E73">
        <w:t>.</w:t>
      </w:r>
      <w:r w:rsidR="00B86E73">
        <w:t xml:space="preserve"> </w:t>
      </w:r>
      <w:r w:rsidR="00882D65" w:rsidRPr="00B0618E">
        <w:t xml:space="preserve">The resulting </w:t>
      </w:r>
      <w:r w:rsidR="00272F61" w:rsidRPr="00B0618E">
        <w:t>log</w:t>
      </w:r>
      <w:r w:rsidR="00272F61" w:rsidRPr="00B0618E">
        <w:rPr>
          <w:vertAlign w:val="subscript"/>
        </w:rPr>
        <w:t>10</w:t>
      </w:r>
      <w:r w:rsidR="00882D65" w:rsidRPr="00B0618E">
        <w:t xml:space="preserve"> </w:t>
      </w:r>
      <w:r w:rsidR="00036549" w:rsidRPr="00B0618E">
        <w:rPr>
          <w:i/>
        </w:rPr>
        <w:t>K</w:t>
      </w:r>
      <w:r w:rsidR="00036549" w:rsidRPr="00B0618E">
        <w:rPr>
          <w:i/>
          <w:vertAlign w:val="subscript"/>
        </w:rPr>
        <w:t>V</w:t>
      </w:r>
      <w:r w:rsidR="00882D65" w:rsidRPr="00B0618E">
        <w:t xml:space="preserve"> values (m/d) </w:t>
      </w:r>
      <w:r w:rsidR="001C4C4C" w:rsidRPr="00B0618E">
        <w:t xml:space="preserve">are summarised in </w:t>
      </w:r>
      <w:r w:rsidR="001C4C4C" w:rsidRPr="00B0618E">
        <w:fldChar w:fldCharType="begin"/>
      </w:r>
      <w:r w:rsidR="001C4C4C" w:rsidRPr="00B0618E">
        <w:instrText xml:space="preserve"> REF _Ref468782533 \h </w:instrText>
      </w:r>
      <w:r w:rsidR="00B0618E">
        <w:instrText xml:space="preserve"> \* MERGEFORMAT </w:instrText>
      </w:r>
      <w:r w:rsidR="001C4C4C" w:rsidRPr="00B0618E">
        <w:fldChar w:fldCharType="separate"/>
      </w:r>
      <w:r w:rsidR="000B6FA5" w:rsidRPr="00B0618E">
        <w:t xml:space="preserve">Table </w:t>
      </w:r>
      <w:r w:rsidR="000B6FA5">
        <w:rPr>
          <w:noProof/>
        </w:rPr>
        <w:t>4</w:t>
      </w:r>
      <w:r w:rsidR="000B6FA5">
        <w:rPr>
          <w:noProof/>
        </w:rPr>
        <w:noBreakHyphen/>
        <w:t>1</w:t>
      </w:r>
      <w:r w:rsidR="001C4C4C" w:rsidRPr="00B0618E">
        <w:fldChar w:fldCharType="end"/>
      </w:r>
      <w:r w:rsidR="001C4C4C" w:rsidRPr="00B0618E">
        <w:t>.</w:t>
      </w:r>
    </w:p>
    <w:p w14:paraId="791686F2" w14:textId="3C219DFA" w:rsidR="001C4C4C" w:rsidRPr="00B0618E" w:rsidRDefault="001C4C4C" w:rsidP="0024788B">
      <w:pPr>
        <w:pStyle w:val="Caption"/>
      </w:pPr>
      <w:bookmarkStart w:id="102" w:name="_Ref468782533"/>
      <w:bookmarkStart w:id="103" w:name="_Toc503253889"/>
      <w:r w:rsidRPr="00B0618E">
        <w:t xml:space="preserve">Table </w:t>
      </w:r>
      <w:r w:rsidR="00A2085C">
        <w:fldChar w:fldCharType="begin"/>
      </w:r>
      <w:r w:rsidR="00A2085C">
        <w:instrText xml:space="preserve"> STYLEREF 1 \s </w:instrText>
      </w:r>
      <w:r w:rsidR="00A2085C">
        <w:fldChar w:fldCharType="separate"/>
      </w:r>
      <w:r w:rsidR="000B6FA5">
        <w:rPr>
          <w:noProof/>
        </w:rPr>
        <w:t>4</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1</w:t>
      </w:r>
      <w:r w:rsidR="00A2085C">
        <w:rPr>
          <w:noProof/>
        </w:rPr>
        <w:fldChar w:fldCharType="end"/>
      </w:r>
      <w:bookmarkEnd w:id="102"/>
      <w:r w:rsidRPr="00B0618E">
        <w:t xml:space="preserve">. </w:t>
      </w:r>
      <w:r w:rsidR="0024788B" w:rsidRPr="00B0618E">
        <w:t xml:space="preserve">Statistical summary of </w:t>
      </w:r>
      <w:r w:rsidR="00713E21" w:rsidRPr="00B0618E">
        <w:t>log</w:t>
      </w:r>
      <w:r w:rsidR="00713E21" w:rsidRPr="00B0618E">
        <w:rPr>
          <w:vertAlign w:val="subscript"/>
        </w:rPr>
        <w:t>10</w:t>
      </w:r>
      <w:r w:rsidR="00713E21" w:rsidRPr="00B0618E">
        <w:t xml:space="preserve"> </w:t>
      </w:r>
      <w:r w:rsidR="0024788B" w:rsidRPr="00B0618E">
        <w:t xml:space="preserve">aquitard vertical hydraulic conductivity </w:t>
      </w:r>
      <w:r w:rsidR="00027609" w:rsidRPr="00B0618E">
        <w:t>(log</w:t>
      </w:r>
      <w:r w:rsidR="00027609" w:rsidRPr="00B0618E">
        <w:rPr>
          <w:vertAlign w:val="subscript"/>
        </w:rPr>
        <w:t>10</w:t>
      </w:r>
      <w:r w:rsidR="00027609" w:rsidRPr="00B0618E">
        <w:t xml:space="preserve"> </w:t>
      </w:r>
      <w:r w:rsidR="00027609" w:rsidRPr="00B0618E">
        <w:rPr>
          <w:i/>
        </w:rPr>
        <w:t>K</w:t>
      </w:r>
      <w:r w:rsidR="00027609" w:rsidRPr="00B0618E">
        <w:rPr>
          <w:i/>
          <w:vertAlign w:val="subscript"/>
        </w:rPr>
        <w:t>V</w:t>
      </w:r>
      <w:r w:rsidR="00027609" w:rsidRPr="00B0618E">
        <w:t xml:space="preserve">) </w:t>
      </w:r>
      <w:r w:rsidR="0024788B" w:rsidRPr="00B0618E">
        <w:t>values</w:t>
      </w:r>
      <w:r w:rsidR="007E5FEA" w:rsidRPr="00B0618E">
        <w:t xml:space="preserve"> upscaled from core-scale observations using harmonic averaging</w:t>
      </w:r>
      <w:r w:rsidR="0024788B" w:rsidRPr="00B0618E">
        <w:t>.</w:t>
      </w:r>
      <w:bookmarkEnd w:id="103"/>
    </w:p>
    <w:tbl>
      <w:tblPr>
        <w:tblStyle w:val="TableCSIRO"/>
        <w:tblW w:w="0" w:type="auto"/>
        <w:tblLook w:val="04A0" w:firstRow="1" w:lastRow="0" w:firstColumn="1" w:lastColumn="0" w:noHBand="0" w:noVBand="1"/>
        <w:tblCaption w:val="Table 4-1"/>
        <w:tblDescription w:val="Table of hydraulic conductivity statistics from core samples"/>
      </w:tblPr>
      <w:tblGrid>
        <w:gridCol w:w="3175"/>
        <w:gridCol w:w="3175"/>
        <w:gridCol w:w="3175"/>
      </w:tblGrid>
      <w:tr w:rsidR="001C4C4C" w:rsidRPr="00B0618E" w14:paraId="198D5204" w14:textId="77777777" w:rsidTr="001C4C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Pr>
          <w:p w14:paraId="7043E706" w14:textId="77777777" w:rsidR="001C4C4C" w:rsidRPr="00B0618E" w:rsidRDefault="001C4C4C" w:rsidP="00A318E6">
            <w:pPr>
              <w:pStyle w:val="BodyText"/>
              <w:keepNext/>
              <w:spacing w:before="60" w:after="60" w:line="240" w:lineRule="auto"/>
              <w:rPr>
                <w:color w:val="FFFFFF" w:themeColor="background1"/>
                <w:sz w:val="18"/>
                <w:szCs w:val="18"/>
                <w:lang w:eastAsia="en-US"/>
              </w:rPr>
            </w:pPr>
            <w:r w:rsidRPr="00B0618E">
              <w:rPr>
                <w:color w:val="FFFFFF" w:themeColor="background1"/>
                <w:sz w:val="18"/>
                <w:szCs w:val="18"/>
                <w:lang w:eastAsia="en-US"/>
              </w:rPr>
              <w:t>Statistic</w:t>
            </w:r>
          </w:p>
        </w:tc>
        <w:tc>
          <w:tcPr>
            <w:tcW w:w="3175" w:type="dxa"/>
          </w:tcPr>
          <w:p w14:paraId="7802CDC8" w14:textId="77777777" w:rsidR="001C4C4C" w:rsidRPr="00B0618E" w:rsidRDefault="001C4C4C" w:rsidP="00A318E6">
            <w:pPr>
              <w:pStyle w:val="BodyText"/>
              <w:keepNext/>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18"/>
                <w:szCs w:val="18"/>
                <w:lang w:eastAsia="en-US"/>
              </w:rPr>
            </w:pPr>
            <w:r w:rsidRPr="00B0618E">
              <w:rPr>
                <w:color w:val="FFFFFF" w:themeColor="background1"/>
                <w:sz w:val="18"/>
                <w:szCs w:val="18"/>
                <w:lang w:eastAsia="en-US"/>
              </w:rPr>
              <w:t>Upper aquitard sequence</w:t>
            </w:r>
          </w:p>
        </w:tc>
        <w:tc>
          <w:tcPr>
            <w:tcW w:w="3175" w:type="dxa"/>
          </w:tcPr>
          <w:p w14:paraId="1E9D748F" w14:textId="77777777" w:rsidR="001C4C4C" w:rsidRPr="00B0618E" w:rsidRDefault="001C4C4C" w:rsidP="00A318E6">
            <w:pPr>
              <w:pStyle w:val="BodyText"/>
              <w:keepNext/>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18"/>
                <w:szCs w:val="18"/>
                <w:lang w:eastAsia="en-US"/>
              </w:rPr>
            </w:pPr>
            <w:r w:rsidRPr="00B0618E">
              <w:rPr>
                <w:color w:val="FFFFFF" w:themeColor="background1"/>
                <w:sz w:val="18"/>
                <w:szCs w:val="18"/>
                <w:lang w:eastAsia="en-US"/>
              </w:rPr>
              <w:t>Lower aquitard sequence</w:t>
            </w:r>
          </w:p>
        </w:tc>
      </w:tr>
      <w:tr w:rsidR="00C62381" w:rsidRPr="00B0618E" w14:paraId="49462DAD" w14:textId="77777777" w:rsidTr="001C4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Pr>
          <w:p w14:paraId="5D90228B" w14:textId="77777777" w:rsidR="00C62381" w:rsidRPr="00B0618E" w:rsidRDefault="00C62381" w:rsidP="00A318E6">
            <w:pPr>
              <w:pStyle w:val="BodyText"/>
              <w:keepNext/>
              <w:spacing w:before="60" w:after="60" w:line="240" w:lineRule="auto"/>
              <w:rPr>
                <w:b w:val="0"/>
                <w:sz w:val="18"/>
                <w:szCs w:val="18"/>
                <w:lang w:eastAsia="en-US"/>
              </w:rPr>
            </w:pPr>
            <w:r w:rsidRPr="00B0618E">
              <w:rPr>
                <w:b w:val="0"/>
                <w:sz w:val="18"/>
                <w:szCs w:val="18"/>
                <w:lang w:eastAsia="en-US"/>
              </w:rPr>
              <w:t>count</w:t>
            </w:r>
          </w:p>
        </w:tc>
        <w:tc>
          <w:tcPr>
            <w:tcW w:w="3175" w:type="dxa"/>
          </w:tcPr>
          <w:p w14:paraId="7D8A0615" w14:textId="77777777" w:rsidR="00C62381" w:rsidRPr="00B0618E" w:rsidRDefault="00C62381"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color w:val="auto"/>
                <w:sz w:val="18"/>
                <w:szCs w:val="18"/>
                <w:lang w:eastAsia="en-US"/>
              </w:rPr>
            </w:pPr>
            <w:r w:rsidRPr="00B0618E">
              <w:rPr>
                <w:color w:val="auto"/>
                <w:sz w:val="18"/>
                <w:szCs w:val="18"/>
                <w:lang w:eastAsia="en-US"/>
              </w:rPr>
              <w:t>64</w:t>
            </w:r>
          </w:p>
        </w:tc>
        <w:tc>
          <w:tcPr>
            <w:tcW w:w="3175" w:type="dxa"/>
          </w:tcPr>
          <w:p w14:paraId="331860CB" w14:textId="77777777" w:rsidR="00C62381" w:rsidRPr="00B0618E" w:rsidRDefault="00C62381"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color w:val="auto"/>
                <w:sz w:val="18"/>
                <w:szCs w:val="18"/>
                <w:lang w:eastAsia="en-US"/>
              </w:rPr>
            </w:pPr>
            <w:r w:rsidRPr="00B0618E">
              <w:rPr>
                <w:color w:val="auto"/>
                <w:sz w:val="18"/>
                <w:szCs w:val="18"/>
                <w:lang w:eastAsia="en-US"/>
              </w:rPr>
              <w:t>78</w:t>
            </w:r>
          </w:p>
        </w:tc>
      </w:tr>
      <w:tr w:rsidR="001C4C4C" w:rsidRPr="00B0618E" w14:paraId="05533404" w14:textId="77777777" w:rsidTr="001C4C4C">
        <w:tc>
          <w:tcPr>
            <w:cnfStyle w:val="001000000000" w:firstRow="0" w:lastRow="0" w:firstColumn="1" w:lastColumn="0" w:oddVBand="0" w:evenVBand="0" w:oddHBand="0" w:evenHBand="0" w:firstRowFirstColumn="0" w:firstRowLastColumn="0" w:lastRowFirstColumn="0" w:lastRowLastColumn="0"/>
            <w:tcW w:w="3175" w:type="dxa"/>
          </w:tcPr>
          <w:p w14:paraId="24532F33" w14:textId="77777777" w:rsidR="001C4C4C" w:rsidRPr="00B0618E" w:rsidRDefault="001C4C4C" w:rsidP="00A318E6">
            <w:pPr>
              <w:pStyle w:val="BodyText"/>
              <w:keepNext/>
              <w:spacing w:before="60" w:after="60" w:line="240" w:lineRule="auto"/>
              <w:rPr>
                <w:b w:val="0"/>
                <w:sz w:val="18"/>
                <w:szCs w:val="18"/>
                <w:lang w:eastAsia="en-US"/>
              </w:rPr>
            </w:pPr>
            <w:r w:rsidRPr="00B0618E">
              <w:rPr>
                <w:b w:val="0"/>
                <w:sz w:val="18"/>
                <w:szCs w:val="18"/>
                <w:lang w:eastAsia="en-US"/>
              </w:rPr>
              <w:t>minimum</w:t>
            </w:r>
          </w:p>
        </w:tc>
        <w:tc>
          <w:tcPr>
            <w:tcW w:w="3175" w:type="dxa"/>
          </w:tcPr>
          <w:p w14:paraId="264679D7" w14:textId="77777777" w:rsidR="001C4C4C" w:rsidRPr="00B0618E" w:rsidRDefault="001C4C4C"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B0618E">
              <w:rPr>
                <w:color w:val="auto"/>
                <w:sz w:val="18"/>
                <w:szCs w:val="18"/>
                <w:lang w:eastAsia="en-US"/>
              </w:rPr>
              <w:t>-7.0</w:t>
            </w:r>
          </w:p>
        </w:tc>
        <w:tc>
          <w:tcPr>
            <w:tcW w:w="3175" w:type="dxa"/>
          </w:tcPr>
          <w:p w14:paraId="78BCFD6D" w14:textId="77777777" w:rsidR="001C4C4C" w:rsidRPr="00B0618E" w:rsidRDefault="001C4C4C"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sidRPr="00B0618E">
              <w:rPr>
                <w:sz w:val="18"/>
                <w:szCs w:val="18"/>
                <w:lang w:eastAsia="en-US"/>
              </w:rPr>
              <w:t>-7.5</w:t>
            </w:r>
          </w:p>
        </w:tc>
      </w:tr>
      <w:tr w:rsidR="001C4C4C" w:rsidRPr="00B0618E" w14:paraId="38823A21" w14:textId="77777777" w:rsidTr="001C4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Pr>
          <w:p w14:paraId="63FF22D7" w14:textId="77777777" w:rsidR="001C4C4C" w:rsidRPr="00B0618E" w:rsidRDefault="001C4C4C" w:rsidP="00A318E6">
            <w:pPr>
              <w:pStyle w:val="BodyText"/>
              <w:keepNext/>
              <w:spacing w:before="60" w:after="60" w:line="240" w:lineRule="auto"/>
              <w:rPr>
                <w:b w:val="0"/>
                <w:sz w:val="18"/>
                <w:szCs w:val="18"/>
                <w:lang w:eastAsia="en-US"/>
              </w:rPr>
            </w:pPr>
            <w:r w:rsidRPr="00B0618E">
              <w:rPr>
                <w:b w:val="0"/>
                <w:sz w:val="18"/>
                <w:szCs w:val="18"/>
                <w:lang w:eastAsia="en-US"/>
              </w:rPr>
              <w:t>5</w:t>
            </w:r>
            <w:r w:rsidRPr="00B0618E">
              <w:rPr>
                <w:b w:val="0"/>
                <w:sz w:val="18"/>
                <w:szCs w:val="18"/>
                <w:vertAlign w:val="superscript"/>
                <w:lang w:eastAsia="en-US"/>
              </w:rPr>
              <w:t>th</w:t>
            </w:r>
            <w:r w:rsidRPr="00B0618E">
              <w:rPr>
                <w:b w:val="0"/>
                <w:sz w:val="18"/>
                <w:szCs w:val="18"/>
                <w:lang w:eastAsia="en-US"/>
              </w:rPr>
              <w:t xml:space="preserve"> percentile</w:t>
            </w:r>
          </w:p>
        </w:tc>
        <w:tc>
          <w:tcPr>
            <w:tcW w:w="3175" w:type="dxa"/>
          </w:tcPr>
          <w:p w14:paraId="4DE88472" w14:textId="77777777" w:rsidR="001C4C4C" w:rsidRPr="00B0618E" w:rsidRDefault="001C4C4C"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color w:val="auto"/>
                <w:sz w:val="18"/>
                <w:szCs w:val="18"/>
                <w:lang w:eastAsia="en-US"/>
              </w:rPr>
            </w:pPr>
            <w:r w:rsidRPr="00B0618E">
              <w:rPr>
                <w:color w:val="auto"/>
                <w:sz w:val="18"/>
                <w:szCs w:val="18"/>
                <w:lang w:eastAsia="en-US"/>
              </w:rPr>
              <w:t>-</w:t>
            </w:r>
            <w:r w:rsidR="007E5FEA" w:rsidRPr="00B0618E">
              <w:rPr>
                <w:color w:val="auto"/>
                <w:sz w:val="18"/>
                <w:szCs w:val="18"/>
                <w:lang w:eastAsia="en-US"/>
              </w:rPr>
              <w:t>6</w:t>
            </w:r>
            <w:r w:rsidRPr="00B0618E">
              <w:rPr>
                <w:color w:val="auto"/>
                <w:sz w:val="18"/>
                <w:szCs w:val="18"/>
                <w:lang w:eastAsia="en-US"/>
              </w:rPr>
              <w:t>.6</w:t>
            </w:r>
          </w:p>
        </w:tc>
        <w:tc>
          <w:tcPr>
            <w:tcW w:w="3175" w:type="dxa"/>
          </w:tcPr>
          <w:p w14:paraId="6C2DEA4B" w14:textId="77777777" w:rsidR="001C4C4C" w:rsidRPr="00B0618E" w:rsidRDefault="001C4C4C"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rPr>
            </w:pPr>
            <w:r w:rsidRPr="00B0618E">
              <w:rPr>
                <w:sz w:val="18"/>
                <w:szCs w:val="18"/>
                <w:lang w:eastAsia="en-US"/>
              </w:rPr>
              <w:t>-7.0</w:t>
            </w:r>
          </w:p>
        </w:tc>
      </w:tr>
      <w:tr w:rsidR="001C4C4C" w:rsidRPr="00B0618E" w14:paraId="437B6521" w14:textId="77777777" w:rsidTr="001C4C4C">
        <w:tc>
          <w:tcPr>
            <w:cnfStyle w:val="001000000000" w:firstRow="0" w:lastRow="0" w:firstColumn="1" w:lastColumn="0" w:oddVBand="0" w:evenVBand="0" w:oddHBand="0" w:evenHBand="0" w:firstRowFirstColumn="0" w:firstRowLastColumn="0" w:lastRowFirstColumn="0" w:lastRowLastColumn="0"/>
            <w:tcW w:w="3175" w:type="dxa"/>
          </w:tcPr>
          <w:p w14:paraId="76FCD9A1" w14:textId="77777777" w:rsidR="001C4C4C" w:rsidRPr="00B0618E" w:rsidRDefault="001C4C4C" w:rsidP="00A318E6">
            <w:pPr>
              <w:pStyle w:val="BodyText"/>
              <w:keepNext/>
              <w:spacing w:before="60" w:after="60" w:line="240" w:lineRule="auto"/>
              <w:rPr>
                <w:b w:val="0"/>
                <w:sz w:val="18"/>
                <w:szCs w:val="18"/>
                <w:lang w:eastAsia="en-US"/>
              </w:rPr>
            </w:pPr>
            <w:r w:rsidRPr="00B0618E">
              <w:rPr>
                <w:b w:val="0"/>
                <w:sz w:val="18"/>
                <w:szCs w:val="18"/>
                <w:lang w:eastAsia="en-US"/>
              </w:rPr>
              <w:t>median</w:t>
            </w:r>
          </w:p>
        </w:tc>
        <w:tc>
          <w:tcPr>
            <w:tcW w:w="3175" w:type="dxa"/>
          </w:tcPr>
          <w:p w14:paraId="5D35E6EE" w14:textId="77777777" w:rsidR="001C4C4C" w:rsidRPr="00B0618E" w:rsidRDefault="001C4C4C"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sidRPr="00B0618E">
              <w:rPr>
                <w:sz w:val="18"/>
                <w:szCs w:val="18"/>
                <w:lang w:eastAsia="en-US"/>
              </w:rPr>
              <w:t>-5.4</w:t>
            </w:r>
          </w:p>
        </w:tc>
        <w:tc>
          <w:tcPr>
            <w:tcW w:w="3175" w:type="dxa"/>
          </w:tcPr>
          <w:p w14:paraId="77E91299" w14:textId="77777777" w:rsidR="001C4C4C" w:rsidRPr="00B0618E" w:rsidRDefault="001C4C4C"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sidRPr="00B0618E">
              <w:rPr>
                <w:sz w:val="18"/>
                <w:szCs w:val="18"/>
                <w:lang w:eastAsia="en-US"/>
              </w:rPr>
              <w:t>-4.6</w:t>
            </w:r>
          </w:p>
        </w:tc>
      </w:tr>
      <w:tr w:rsidR="001C4C4C" w:rsidRPr="00B0618E" w14:paraId="2F1FDE11" w14:textId="77777777" w:rsidTr="001C4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Pr>
          <w:p w14:paraId="6FE36C0A" w14:textId="77777777" w:rsidR="001C4C4C" w:rsidRPr="00B0618E" w:rsidRDefault="001C4C4C" w:rsidP="00A318E6">
            <w:pPr>
              <w:pStyle w:val="BodyText"/>
              <w:keepNext/>
              <w:spacing w:before="60" w:after="60" w:line="240" w:lineRule="auto"/>
              <w:rPr>
                <w:b w:val="0"/>
                <w:sz w:val="18"/>
                <w:szCs w:val="18"/>
                <w:lang w:eastAsia="en-US"/>
              </w:rPr>
            </w:pPr>
            <w:r w:rsidRPr="00B0618E">
              <w:rPr>
                <w:b w:val="0"/>
                <w:sz w:val="18"/>
                <w:szCs w:val="18"/>
                <w:lang w:eastAsia="en-US"/>
              </w:rPr>
              <w:t>mean</w:t>
            </w:r>
          </w:p>
        </w:tc>
        <w:tc>
          <w:tcPr>
            <w:tcW w:w="3175" w:type="dxa"/>
          </w:tcPr>
          <w:p w14:paraId="02B4BFA9" w14:textId="77777777" w:rsidR="001C4C4C" w:rsidRPr="00B0618E" w:rsidRDefault="001C4C4C"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rPr>
            </w:pPr>
            <w:r w:rsidRPr="00B0618E">
              <w:rPr>
                <w:sz w:val="18"/>
                <w:szCs w:val="18"/>
                <w:lang w:eastAsia="en-US"/>
              </w:rPr>
              <w:t>-5.</w:t>
            </w:r>
            <w:r w:rsidR="007E5FEA" w:rsidRPr="00B0618E">
              <w:rPr>
                <w:sz w:val="18"/>
                <w:szCs w:val="18"/>
                <w:lang w:eastAsia="en-US"/>
              </w:rPr>
              <w:t>3</w:t>
            </w:r>
          </w:p>
        </w:tc>
        <w:tc>
          <w:tcPr>
            <w:tcW w:w="3175" w:type="dxa"/>
          </w:tcPr>
          <w:p w14:paraId="6B296BF7" w14:textId="77777777" w:rsidR="001C4C4C" w:rsidRPr="00B0618E" w:rsidRDefault="001C4C4C"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rPr>
            </w:pPr>
            <w:r w:rsidRPr="00B0618E">
              <w:rPr>
                <w:sz w:val="18"/>
                <w:szCs w:val="18"/>
                <w:lang w:eastAsia="en-US"/>
              </w:rPr>
              <w:t>-</w:t>
            </w:r>
            <w:r w:rsidR="007E5FEA" w:rsidRPr="00B0618E">
              <w:rPr>
                <w:sz w:val="18"/>
                <w:szCs w:val="18"/>
                <w:lang w:eastAsia="en-US"/>
              </w:rPr>
              <w:t>4.9</w:t>
            </w:r>
          </w:p>
        </w:tc>
      </w:tr>
      <w:tr w:rsidR="001C4C4C" w:rsidRPr="00B0618E" w14:paraId="74048C49" w14:textId="77777777" w:rsidTr="001C4C4C">
        <w:tc>
          <w:tcPr>
            <w:cnfStyle w:val="001000000000" w:firstRow="0" w:lastRow="0" w:firstColumn="1" w:lastColumn="0" w:oddVBand="0" w:evenVBand="0" w:oddHBand="0" w:evenHBand="0" w:firstRowFirstColumn="0" w:firstRowLastColumn="0" w:lastRowFirstColumn="0" w:lastRowLastColumn="0"/>
            <w:tcW w:w="3175" w:type="dxa"/>
          </w:tcPr>
          <w:p w14:paraId="7496FBFA" w14:textId="77777777" w:rsidR="001C4C4C" w:rsidRPr="00B0618E" w:rsidRDefault="001C4C4C" w:rsidP="00A318E6">
            <w:pPr>
              <w:pStyle w:val="BodyText"/>
              <w:keepNext/>
              <w:spacing w:before="60" w:after="60" w:line="240" w:lineRule="auto"/>
              <w:rPr>
                <w:b w:val="0"/>
                <w:sz w:val="18"/>
                <w:szCs w:val="18"/>
                <w:lang w:eastAsia="en-US"/>
              </w:rPr>
            </w:pPr>
            <w:r w:rsidRPr="00B0618E">
              <w:rPr>
                <w:b w:val="0"/>
                <w:sz w:val="18"/>
                <w:szCs w:val="18"/>
                <w:lang w:eastAsia="en-US"/>
              </w:rPr>
              <w:t>95</w:t>
            </w:r>
            <w:r w:rsidRPr="00B0618E">
              <w:rPr>
                <w:b w:val="0"/>
                <w:sz w:val="18"/>
                <w:szCs w:val="18"/>
                <w:vertAlign w:val="superscript"/>
                <w:lang w:eastAsia="en-US"/>
              </w:rPr>
              <w:t>th</w:t>
            </w:r>
            <w:r w:rsidRPr="00B0618E">
              <w:rPr>
                <w:b w:val="0"/>
                <w:sz w:val="18"/>
                <w:szCs w:val="18"/>
                <w:lang w:eastAsia="en-US"/>
              </w:rPr>
              <w:t xml:space="preserve"> percentile</w:t>
            </w:r>
          </w:p>
        </w:tc>
        <w:tc>
          <w:tcPr>
            <w:tcW w:w="3175" w:type="dxa"/>
          </w:tcPr>
          <w:p w14:paraId="5F4DA2CD" w14:textId="77777777" w:rsidR="001C4C4C" w:rsidRPr="00B0618E" w:rsidRDefault="001C4C4C"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sidRPr="00B0618E">
              <w:rPr>
                <w:sz w:val="18"/>
                <w:szCs w:val="18"/>
                <w:lang w:eastAsia="en-US"/>
              </w:rPr>
              <w:t>-4.0</w:t>
            </w:r>
          </w:p>
        </w:tc>
        <w:tc>
          <w:tcPr>
            <w:tcW w:w="3175" w:type="dxa"/>
          </w:tcPr>
          <w:p w14:paraId="406B6B6A" w14:textId="77777777" w:rsidR="001C4C4C" w:rsidRPr="00B0618E" w:rsidRDefault="001C4C4C"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sidRPr="00B0618E">
              <w:rPr>
                <w:sz w:val="18"/>
                <w:szCs w:val="18"/>
                <w:lang w:eastAsia="en-US"/>
              </w:rPr>
              <w:t>-3.3</w:t>
            </w:r>
          </w:p>
        </w:tc>
      </w:tr>
      <w:tr w:rsidR="001C4C4C" w:rsidRPr="00B0618E" w14:paraId="5C3821F3" w14:textId="77777777" w:rsidTr="001C4C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Pr>
          <w:p w14:paraId="6D86B0FF" w14:textId="77777777" w:rsidR="001C4C4C" w:rsidRPr="00B0618E" w:rsidRDefault="001C4C4C" w:rsidP="00A318E6">
            <w:pPr>
              <w:pStyle w:val="BodyText"/>
              <w:spacing w:before="60" w:after="60" w:line="240" w:lineRule="auto"/>
              <w:rPr>
                <w:b w:val="0"/>
                <w:sz w:val="18"/>
                <w:szCs w:val="18"/>
                <w:lang w:eastAsia="en-US"/>
              </w:rPr>
            </w:pPr>
            <w:r w:rsidRPr="00B0618E">
              <w:rPr>
                <w:b w:val="0"/>
                <w:sz w:val="18"/>
                <w:szCs w:val="18"/>
                <w:lang w:eastAsia="en-US"/>
              </w:rPr>
              <w:t>maximum</w:t>
            </w:r>
          </w:p>
        </w:tc>
        <w:tc>
          <w:tcPr>
            <w:tcW w:w="3175" w:type="dxa"/>
          </w:tcPr>
          <w:p w14:paraId="634116CD" w14:textId="77777777" w:rsidR="001C4C4C" w:rsidRPr="00B0618E" w:rsidRDefault="001C4C4C" w:rsidP="00A318E6">
            <w:pPr>
              <w:pStyle w:val="BodyText"/>
              <w:spacing w:before="60" w:after="6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rPr>
            </w:pPr>
            <w:r w:rsidRPr="00B0618E">
              <w:rPr>
                <w:sz w:val="18"/>
                <w:szCs w:val="18"/>
                <w:lang w:eastAsia="en-US"/>
              </w:rPr>
              <w:t>-3.2</w:t>
            </w:r>
          </w:p>
        </w:tc>
        <w:tc>
          <w:tcPr>
            <w:tcW w:w="3175" w:type="dxa"/>
          </w:tcPr>
          <w:p w14:paraId="5314B387" w14:textId="77777777" w:rsidR="001C4C4C" w:rsidRPr="00B0618E" w:rsidRDefault="001C4C4C" w:rsidP="00A318E6">
            <w:pPr>
              <w:pStyle w:val="BodyText"/>
              <w:spacing w:before="60" w:after="6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rPr>
            </w:pPr>
            <w:r w:rsidRPr="00B0618E">
              <w:rPr>
                <w:sz w:val="18"/>
                <w:szCs w:val="18"/>
                <w:lang w:eastAsia="en-US"/>
              </w:rPr>
              <w:t>-3.1</w:t>
            </w:r>
          </w:p>
        </w:tc>
      </w:tr>
      <w:tr w:rsidR="003A5C0C" w:rsidRPr="00B0618E" w14:paraId="56DCBEA7" w14:textId="77777777" w:rsidTr="001C4C4C">
        <w:tc>
          <w:tcPr>
            <w:cnfStyle w:val="001000000000" w:firstRow="0" w:lastRow="0" w:firstColumn="1" w:lastColumn="0" w:oddVBand="0" w:evenVBand="0" w:oddHBand="0" w:evenHBand="0" w:firstRowFirstColumn="0" w:firstRowLastColumn="0" w:lastRowFirstColumn="0" w:lastRowLastColumn="0"/>
            <w:tcW w:w="3175" w:type="dxa"/>
          </w:tcPr>
          <w:p w14:paraId="43F287BD" w14:textId="795501A7" w:rsidR="003A5C0C" w:rsidRPr="00B0618E" w:rsidRDefault="008E5C20" w:rsidP="00A318E6">
            <w:pPr>
              <w:pStyle w:val="BodyText"/>
              <w:spacing w:before="60" w:after="60" w:line="240" w:lineRule="auto"/>
              <w:rPr>
                <w:b w:val="0"/>
                <w:sz w:val="18"/>
                <w:szCs w:val="18"/>
                <w:lang w:eastAsia="en-US"/>
              </w:rPr>
            </w:pPr>
            <w:r>
              <w:rPr>
                <w:b w:val="0"/>
                <w:sz w:val="18"/>
                <w:szCs w:val="18"/>
                <w:lang w:eastAsia="en-US"/>
              </w:rPr>
              <w:t>s</w:t>
            </w:r>
            <w:r w:rsidR="003A5C0C">
              <w:rPr>
                <w:b w:val="0"/>
                <w:sz w:val="18"/>
                <w:szCs w:val="18"/>
                <w:lang w:eastAsia="en-US"/>
              </w:rPr>
              <w:t>tandard deviation</w:t>
            </w:r>
          </w:p>
        </w:tc>
        <w:tc>
          <w:tcPr>
            <w:tcW w:w="3175" w:type="dxa"/>
          </w:tcPr>
          <w:p w14:paraId="4A4E3075" w14:textId="34002607" w:rsidR="003A5C0C" w:rsidRPr="00B0618E" w:rsidRDefault="003A5C0C" w:rsidP="00A318E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Pr>
                <w:sz w:val="18"/>
                <w:szCs w:val="18"/>
                <w:lang w:eastAsia="en-US"/>
              </w:rPr>
              <w:t>0.8</w:t>
            </w:r>
          </w:p>
        </w:tc>
        <w:tc>
          <w:tcPr>
            <w:tcW w:w="3175" w:type="dxa"/>
          </w:tcPr>
          <w:p w14:paraId="34A5C754" w14:textId="04BF9B23" w:rsidR="003A5C0C" w:rsidRPr="00B0618E" w:rsidRDefault="003A5C0C" w:rsidP="00A318E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Pr>
                <w:sz w:val="18"/>
                <w:szCs w:val="18"/>
                <w:lang w:eastAsia="en-US"/>
              </w:rPr>
              <w:t>1.1</w:t>
            </w:r>
          </w:p>
        </w:tc>
      </w:tr>
    </w:tbl>
    <w:p w14:paraId="465DCC76" w14:textId="45968BFF" w:rsidR="001C4C4C" w:rsidRPr="00B0618E" w:rsidRDefault="001C4C4C" w:rsidP="00882D65">
      <w:pPr>
        <w:pStyle w:val="BodyText"/>
        <w:rPr>
          <w:color w:val="FF0000"/>
          <w:lang w:eastAsia="en-US"/>
        </w:rPr>
      </w:pPr>
    </w:p>
    <w:p w14:paraId="1779B797" w14:textId="77777777" w:rsidR="00882D65" w:rsidRPr="00B0618E" w:rsidRDefault="00086B6D" w:rsidP="008E5D3E">
      <w:pPr>
        <w:pStyle w:val="BodyText"/>
        <w:keepNext/>
        <w:jc w:val="center"/>
        <w:rPr>
          <w:lang w:eastAsia="en-US"/>
        </w:rPr>
      </w:pPr>
      <w:r w:rsidRPr="00B0618E">
        <w:rPr>
          <w:noProof/>
        </w:rPr>
        <w:drawing>
          <wp:inline distT="0" distB="0" distL="0" distR="0" wp14:anchorId="35AF1900" wp14:editId="48533E6C">
            <wp:extent cx="5758815" cy="2301875"/>
            <wp:effectExtent l="0" t="0" r="0" b="3175"/>
            <wp:docPr id="62" name="Picture 62" descr="Box and whisker plot of vertical permeability and conductivity" title="Fig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OWS_FAM\Aquitards\Filtered_porosity_data_from_Irina_040516\Plot_new_vs_old_Kv_prior_distributions_v02_170217.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8815" cy="2301875"/>
                    </a:xfrm>
                    <a:prstGeom prst="rect">
                      <a:avLst/>
                    </a:prstGeom>
                    <a:noFill/>
                    <a:ln>
                      <a:noFill/>
                    </a:ln>
                  </pic:spPr>
                </pic:pic>
              </a:graphicData>
            </a:graphic>
          </wp:inline>
        </w:drawing>
      </w:r>
    </w:p>
    <w:p w14:paraId="3384E4D6" w14:textId="1267DDCC" w:rsidR="00041687" w:rsidRPr="00B0618E" w:rsidRDefault="00041687" w:rsidP="00994757">
      <w:pPr>
        <w:pStyle w:val="Caption"/>
      </w:pPr>
      <w:bookmarkStart w:id="104" w:name="_Ref467659135"/>
      <w:bookmarkStart w:id="105" w:name="_Toc482034918"/>
      <w:r w:rsidRPr="00B0618E">
        <w:t>Figure</w:t>
      </w:r>
      <w:r w:rsidR="00FB5B8C" w:rsidRPr="00B0618E">
        <w:t xml:space="preserve"> </w:t>
      </w:r>
      <w:r w:rsidR="00A2085C">
        <w:fldChar w:fldCharType="begin"/>
      </w:r>
      <w:r w:rsidR="00A2085C">
        <w:instrText xml:space="preserve"> STYLEREF 1 \s </w:instrText>
      </w:r>
      <w:r w:rsidR="00A2085C">
        <w:fldChar w:fldCharType="separate"/>
      </w:r>
      <w:r w:rsidR="000B6FA5">
        <w:rPr>
          <w:noProof/>
        </w:rPr>
        <w:t>4</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w:t>
      </w:r>
      <w:r w:rsidR="00A2085C">
        <w:rPr>
          <w:noProof/>
        </w:rPr>
        <w:fldChar w:fldCharType="end"/>
      </w:r>
      <w:bookmarkEnd w:id="104"/>
      <w:r w:rsidRPr="00B0618E">
        <w:t>.</w:t>
      </w:r>
      <w:r w:rsidR="00FB5B8C" w:rsidRPr="00B0618E">
        <w:t xml:space="preserve"> </w:t>
      </w:r>
      <w:r w:rsidRPr="00B0618E">
        <w:t xml:space="preserve"> </w:t>
      </w:r>
      <w:r w:rsidR="008C4E3E" w:rsidRPr="00B0618E">
        <w:t xml:space="preserve">Original and revised statistical distributions of </w:t>
      </w:r>
      <w:r w:rsidR="005C3666">
        <w:t xml:space="preserve">vertical permeability values (left y-axis) and </w:t>
      </w:r>
      <w:r w:rsidR="008C4E3E" w:rsidRPr="00B0618E">
        <w:t xml:space="preserve">vertical hydraulic conductivity values </w:t>
      </w:r>
      <w:r w:rsidR="005C3666">
        <w:t xml:space="preserve">(right y-axis) </w:t>
      </w:r>
      <w:r w:rsidR="008C4E3E" w:rsidRPr="00B0618E">
        <w:t xml:space="preserve">for (a) upper and (b) lower aquitard sequences represented in the </w:t>
      </w:r>
      <w:r w:rsidR="00045A85">
        <w:t>CDM Smith (2016)</w:t>
      </w:r>
      <w:r w:rsidR="008C4E3E" w:rsidRPr="00B0618E">
        <w:t xml:space="preserve"> model of groundwater flow in the Gunnedah</w:t>
      </w:r>
      <w:r w:rsidR="000B1240">
        <w:t>-Surat</w:t>
      </w:r>
      <w:r w:rsidR="008C4E3E" w:rsidRPr="00B0618E">
        <w:t xml:space="preserve"> </w:t>
      </w:r>
      <w:r w:rsidR="000B1240">
        <w:t>b</w:t>
      </w:r>
      <w:r w:rsidR="008C4E3E" w:rsidRPr="00B0618E">
        <w:t>asin</w:t>
      </w:r>
      <w:r w:rsidR="000B1240">
        <w:t>s</w:t>
      </w:r>
      <w:r w:rsidR="008C4E3E" w:rsidRPr="00B0618E">
        <w:t xml:space="preserve">. Original values and ranges were described by </w:t>
      </w:r>
      <w:r w:rsidR="00045A85">
        <w:t>CDM Smith (2016)</w:t>
      </w:r>
      <w:r w:rsidR="008C4E3E" w:rsidRPr="00B0618E">
        <w:t>. Revised values and ranges are based on aquitard core porosity-permeability analyses</w:t>
      </w:r>
      <w:r w:rsidR="008B6466" w:rsidRPr="00B0618E">
        <w:t xml:space="preserve"> </w:t>
      </w:r>
      <w:r w:rsidR="007E5FEA" w:rsidRPr="00B0618E">
        <w:t xml:space="preserve">and upscaled </w:t>
      </w:r>
      <w:r w:rsidR="008B6466" w:rsidRPr="00B0618E">
        <w:t>using harmonic averaging,</w:t>
      </w:r>
      <w:r w:rsidR="008C4E3E" w:rsidRPr="00B0618E">
        <w:t xml:space="preserve"> described herein.</w:t>
      </w:r>
      <w:r w:rsidR="005C3666">
        <w:t xml:space="preserve"> Whiskers indicate the 90 % confidence interval and fliers indicate outlying data values.</w:t>
      </w:r>
      <w:bookmarkEnd w:id="105"/>
    </w:p>
    <w:p w14:paraId="03C505B7" w14:textId="77777777" w:rsidR="00147C9B" w:rsidRDefault="00147C9B" w:rsidP="00882D65">
      <w:pPr>
        <w:pStyle w:val="BodyText"/>
        <w:rPr>
          <w:lang w:eastAsia="en-US"/>
        </w:rPr>
      </w:pPr>
    </w:p>
    <w:p w14:paraId="0C4BBC70" w14:textId="775DF635" w:rsidR="00882D65" w:rsidRPr="00B0618E" w:rsidRDefault="008B6466" w:rsidP="00882D65">
      <w:pPr>
        <w:pStyle w:val="BodyText"/>
      </w:pPr>
      <w:r w:rsidRPr="00B0618E">
        <w:rPr>
          <w:lang w:eastAsia="en-US"/>
        </w:rPr>
        <w:t xml:space="preserve">From </w:t>
      </w:r>
      <w:r w:rsidR="00DD64D3" w:rsidRPr="00B0618E">
        <w:rPr>
          <w:color w:val="auto"/>
          <w:lang w:eastAsia="en-US"/>
        </w:rPr>
        <w:fldChar w:fldCharType="begin"/>
      </w:r>
      <w:r w:rsidR="00DD64D3" w:rsidRPr="00B0618E">
        <w:rPr>
          <w:lang w:eastAsia="en-US"/>
        </w:rPr>
        <w:instrText xml:space="preserve"> REF _Ref467659135 \h </w:instrText>
      </w:r>
      <w:r w:rsidR="00B0618E">
        <w:rPr>
          <w:color w:val="auto"/>
          <w:lang w:eastAsia="en-US"/>
        </w:rPr>
        <w:instrText xml:space="preserve"> \* MERGEFORMAT </w:instrText>
      </w:r>
      <w:r w:rsidR="00DD64D3" w:rsidRPr="00B0618E">
        <w:rPr>
          <w:color w:val="auto"/>
          <w:lang w:eastAsia="en-US"/>
        </w:rPr>
      </w:r>
      <w:r w:rsidR="00DD64D3" w:rsidRPr="00B0618E">
        <w:rPr>
          <w:color w:val="auto"/>
          <w:lang w:eastAsia="en-US"/>
        </w:rPr>
        <w:fldChar w:fldCharType="separate"/>
      </w:r>
      <w:r w:rsidR="000B6FA5" w:rsidRPr="00B0618E">
        <w:t xml:space="preserve">Figure </w:t>
      </w:r>
      <w:r w:rsidR="000B6FA5">
        <w:rPr>
          <w:noProof/>
        </w:rPr>
        <w:t>4</w:t>
      </w:r>
      <w:r w:rsidR="000B6FA5">
        <w:rPr>
          <w:noProof/>
        </w:rPr>
        <w:noBreakHyphen/>
        <w:t>1</w:t>
      </w:r>
      <w:r w:rsidR="00DD64D3" w:rsidRPr="00B0618E">
        <w:rPr>
          <w:color w:val="auto"/>
          <w:lang w:eastAsia="en-US"/>
        </w:rPr>
        <w:fldChar w:fldCharType="end"/>
      </w:r>
      <w:r w:rsidRPr="00B0618E">
        <w:rPr>
          <w:color w:val="FF0000"/>
          <w:lang w:eastAsia="en-US"/>
        </w:rPr>
        <w:t xml:space="preserve"> </w:t>
      </w:r>
      <w:r w:rsidRPr="00B0618E">
        <w:rPr>
          <w:lang w:eastAsia="en-US"/>
        </w:rPr>
        <w:t>i</w:t>
      </w:r>
      <w:r w:rsidR="00882D65" w:rsidRPr="00B0618E">
        <w:rPr>
          <w:lang w:eastAsia="en-US"/>
        </w:rPr>
        <w:t xml:space="preserve">t may </w:t>
      </w:r>
      <w:r w:rsidR="00B14678" w:rsidRPr="00B0618E">
        <w:rPr>
          <w:lang w:eastAsia="en-US"/>
        </w:rPr>
        <w:t xml:space="preserve">be </w:t>
      </w:r>
      <w:r w:rsidR="00882D65" w:rsidRPr="00B0618E">
        <w:rPr>
          <w:lang w:eastAsia="en-US"/>
        </w:rPr>
        <w:t xml:space="preserve">observed that, for both aquitard sequences, the revised prior distributions of </w:t>
      </w:r>
      <w:r w:rsidR="00882D65" w:rsidRPr="00B0618E">
        <w:rPr>
          <w:i/>
          <w:lang w:eastAsia="en-US"/>
        </w:rPr>
        <w:t>K</w:t>
      </w:r>
      <w:r w:rsidR="00036549" w:rsidRPr="00B0618E">
        <w:rPr>
          <w:i/>
          <w:vertAlign w:val="subscript"/>
          <w:lang w:eastAsia="en-US"/>
        </w:rPr>
        <w:t>V</w:t>
      </w:r>
      <w:r w:rsidR="00882D65" w:rsidRPr="00B0618E">
        <w:rPr>
          <w:lang w:eastAsia="en-US"/>
        </w:rPr>
        <w:t xml:space="preserve"> are two orders of magnitude larger than the distributions assumed for the performance of the initial sensitivity analyses.</w:t>
      </w:r>
      <w:r w:rsidRPr="00B0618E">
        <w:rPr>
          <w:lang w:eastAsia="en-US"/>
        </w:rPr>
        <w:t xml:space="preserve"> Note that the original </w:t>
      </w:r>
      <w:r w:rsidR="0076348C">
        <w:rPr>
          <w:lang w:eastAsia="en-US"/>
        </w:rPr>
        <w:t>log-</w:t>
      </w:r>
      <w:r w:rsidRPr="00B0618E">
        <w:rPr>
          <w:lang w:eastAsia="en-US"/>
        </w:rPr>
        <w:t>uniform prior distribution was replaced by a</w:t>
      </w:r>
      <w:r w:rsidR="000B1240">
        <w:rPr>
          <w:lang w:eastAsia="en-US"/>
        </w:rPr>
        <w:t xml:space="preserve"> uniform</w:t>
      </w:r>
      <w:r w:rsidRPr="00B0618E">
        <w:rPr>
          <w:lang w:eastAsia="en-US"/>
        </w:rPr>
        <w:t xml:space="preserve"> </w:t>
      </w:r>
      <w:r w:rsidR="0076348C">
        <w:rPr>
          <w:lang w:eastAsia="en-US"/>
        </w:rPr>
        <w:t>log-</w:t>
      </w:r>
      <w:r w:rsidRPr="00B0618E">
        <w:rPr>
          <w:lang w:eastAsia="en-US"/>
        </w:rPr>
        <w:t>triangular distribution, which featured finite minimum and maximum values (unlike, for example, a Gaussian distribution).</w:t>
      </w:r>
      <w:r w:rsidR="000B1240">
        <w:rPr>
          <w:lang w:eastAsia="en-US"/>
        </w:rPr>
        <w:t xml:space="preserve"> This represented a change from an “uninformed” prior distribution (in which all values were considered equally likely) to a distribution featuring a single, most-likely value (e.g., mode).</w:t>
      </w:r>
    </w:p>
    <w:p w14:paraId="5088CE3B" w14:textId="34536972" w:rsidR="00CE24B7" w:rsidRPr="00B0618E" w:rsidRDefault="00CE24B7" w:rsidP="00CE24B7">
      <w:pPr>
        <w:pStyle w:val="Heading3"/>
      </w:pPr>
      <w:bookmarkStart w:id="106" w:name="_Ref479508618"/>
      <w:r w:rsidRPr="00B0618E">
        <w:t xml:space="preserve">Numerical </w:t>
      </w:r>
      <w:r w:rsidR="00927513">
        <w:t xml:space="preserve">upscaling </w:t>
      </w:r>
      <w:r w:rsidRPr="00B0618E">
        <w:t>methods</w:t>
      </w:r>
      <w:bookmarkEnd w:id="106"/>
    </w:p>
    <w:p w14:paraId="4727F181" w14:textId="7986CC10" w:rsidR="002A274E" w:rsidRDefault="002A274E" w:rsidP="00CE24B7">
      <w:pPr>
        <w:pStyle w:val="BodyText"/>
        <w:rPr>
          <w:color w:val="auto"/>
        </w:rPr>
      </w:pPr>
      <w:r>
        <w:rPr>
          <w:color w:val="auto"/>
        </w:rPr>
        <w:t>Numerical f</w:t>
      </w:r>
      <w:r w:rsidRPr="002A274E">
        <w:rPr>
          <w:color w:val="auto"/>
        </w:rPr>
        <w:t xml:space="preserve">lux‐based approaches aim to preserve the hydraulic mass balance (and therefore groundwater flow rates) when </w:t>
      </w:r>
      <w:r>
        <w:rPr>
          <w:color w:val="auto"/>
        </w:rPr>
        <w:t xml:space="preserve">upscaling parameter values from one scale to another larger scale. </w:t>
      </w:r>
      <w:r w:rsidRPr="002A274E">
        <w:rPr>
          <w:color w:val="auto"/>
        </w:rPr>
        <w:t>Li et al. (2011) summarised flux‐based upscaling methods</w:t>
      </w:r>
      <w:r>
        <w:rPr>
          <w:color w:val="auto"/>
        </w:rPr>
        <w:t xml:space="preserve"> involving</w:t>
      </w:r>
      <w:r w:rsidRPr="002A274E">
        <w:rPr>
          <w:color w:val="auto"/>
        </w:rPr>
        <w:t xml:space="preserve"> the Laplace equation for groundwater flow. </w:t>
      </w:r>
      <w:r>
        <w:rPr>
          <w:color w:val="auto"/>
        </w:rPr>
        <w:t>T</w:t>
      </w:r>
      <w:r w:rsidRPr="002A274E">
        <w:rPr>
          <w:color w:val="auto"/>
        </w:rPr>
        <w:t xml:space="preserve">he upscaled hydraulic conductivity in any given direction can be calculated </w:t>
      </w:r>
      <w:r>
        <w:rPr>
          <w:color w:val="auto"/>
        </w:rPr>
        <w:t xml:space="preserve">using </w:t>
      </w:r>
      <w:r w:rsidRPr="002A274E">
        <w:rPr>
          <w:color w:val="auto"/>
        </w:rPr>
        <w:t xml:space="preserve">Darcy’s Law as the ratio of the flow rate to the cross‐sectional thickness divided by the hydraulic gradient. </w:t>
      </w:r>
      <w:r>
        <w:rPr>
          <w:color w:val="auto"/>
        </w:rPr>
        <w:t xml:space="preserve">Numerical </w:t>
      </w:r>
      <w:r w:rsidRPr="002A274E">
        <w:rPr>
          <w:color w:val="auto"/>
        </w:rPr>
        <w:t xml:space="preserve">methods have been widely used to </w:t>
      </w:r>
      <w:r>
        <w:rPr>
          <w:color w:val="auto"/>
        </w:rPr>
        <w:t>upscale</w:t>
      </w:r>
      <w:r w:rsidRPr="002A274E">
        <w:rPr>
          <w:color w:val="auto"/>
        </w:rPr>
        <w:t xml:space="preserve"> hydraulic conductivities in petroleum engineering and hydrogeology </w:t>
      </w:r>
      <w:r>
        <w:rPr>
          <w:color w:val="auto"/>
        </w:rPr>
        <w:t>(</w:t>
      </w:r>
      <w:r w:rsidRPr="002A274E">
        <w:rPr>
          <w:color w:val="auto"/>
        </w:rPr>
        <w:t>e.g., Warren and Price</w:t>
      </w:r>
      <w:r>
        <w:rPr>
          <w:color w:val="auto"/>
        </w:rPr>
        <w:t>,</w:t>
      </w:r>
      <w:r w:rsidRPr="002A274E">
        <w:rPr>
          <w:color w:val="auto"/>
        </w:rPr>
        <w:t xml:space="preserve"> 1961; Journel et al.,</w:t>
      </w:r>
      <w:r>
        <w:rPr>
          <w:color w:val="auto"/>
        </w:rPr>
        <w:t xml:space="preserve"> </w:t>
      </w:r>
      <w:r w:rsidRPr="002A274E">
        <w:rPr>
          <w:color w:val="auto"/>
        </w:rPr>
        <w:t>1986; Desbarats</w:t>
      </w:r>
      <w:r>
        <w:rPr>
          <w:color w:val="auto"/>
        </w:rPr>
        <w:t>,</w:t>
      </w:r>
      <w:r w:rsidRPr="002A274E">
        <w:rPr>
          <w:color w:val="auto"/>
        </w:rPr>
        <w:t xml:space="preserve"> 1987; Deutsch</w:t>
      </w:r>
      <w:r>
        <w:rPr>
          <w:color w:val="auto"/>
        </w:rPr>
        <w:t>,</w:t>
      </w:r>
      <w:r w:rsidRPr="002A274E">
        <w:rPr>
          <w:color w:val="auto"/>
        </w:rPr>
        <w:t xml:space="preserve"> 1989</w:t>
      </w:r>
      <w:r>
        <w:rPr>
          <w:color w:val="auto"/>
        </w:rPr>
        <w:t>)</w:t>
      </w:r>
      <w:r w:rsidRPr="002A274E">
        <w:rPr>
          <w:color w:val="auto"/>
        </w:rPr>
        <w:t xml:space="preserve">. </w:t>
      </w:r>
    </w:p>
    <w:p w14:paraId="2803271F" w14:textId="2166CB4D" w:rsidR="005D3047" w:rsidRDefault="00272F61" w:rsidP="00CE24B7">
      <w:pPr>
        <w:pStyle w:val="BodyText"/>
        <w:rPr>
          <w:color w:val="auto"/>
        </w:rPr>
      </w:pPr>
      <w:r w:rsidRPr="00B0618E">
        <w:rPr>
          <w:color w:val="auto"/>
        </w:rPr>
        <w:t xml:space="preserve">Numerical </w:t>
      </w:r>
      <w:r w:rsidR="006471CC" w:rsidRPr="00B0618E">
        <w:rPr>
          <w:color w:val="auto"/>
        </w:rPr>
        <w:t xml:space="preserve">methods were used to upscale </w:t>
      </w:r>
      <w:r w:rsidR="00C62381" w:rsidRPr="00B0618E">
        <w:rPr>
          <w:color w:val="auto"/>
        </w:rPr>
        <w:t>54 and 69</w:t>
      </w:r>
      <w:r w:rsidR="006471CC" w:rsidRPr="00B0618E">
        <w:rPr>
          <w:color w:val="auto"/>
        </w:rPr>
        <w:t xml:space="preserve"> vertical </w:t>
      </w:r>
      <w:r w:rsidR="00C62381" w:rsidRPr="00B0618E">
        <w:rPr>
          <w:color w:val="auto"/>
        </w:rPr>
        <w:t xml:space="preserve">profiles </w:t>
      </w:r>
      <w:r w:rsidR="006471CC" w:rsidRPr="00B0618E">
        <w:rPr>
          <w:color w:val="auto"/>
        </w:rPr>
        <w:t xml:space="preserve">of </w:t>
      </w:r>
      <w:r w:rsidR="006471CC" w:rsidRPr="00B0618E">
        <w:rPr>
          <w:i/>
          <w:color w:val="auto"/>
        </w:rPr>
        <w:t>K</w:t>
      </w:r>
      <w:r w:rsidR="00036549" w:rsidRPr="00B0618E">
        <w:rPr>
          <w:i/>
          <w:color w:val="auto"/>
          <w:vertAlign w:val="subscript"/>
        </w:rPr>
        <w:t>V</w:t>
      </w:r>
      <w:r w:rsidR="006471CC" w:rsidRPr="00B0618E">
        <w:rPr>
          <w:color w:val="auto"/>
        </w:rPr>
        <w:t xml:space="preserve"> obtained from core-log analyses</w:t>
      </w:r>
      <w:r w:rsidR="00C62381" w:rsidRPr="00B0618E">
        <w:rPr>
          <w:color w:val="auto"/>
        </w:rPr>
        <w:t xml:space="preserve"> </w:t>
      </w:r>
      <w:r w:rsidR="00C62381" w:rsidRPr="00B0618E">
        <w:t>for the upper and lower aquitard sequences</w:t>
      </w:r>
      <w:r w:rsidR="00B14678" w:rsidRPr="00B0618E">
        <w:t>,</w:t>
      </w:r>
      <w:r w:rsidR="00C62381" w:rsidRPr="00B0618E">
        <w:t xml:space="preserve"> respectively.</w:t>
      </w:r>
      <w:r w:rsidR="00713E21" w:rsidRPr="00B0618E">
        <w:t xml:space="preserve"> Numerous v</w:t>
      </w:r>
      <w:r w:rsidR="00C62381" w:rsidRPr="00B0618E">
        <w:t xml:space="preserve">ertical profiles </w:t>
      </w:r>
      <w:r w:rsidR="00B86E73">
        <w:t>of</w:t>
      </w:r>
      <w:r w:rsidR="00C62381" w:rsidRPr="00B0618E">
        <w:t xml:space="preserve"> </w:t>
      </w:r>
      <w:r w:rsidR="00B86E73">
        <w:t xml:space="preserve">the initial set used for analytical upscaling were </w:t>
      </w:r>
      <w:r w:rsidR="00C62381" w:rsidRPr="00B0618E">
        <w:t xml:space="preserve">omitted from further analysis </w:t>
      </w:r>
      <w:r w:rsidR="00713E21" w:rsidRPr="00B0618E">
        <w:t xml:space="preserve">(from the initial sample set of </w:t>
      </w:r>
      <w:r w:rsidR="00B86E73">
        <w:t>64 for the upper aquitard, 54 were retained</w:t>
      </w:r>
      <w:r w:rsidR="005D3047">
        <w:t>; from the initial 78 for the lower aquitard 69 were retained here</w:t>
      </w:r>
      <w:r w:rsidR="00713E21" w:rsidRPr="00B0618E">
        <w:t>)</w:t>
      </w:r>
      <w:r w:rsidR="006471CC" w:rsidRPr="00B0618E">
        <w:rPr>
          <w:color w:val="auto"/>
        </w:rPr>
        <w:t xml:space="preserve">. </w:t>
      </w:r>
      <w:r w:rsidR="005D3047">
        <w:rPr>
          <w:color w:val="auto"/>
        </w:rPr>
        <w:t>The reason for excluding additional wells was lack of hydraulic conductivity data for interburden layers connecting the two aquitards within a single sequence.</w:t>
      </w:r>
    </w:p>
    <w:p w14:paraId="2B5C9A75" w14:textId="1C0098DF" w:rsidR="00272F61" w:rsidRPr="00B0618E" w:rsidRDefault="006471CC" w:rsidP="00CE24B7">
      <w:pPr>
        <w:pStyle w:val="BodyText"/>
        <w:rPr>
          <w:color w:val="auto"/>
        </w:rPr>
      </w:pPr>
      <w:r w:rsidRPr="00B0618E">
        <w:rPr>
          <w:color w:val="auto"/>
        </w:rPr>
        <w:t xml:space="preserve">The vertical resolution of each vertical profile was first upscaled from non-uniform centimetre-scale intervals to uniform one metre intervals by use of arithmetic </w:t>
      </w:r>
      <w:r w:rsidR="00921DC2" w:rsidRPr="00B0618E">
        <w:rPr>
          <w:color w:val="auto"/>
        </w:rPr>
        <w:t>mean values</w:t>
      </w:r>
      <w:r w:rsidRPr="00B0618E">
        <w:rPr>
          <w:color w:val="auto"/>
        </w:rPr>
        <w:t>. These values were then incorporated into a steady</w:t>
      </w:r>
      <w:r w:rsidR="00E95D65" w:rsidRPr="00B0618E">
        <w:rPr>
          <w:color w:val="auto"/>
        </w:rPr>
        <w:t>-</w:t>
      </w:r>
      <w:r w:rsidRPr="00B0618E">
        <w:rPr>
          <w:color w:val="auto"/>
        </w:rPr>
        <w:t xml:space="preserve">state 1-D numerical groundwater flow model. Each value was assigned to a unique cell of one metre thickness. Dirichlet </w:t>
      </w:r>
      <w:r w:rsidR="0053143D" w:rsidRPr="00B0618E">
        <w:rPr>
          <w:color w:val="auto"/>
        </w:rPr>
        <w:t xml:space="preserve">(i.e., </w:t>
      </w:r>
      <w:r w:rsidR="00E95D65" w:rsidRPr="00B0618E">
        <w:rPr>
          <w:color w:val="auto"/>
        </w:rPr>
        <w:t>fixed head</w:t>
      </w:r>
      <w:r w:rsidR="0053143D" w:rsidRPr="00B0618E">
        <w:rPr>
          <w:color w:val="auto"/>
        </w:rPr>
        <w:t>)</w:t>
      </w:r>
      <w:r w:rsidR="00E95D65" w:rsidRPr="00B0618E">
        <w:rPr>
          <w:color w:val="auto"/>
        </w:rPr>
        <w:t xml:space="preserve"> </w:t>
      </w:r>
      <w:r w:rsidRPr="00B0618E">
        <w:rPr>
          <w:color w:val="auto"/>
        </w:rPr>
        <w:t xml:space="preserve">boundary conditions were applied to the top and bottom cells of the model in order to apply a unit vertical hydraulic gradient (i.e., equal to the vertical extent of the model) across the model. The </w:t>
      </w:r>
      <w:r w:rsidR="0010615B" w:rsidRPr="00B0618E">
        <w:rPr>
          <w:color w:val="auto"/>
        </w:rPr>
        <w:t xml:space="preserve">dimensions of model cells in the </w:t>
      </w:r>
      <w:r w:rsidR="0010615B" w:rsidRPr="00B0618E">
        <w:rPr>
          <w:i/>
          <w:color w:val="auto"/>
        </w:rPr>
        <w:t>x-y</w:t>
      </w:r>
      <w:r w:rsidR="0010615B" w:rsidRPr="00B0618E">
        <w:rPr>
          <w:color w:val="auto"/>
        </w:rPr>
        <w:t xml:space="preserve"> plane were each specified as 1</w:t>
      </w:r>
      <w:r w:rsidR="00556EF7" w:rsidRPr="00B0618E">
        <w:rPr>
          <w:color w:val="auto"/>
        </w:rPr>
        <w:t>×1</w:t>
      </w:r>
      <w:r w:rsidR="0010615B" w:rsidRPr="00B0618E">
        <w:rPr>
          <w:color w:val="auto"/>
        </w:rPr>
        <w:t xml:space="preserve"> m</w:t>
      </w:r>
      <w:r w:rsidR="00556EF7" w:rsidRPr="00B0618E">
        <w:rPr>
          <w:color w:val="auto"/>
          <w:vertAlign w:val="superscript"/>
        </w:rPr>
        <w:t>2</w:t>
      </w:r>
      <w:r w:rsidR="0010615B" w:rsidRPr="00B0618E">
        <w:rPr>
          <w:color w:val="auto"/>
        </w:rPr>
        <w:t xml:space="preserve">; therefore the </w:t>
      </w:r>
      <w:r w:rsidRPr="00B0618E">
        <w:rPr>
          <w:color w:val="auto"/>
        </w:rPr>
        <w:t>cross-sectional area perpendicular to outflow from the model was equal to unity</w:t>
      </w:r>
      <w:r w:rsidR="0010615B" w:rsidRPr="00B0618E">
        <w:rPr>
          <w:color w:val="auto"/>
        </w:rPr>
        <w:t>. The</w:t>
      </w:r>
      <w:r w:rsidRPr="00B0618E">
        <w:rPr>
          <w:color w:val="auto"/>
        </w:rPr>
        <w:t xml:space="preserve"> equivalent vertical hydraulic conductivity was </w:t>
      </w:r>
      <w:r w:rsidR="0010615B" w:rsidRPr="00B0618E">
        <w:rPr>
          <w:color w:val="auto"/>
        </w:rPr>
        <w:t xml:space="preserve">thereby </w:t>
      </w:r>
      <w:r w:rsidRPr="00B0618E">
        <w:rPr>
          <w:color w:val="auto"/>
        </w:rPr>
        <w:t xml:space="preserve">calculated as </w:t>
      </w:r>
      <w:r w:rsidR="0010615B" w:rsidRPr="00B0618E">
        <w:rPr>
          <w:color w:val="auto"/>
        </w:rPr>
        <w:t xml:space="preserve">being equal to </w:t>
      </w:r>
      <w:r w:rsidRPr="00B0618E">
        <w:rPr>
          <w:color w:val="auto"/>
        </w:rPr>
        <w:t xml:space="preserve">the </w:t>
      </w:r>
      <w:r w:rsidR="0010615B" w:rsidRPr="00B0618E">
        <w:rPr>
          <w:color w:val="auto"/>
        </w:rPr>
        <w:t xml:space="preserve">volumetric </w:t>
      </w:r>
      <w:r w:rsidRPr="00B0618E">
        <w:rPr>
          <w:color w:val="auto"/>
        </w:rPr>
        <w:t>outflux from the model</w:t>
      </w:r>
      <w:r w:rsidR="0010615B" w:rsidRPr="00B0618E">
        <w:rPr>
          <w:color w:val="auto"/>
        </w:rPr>
        <w:t xml:space="preserve">. </w:t>
      </w:r>
      <w:r w:rsidRPr="00B0618E">
        <w:rPr>
          <w:color w:val="auto"/>
        </w:rPr>
        <w:t xml:space="preserve">The numerical approach was implemented using the MODFLOW-2005 code (Harbaugh, 2005) with pre- and post-processing of model files performed using the </w:t>
      </w:r>
      <w:r w:rsidRPr="00B0618E">
        <w:rPr>
          <w:i/>
          <w:color w:val="auto"/>
        </w:rPr>
        <w:t>FloPy</w:t>
      </w:r>
      <w:r w:rsidRPr="00B0618E">
        <w:rPr>
          <w:color w:val="auto"/>
        </w:rPr>
        <w:t xml:space="preserve"> Python language library (Bakker et al., 2016).</w:t>
      </w:r>
    </w:p>
    <w:p w14:paraId="1A9E38FF" w14:textId="374A656B" w:rsidR="008B6466" w:rsidRPr="00B0618E" w:rsidRDefault="008B6466" w:rsidP="008B6466">
      <w:pPr>
        <w:pStyle w:val="Caption"/>
      </w:pPr>
      <w:bookmarkStart w:id="107" w:name="_Ref479505803"/>
      <w:bookmarkStart w:id="108" w:name="_Toc503253890"/>
      <w:r w:rsidRPr="00B0618E">
        <w:t xml:space="preserve">Table </w:t>
      </w:r>
      <w:r w:rsidR="00A2085C">
        <w:fldChar w:fldCharType="begin"/>
      </w:r>
      <w:r w:rsidR="00A2085C">
        <w:instrText xml:space="preserve"> STYLEREF 1 \s </w:instrText>
      </w:r>
      <w:r w:rsidR="00A2085C">
        <w:fldChar w:fldCharType="separate"/>
      </w:r>
      <w:r w:rsidR="000B6FA5">
        <w:rPr>
          <w:noProof/>
        </w:rPr>
        <w:t>4</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2</w:t>
      </w:r>
      <w:r w:rsidR="00A2085C">
        <w:rPr>
          <w:noProof/>
        </w:rPr>
        <w:fldChar w:fldCharType="end"/>
      </w:r>
      <w:bookmarkEnd w:id="107"/>
      <w:r w:rsidRPr="00B0618E">
        <w:t xml:space="preserve">. Statistical summary of </w:t>
      </w:r>
      <w:r w:rsidR="00713E21" w:rsidRPr="00B0618E">
        <w:t>log</w:t>
      </w:r>
      <w:r w:rsidR="00713E21" w:rsidRPr="00B0618E">
        <w:rPr>
          <w:vertAlign w:val="subscript"/>
        </w:rPr>
        <w:t>10</w:t>
      </w:r>
      <w:r w:rsidR="00713E21" w:rsidRPr="00B0618E">
        <w:t xml:space="preserve"> </w:t>
      </w:r>
      <w:r w:rsidR="008F6F62">
        <w:t xml:space="preserve">transformed </w:t>
      </w:r>
      <w:r w:rsidRPr="00B0618E">
        <w:t xml:space="preserve">aquitard vertical hydraulic conductivity </w:t>
      </w:r>
      <w:r w:rsidR="00713E21" w:rsidRPr="00B0618E">
        <w:t>(log</w:t>
      </w:r>
      <w:r w:rsidR="00713E21" w:rsidRPr="00B0618E">
        <w:rPr>
          <w:vertAlign w:val="subscript"/>
        </w:rPr>
        <w:t>10</w:t>
      </w:r>
      <w:r w:rsidR="00713E21" w:rsidRPr="00B0618E">
        <w:t xml:space="preserve"> </w:t>
      </w:r>
      <w:r w:rsidR="00713E21" w:rsidRPr="00B0618E">
        <w:rPr>
          <w:i/>
        </w:rPr>
        <w:t>K</w:t>
      </w:r>
      <w:r w:rsidR="00713E21" w:rsidRPr="00B0618E">
        <w:rPr>
          <w:i/>
          <w:vertAlign w:val="subscript"/>
        </w:rPr>
        <w:t>V</w:t>
      </w:r>
      <w:r w:rsidR="00713E21" w:rsidRPr="00B0618E">
        <w:t xml:space="preserve">) values </w:t>
      </w:r>
      <w:r w:rsidR="007E5FEA" w:rsidRPr="00B0618E">
        <w:t>upscaled from core-scale observations using numerical averaging</w:t>
      </w:r>
      <w:r w:rsidRPr="00B0618E">
        <w:t>.</w:t>
      </w:r>
      <w:r w:rsidR="008F6F62">
        <w:t xml:space="preserve"> </w:t>
      </w:r>
      <w:r w:rsidR="008F6F62" w:rsidRPr="00B0618E">
        <w:rPr>
          <w:i/>
        </w:rPr>
        <w:t>K</w:t>
      </w:r>
      <w:r w:rsidR="008F6F62" w:rsidRPr="00B0618E">
        <w:rPr>
          <w:i/>
          <w:vertAlign w:val="subscript"/>
        </w:rPr>
        <w:t>V</w:t>
      </w:r>
      <w:r w:rsidR="008F6F62">
        <w:rPr>
          <w:i/>
          <w:vertAlign w:val="subscript"/>
        </w:rPr>
        <w:t xml:space="preserve">  </w:t>
      </w:r>
      <w:r w:rsidR="008F6F62" w:rsidRPr="008F6F62">
        <w:t>in m/day.</w:t>
      </w:r>
      <w:bookmarkEnd w:id="108"/>
    </w:p>
    <w:tbl>
      <w:tblPr>
        <w:tblStyle w:val="TableCSIRO"/>
        <w:tblW w:w="0" w:type="auto"/>
        <w:tblLook w:val="04A0" w:firstRow="1" w:lastRow="0" w:firstColumn="1" w:lastColumn="0" w:noHBand="0" w:noVBand="1"/>
        <w:tblCaption w:val="Table 4-2"/>
        <w:tblDescription w:val="Table of hydraulic conductivity statistics from core samples"/>
      </w:tblPr>
      <w:tblGrid>
        <w:gridCol w:w="3175"/>
        <w:gridCol w:w="3175"/>
        <w:gridCol w:w="3175"/>
      </w:tblGrid>
      <w:tr w:rsidR="008B6466" w:rsidRPr="00B0618E" w14:paraId="133380DC" w14:textId="77777777" w:rsidTr="002228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Pr>
          <w:p w14:paraId="42FD54D8" w14:textId="77777777" w:rsidR="008B6466" w:rsidRPr="00B0618E" w:rsidRDefault="008B6466" w:rsidP="00A318E6">
            <w:pPr>
              <w:pStyle w:val="BodyText"/>
              <w:keepNext/>
              <w:spacing w:before="60" w:after="60" w:line="240" w:lineRule="auto"/>
              <w:rPr>
                <w:color w:val="FFFFFF" w:themeColor="background1"/>
                <w:sz w:val="18"/>
                <w:szCs w:val="18"/>
                <w:lang w:eastAsia="en-US"/>
              </w:rPr>
            </w:pPr>
            <w:r w:rsidRPr="00B0618E">
              <w:rPr>
                <w:color w:val="FFFFFF" w:themeColor="background1"/>
                <w:sz w:val="18"/>
                <w:szCs w:val="18"/>
                <w:lang w:eastAsia="en-US"/>
              </w:rPr>
              <w:t>Statistic</w:t>
            </w:r>
          </w:p>
        </w:tc>
        <w:tc>
          <w:tcPr>
            <w:tcW w:w="3175" w:type="dxa"/>
          </w:tcPr>
          <w:p w14:paraId="0BACC3E1" w14:textId="77777777" w:rsidR="008B6466" w:rsidRPr="00B0618E" w:rsidRDefault="008B6466" w:rsidP="00A318E6">
            <w:pPr>
              <w:pStyle w:val="BodyText"/>
              <w:keepNext/>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18"/>
                <w:szCs w:val="18"/>
                <w:lang w:eastAsia="en-US"/>
              </w:rPr>
            </w:pPr>
            <w:r w:rsidRPr="00B0618E">
              <w:rPr>
                <w:color w:val="FFFFFF" w:themeColor="background1"/>
                <w:sz w:val="18"/>
                <w:szCs w:val="18"/>
                <w:lang w:eastAsia="en-US"/>
              </w:rPr>
              <w:t>Upper aquitard sequence</w:t>
            </w:r>
          </w:p>
        </w:tc>
        <w:tc>
          <w:tcPr>
            <w:tcW w:w="3175" w:type="dxa"/>
          </w:tcPr>
          <w:p w14:paraId="7DE3474E" w14:textId="77777777" w:rsidR="008B6466" w:rsidRPr="00B0618E" w:rsidRDefault="008B6466" w:rsidP="00A318E6">
            <w:pPr>
              <w:pStyle w:val="BodyText"/>
              <w:keepNext/>
              <w:spacing w:before="60" w:after="60" w:line="240" w:lineRule="auto"/>
              <w:cnfStyle w:val="100000000000" w:firstRow="1" w:lastRow="0" w:firstColumn="0" w:lastColumn="0" w:oddVBand="0" w:evenVBand="0" w:oddHBand="0" w:evenHBand="0" w:firstRowFirstColumn="0" w:firstRowLastColumn="0" w:lastRowFirstColumn="0" w:lastRowLastColumn="0"/>
              <w:rPr>
                <w:color w:val="FFFFFF" w:themeColor="background1"/>
                <w:sz w:val="18"/>
                <w:szCs w:val="18"/>
                <w:lang w:eastAsia="en-US"/>
              </w:rPr>
            </w:pPr>
            <w:r w:rsidRPr="00B0618E">
              <w:rPr>
                <w:color w:val="FFFFFF" w:themeColor="background1"/>
                <w:sz w:val="18"/>
                <w:szCs w:val="18"/>
                <w:lang w:eastAsia="en-US"/>
              </w:rPr>
              <w:t>Lower aquitard sequence</w:t>
            </w:r>
          </w:p>
        </w:tc>
      </w:tr>
      <w:tr w:rsidR="007E5FEA" w:rsidRPr="00B0618E" w14:paraId="07850BF8" w14:textId="77777777" w:rsidTr="002228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Pr>
          <w:p w14:paraId="39E345C6" w14:textId="77777777" w:rsidR="007E5FEA" w:rsidRPr="00B0618E" w:rsidRDefault="007E5FEA" w:rsidP="00A318E6">
            <w:pPr>
              <w:pStyle w:val="BodyText"/>
              <w:keepNext/>
              <w:spacing w:before="60" w:after="60" w:line="240" w:lineRule="auto"/>
              <w:rPr>
                <w:b w:val="0"/>
                <w:sz w:val="18"/>
                <w:szCs w:val="18"/>
                <w:lang w:eastAsia="en-US"/>
              </w:rPr>
            </w:pPr>
            <w:r w:rsidRPr="00B0618E">
              <w:rPr>
                <w:b w:val="0"/>
                <w:sz w:val="18"/>
                <w:szCs w:val="18"/>
                <w:lang w:eastAsia="en-US"/>
              </w:rPr>
              <w:t>count</w:t>
            </w:r>
          </w:p>
        </w:tc>
        <w:tc>
          <w:tcPr>
            <w:tcW w:w="3175" w:type="dxa"/>
          </w:tcPr>
          <w:p w14:paraId="5EF88C34" w14:textId="77777777" w:rsidR="007E5FEA" w:rsidRPr="00B0618E" w:rsidRDefault="007E5FEA"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color w:val="FF0000"/>
                <w:sz w:val="18"/>
                <w:szCs w:val="18"/>
                <w:lang w:eastAsia="en-US"/>
              </w:rPr>
            </w:pPr>
            <w:r w:rsidRPr="00B0618E">
              <w:rPr>
                <w:color w:val="auto"/>
                <w:sz w:val="18"/>
                <w:szCs w:val="18"/>
                <w:lang w:eastAsia="en-US"/>
              </w:rPr>
              <w:t>54</w:t>
            </w:r>
          </w:p>
        </w:tc>
        <w:tc>
          <w:tcPr>
            <w:tcW w:w="3175" w:type="dxa"/>
          </w:tcPr>
          <w:p w14:paraId="0027877A" w14:textId="77777777" w:rsidR="007E5FEA" w:rsidRPr="00B0618E" w:rsidRDefault="007E5FEA"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rPr>
            </w:pPr>
            <w:r w:rsidRPr="00B0618E">
              <w:rPr>
                <w:sz w:val="18"/>
                <w:szCs w:val="18"/>
                <w:lang w:eastAsia="en-US"/>
              </w:rPr>
              <w:t>69</w:t>
            </w:r>
          </w:p>
        </w:tc>
      </w:tr>
      <w:tr w:rsidR="008B6466" w:rsidRPr="00B0618E" w14:paraId="198BF56D" w14:textId="77777777" w:rsidTr="0022285A">
        <w:tc>
          <w:tcPr>
            <w:cnfStyle w:val="001000000000" w:firstRow="0" w:lastRow="0" w:firstColumn="1" w:lastColumn="0" w:oddVBand="0" w:evenVBand="0" w:oddHBand="0" w:evenHBand="0" w:firstRowFirstColumn="0" w:firstRowLastColumn="0" w:lastRowFirstColumn="0" w:lastRowLastColumn="0"/>
            <w:tcW w:w="3175" w:type="dxa"/>
          </w:tcPr>
          <w:p w14:paraId="1628E8DD" w14:textId="77777777" w:rsidR="008B6466" w:rsidRPr="00B0618E" w:rsidRDefault="008B6466" w:rsidP="00A318E6">
            <w:pPr>
              <w:pStyle w:val="BodyText"/>
              <w:keepNext/>
              <w:spacing w:before="60" w:after="60" w:line="240" w:lineRule="auto"/>
              <w:rPr>
                <w:b w:val="0"/>
                <w:sz w:val="18"/>
                <w:szCs w:val="18"/>
                <w:lang w:eastAsia="en-US"/>
              </w:rPr>
            </w:pPr>
            <w:r w:rsidRPr="00B0618E">
              <w:rPr>
                <w:b w:val="0"/>
                <w:sz w:val="18"/>
                <w:szCs w:val="18"/>
                <w:lang w:eastAsia="en-US"/>
              </w:rPr>
              <w:t>minimum</w:t>
            </w:r>
          </w:p>
        </w:tc>
        <w:tc>
          <w:tcPr>
            <w:tcW w:w="3175" w:type="dxa"/>
          </w:tcPr>
          <w:p w14:paraId="3A7A17E1" w14:textId="77777777" w:rsidR="008B6466" w:rsidRPr="00B0618E" w:rsidRDefault="00A318E6"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B0618E">
              <w:rPr>
                <w:color w:val="auto"/>
                <w:sz w:val="18"/>
                <w:szCs w:val="18"/>
                <w:lang w:eastAsia="en-US"/>
              </w:rPr>
              <w:t>-6.7</w:t>
            </w:r>
          </w:p>
        </w:tc>
        <w:tc>
          <w:tcPr>
            <w:tcW w:w="3175" w:type="dxa"/>
          </w:tcPr>
          <w:p w14:paraId="78F2E6C4" w14:textId="77777777" w:rsidR="008B6466" w:rsidRPr="00B0618E" w:rsidRDefault="00A318E6"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color w:val="auto"/>
                <w:sz w:val="18"/>
                <w:szCs w:val="18"/>
                <w:lang w:eastAsia="en-US"/>
              </w:rPr>
            </w:pPr>
            <w:r w:rsidRPr="00B0618E">
              <w:rPr>
                <w:color w:val="auto"/>
                <w:sz w:val="18"/>
                <w:szCs w:val="18"/>
                <w:lang w:eastAsia="en-US"/>
              </w:rPr>
              <w:t>-7.5</w:t>
            </w:r>
          </w:p>
        </w:tc>
      </w:tr>
      <w:tr w:rsidR="008B6466" w:rsidRPr="00B0618E" w14:paraId="34E89D91" w14:textId="77777777" w:rsidTr="002228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Pr>
          <w:p w14:paraId="295312C4" w14:textId="77777777" w:rsidR="008B6466" w:rsidRPr="00B0618E" w:rsidRDefault="008B6466" w:rsidP="00A318E6">
            <w:pPr>
              <w:pStyle w:val="BodyText"/>
              <w:keepNext/>
              <w:spacing w:before="60" w:after="60" w:line="240" w:lineRule="auto"/>
              <w:rPr>
                <w:b w:val="0"/>
                <w:sz w:val="18"/>
                <w:szCs w:val="18"/>
                <w:lang w:eastAsia="en-US"/>
              </w:rPr>
            </w:pPr>
            <w:r w:rsidRPr="00B0618E">
              <w:rPr>
                <w:b w:val="0"/>
                <w:sz w:val="18"/>
                <w:szCs w:val="18"/>
                <w:lang w:eastAsia="en-US"/>
              </w:rPr>
              <w:t>5</w:t>
            </w:r>
            <w:r w:rsidRPr="00B0618E">
              <w:rPr>
                <w:b w:val="0"/>
                <w:sz w:val="18"/>
                <w:szCs w:val="18"/>
                <w:vertAlign w:val="superscript"/>
                <w:lang w:eastAsia="en-US"/>
              </w:rPr>
              <w:t>th</w:t>
            </w:r>
            <w:r w:rsidRPr="00B0618E">
              <w:rPr>
                <w:b w:val="0"/>
                <w:sz w:val="18"/>
                <w:szCs w:val="18"/>
                <w:lang w:eastAsia="en-US"/>
              </w:rPr>
              <w:t xml:space="preserve"> percentile</w:t>
            </w:r>
          </w:p>
        </w:tc>
        <w:tc>
          <w:tcPr>
            <w:tcW w:w="3175" w:type="dxa"/>
          </w:tcPr>
          <w:p w14:paraId="7303BD92" w14:textId="77777777" w:rsidR="008B6466" w:rsidRPr="00B0618E" w:rsidRDefault="00A318E6"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color w:val="auto"/>
                <w:sz w:val="18"/>
                <w:szCs w:val="18"/>
                <w:lang w:eastAsia="en-US"/>
              </w:rPr>
            </w:pPr>
            <w:r w:rsidRPr="00B0618E">
              <w:rPr>
                <w:color w:val="auto"/>
                <w:sz w:val="18"/>
                <w:szCs w:val="18"/>
                <w:lang w:eastAsia="en-US"/>
              </w:rPr>
              <w:t>-6.6</w:t>
            </w:r>
          </w:p>
        </w:tc>
        <w:tc>
          <w:tcPr>
            <w:tcW w:w="3175" w:type="dxa"/>
          </w:tcPr>
          <w:p w14:paraId="718C781B" w14:textId="77777777" w:rsidR="008B6466" w:rsidRPr="00B0618E" w:rsidRDefault="00A318E6"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color w:val="auto"/>
                <w:sz w:val="18"/>
                <w:szCs w:val="18"/>
                <w:lang w:eastAsia="en-US"/>
              </w:rPr>
            </w:pPr>
            <w:r w:rsidRPr="00B0618E">
              <w:rPr>
                <w:color w:val="auto"/>
                <w:sz w:val="18"/>
                <w:szCs w:val="18"/>
                <w:lang w:eastAsia="en-US"/>
              </w:rPr>
              <w:t>-7.0</w:t>
            </w:r>
          </w:p>
        </w:tc>
      </w:tr>
      <w:tr w:rsidR="008B6466" w:rsidRPr="00B0618E" w14:paraId="7F63609D" w14:textId="77777777" w:rsidTr="0022285A">
        <w:tc>
          <w:tcPr>
            <w:cnfStyle w:val="001000000000" w:firstRow="0" w:lastRow="0" w:firstColumn="1" w:lastColumn="0" w:oddVBand="0" w:evenVBand="0" w:oddHBand="0" w:evenHBand="0" w:firstRowFirstColumn="0" w:firstRowLastColumn="0" w:lastRowFirstColumn="0" w:lastRowLastColumn="0"/>
            <w:tcW w:w="3175" w:type="dxa"/>
          </w:tcPr>
          <w:p w14:paraId="5AF1A3F5" w14:textId="77777777" w:rsidR="008B6466" w:rsidRPr="00B0618E" w:rsidRDefault="008B6466" w:rsidP="00A318E6">
            <w:pPr>
              <w:pStyle w:val="BodyText"/>
              <w:keepNext/>
              <w:spacing w:before="60" w:after="60" w:line="240" w:lineRule="auto"/>
              <w:rPr>
                <w:b w:val="0"/>
                <w:sz w:val="18"/>
                <w:szCs w:val="18"/>
                <w:lang w:eastAsia="en-US"/>
              </w:rPr>
            </w:pPr>
            <w:r w:rsidRPr="00B0618E">
              <w:rPr>
                <w:b w:val="0"/>
                <w:sz w:val="18"/>
                <w:szCs w:val="18"/>
                <w:lang w:eastAsia="en-US"/>
              </w:rPr>
              <w:t>median</w:t>
            </w:r>
          </w:p>
        </w:tc>
        <w:tc>
          <w:tcPr>
            <w:tcW w:w="3175" w:type="dxa"/>
          </w:tcPr>
          <w:p w14:paraId="032BD782" w14:textId="77777777" w:rsidR="008B6466" w:rsidRPr="00B0618E" w:rsidRDefault="00A318E6"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sidRPr="00B0618E">
              <w:rPr>
                <w:sz w:val="18"/>
                <w:szCs w:val="18"/>
                <w:lang w:eastAsia="en-US"/>
              </w:rPr>
              <w:t>-5.3</w:t>
            </w:r>
          </w:p>
        </w:tc>
        <w:tc>
          <w:tcPr>
            <w:tcW w:w="3175" w:type="dxa"/>
          </w:tcPr>
          <w:p w14:paraId="43F7401D" w14:textId="77777777" w:rsidR="008B6466" w:rsidRPr="00B0618E" w:rsidRDefault="00A318E6"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sidRPr="00B0618E">
              <w:rPr>
                <w:sz w:val="18"/>
                <w:szCs w:val="18"/>
                <w:lang w:eastAsia="en-US"/>
              </w:rPr>
              <w:t>-4.4</w:t>
            </w:r>
          </w:p>
        </w:tc>
      </w:tr>
      <w:tr w:rsidR="008B6466" w:rsidRPr="00B0618E" w14:paraId="71261ADE" w14:textId="77777777" w:rsidTr="002228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Pr>
          <w:p w14:paraId="227E7434" w14:textId="77777777" w:rsidR="008B6466" w:rsidRPr="00B0618E" w:rsidRDefault="008B6466" w:rsidP="00A318E6">
            <w:pPr>
              <w:pStyle w:val="BodyText"/>
              <w:keepNext/>
              <w:spacing w:before="60" w:after="60" w:line="240" w:lineRule="auto"/>
              <w:rPr>
                <w:b w:val="0"/>
                <w:sz w:val="18"/>
                <w:szCs w:val="18"/>
                <w:lang w:eastAsia="en-US"/>
              </w:rPr>
            </w:pPr>
            <w:r w:rsidRPr="00B0618E">
              <w:rPr>
                <w:b w:val="0"/>
                <w:sz w:val="18"/>
                <w:szCs w:val="18"/>
                <w:lang w:eastAsia="en-US"/>
              </w:rPr>
              <w:t>mean</w:t>
            </w:r>
          </w:p>
        </w:tc>
        <w:tc>
          <w:tcPr>
            <w:tcW w:w="3175" w:type="dxa"/>
          </w:tcPr>
          <w:p w14:paraId="683CAA75" w14:textId="77777777" w:rsidR="008B6466" w:rsidRPr="00B0618E" w:rsidRDefault="00A318E6"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rPr>
            </w:pPr>
            <w:r w:rsidRPr="00B0618E">
              <w:rPr>
                <w:sz w:val="18"/>
                <w:szCs w:val="18"/>
                <w:lang w:eastAsia="en-US"/>
              </w:rPr>
              <w:t>-5.2</w:t>
            </w:r>
          </w:p>
        </w:tc>
        <w:tc>
          <w:tcPr>
            <w:tcW w:w="3175" w:type="dxa"/>
          </w:tcPr>
          <w:p w14:paraId="7A6433DA" w14:textId="77777777" w:rsidR="008B6466" w:rsidRPr="00B0618E" w:rsidRDefault="00A318E6" w:rsidP="00A318E6">
            <w:pPr>
              <w:pStyle w:val="BodyText"/>
              <w:keepNext/>
              <w:spacing w:before="60" w:after="6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rPr>
            </w:pPr>
            <w:r w:rsidRPr="00B0618E">
              <w:rPr>
                <w:sz w:val="18"/>
                <w:szCs w:val="18"/>
                <w:lang w:eastAsia="en-US"/>
              </w:rPr>
              <w:t>-4.7</w:t>
            </w:r>
          </w:p>
        </w:tc>
      </w:tr>
      <w:tr w:rsidR="008B6466" w:rsidRPr="00B0618E" w14:paraId="3ED50E33" w14:textId="77777777" w:rsidTr="0022285A">
        <w:tc>
          <w:tcPr>
            <w:cnfStyle w:val="001000000000" w:firstRow="0" w:lastRow="0" w:firstColumn="1" w:lastColumn="0" w:oddVBand="0" w:evenVBand="0" w:oddHBand="0" w:evenHBand="0" w:firstRowFirstColumn="0" w:firstRowLastColumn="0" w:lastRowFirstColumn="0" w:lastRowLastColumn="0"/>
            <w:tcW w:w="3175" w:type="dxa"/>
          </w:tcPr>
          <w:p w14:paraId="5DE1AD69" w14:textId="77777777" w:rsidR="008B6466" w:rsidRPr="00B0618E" w:rsidRDefault="008B6466" w:rsidP="00A318E6">
            <w:pPr>
              <w:pStyle w:val="BodyText"/>
              <w:keepNext/>
              <w:spacing w:before="60" w:after="60" w:line="240" w:lineRule="auto"/>
              <w:rPr>
                <w:b w:val="0"/>
                <w:sz w:val="18"/>
                <w:szCs w:val="18"/>
                <w:lang w:eastAsia="en-US"/>
              </w:rPr>
            </w:pPr>
            <w:r w:rsidRPr="00B0618E">
              <w:rPr>
                <w:b w:val="0"/>
                <w:sz w:val="18"/>
                <w:szCs w:val="18"/>
                <w:lang w:eastAsia="en-US"/>
              </w:rPr>
              <w:t>95</w:t>
            </w:r>
            <w:r w:rsidRPr="00B0618E">
              <w:rPr>
                <w:b w:val="0"/>
                <w:sz w:val="18"/>
                <w:szCs w:val="18"/>
                <w:vertAlign w:val="superscript"/>
                <w:lang w:eastAsia="en-US"/>
              </w:rPr>
              <w:t>th</w:t>
            </w:r>
            <w:r w:rsidRPr="00B0618E">
              <w:rPr>
                <w:b w:val="0"/>
                <w:sz w:val="18"/>
                <w:szCs w:val="18"/>
                <w:lang w:eastAsia="en-US"/>
              </w:rPr>
              <w:t xml:space="preserve"> percentile</w:t>
            </w:r>
          </w:p>
        </w:tc>
        <w:tc>
          <w:tcPr>
            <w:tcW w:w="3175" w:type="dxa"/>
          </w:tcPr>
          <w:p w14:paraId="35C66B3D" w14:textId="77777777" w:rsidR="008B6466" w:rsidRPr="00B0618E" w:rsidRDefault="00A318E6"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sidRPr="00B0618E">
              <w:rPr>
                <w:sz w:val="18"/>
                <w:szCs w:val="18"/>
                <w:lang w:eastAsia="en-US"/>
              </w:rPr>
              <w:t>-3.5</w:t>
            </w:r>
          </w:p>
        </w:tc>
        <w:tc>
          <w:tcPr>
            <w:tcW w:w="3175" w:type="dxa"/>
          </w:tcPr>
          <w:p w14:paraId="180CD1B0" w14:textId="77777777" w:rsidR="008B6466" w:rsidRPr="00B0618E" w:rsidRDefault="00A318E6" w:rsidP="00A318E6">
            <w:pPr>
              <w:pStyle w:val="BodyText"/>
              <w:keepN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sidRPr="00B0618E">
              <w:rPr>
                <w:sz w:val="18"/>
                <w:szCs w:val="18"/>
                <w:lang w:eastAsia="en-US"/>
              </w:rPr>
              <w:t>-3.3</w:t>
            </w:r>
          </w:p>
        </w:tc>
      </w:tr>
      <w:tr w:rsidR="008B6466" w:rsidRPr="00B0618E" w14:paraId="153F1723" w14:textId="77777777" w:rsidTr="002228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5" w:type="dxa"/>
          </w:tcPr>
          <w:p w14:paraId="0E8E9C63" w14:textId="77777777" w:rsidR="008B6466" w:rsidRPr="00B0618E" w:rsidRDefault="008B6466" w:rsidP="00A318E6">
            <w:pPr>
              <w:pStyle w:val="BodyText"/>
              <w:spacing w:before="60" w:after="60" w:line="240" w:lineRule="auto"/>
              <w:rPr>
                <w:b w:val="0"/>
                <w:sz w:val="18"/>
                <w:szCs w:val="18"/>
                <w:lang w:eastAsia="en-US"/>
              </w:rPr>
            </w:pPr>
            <w:r w:rsidRPr="00B0618E">
              <w:rPr>
                <w:b w:val="0"/>
                <w:sz w:val="18"/>
                <w:szCs w:val="18"/>
                <w:lang w:eastAsia="en-US"/>
              </w:rPr>
              <w:t>maximum</w:t>
            </w:r>
          </w:p>
        </w:tc>
        <w:tc>
          <w:tcPr>
            <w:tcW w:w="3175" w:type="dxa"/>
          </w:tcPr>
          <w:p w14:paraId="10123DFC" w14:textId="77777777" w:rsidR="008B6466" w:rsidRPr="00B0618E" w:rsidRDefault="00A318E6" w:rsidP="00A318E6">
            <w:pPr>
              <w:pStyle w:val="BodyText"/>
              <w:spacing w:before="60" w:after="6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rPr>
            </w:pPr>
            <w:r w:rsidRPr="00B0618E">
              <w:rPr>
                <w:sz w:val="18"/>
                <w:szCs w:val="18"/>
                <w:lang w:eastAsia="en-US"/>
              </w:rPr>
              <w:t>-3.2</w:t>
            </w:r>
          </w:p>
        </w:tc>
        <w:tc>
          <w:tcPr>
            <w:tcW w:w="3175" w:type="dxa"/>
          </w:tcPr>
          <w:p w14:paraId="26E0B2FB" w14:textId="77777777" w:rsidR="008B6466" w:rsidRPr="00B0618E" w:rsidRDefault="00A318E6" w:rsidP="00A318E6">
            <w:pPr>
              <w:pStyle w:val="BodyText"/>
              <w:spacing w:before="60" w:after="60" w:line="240" w:lineRule="auto"/>
              <w:cnfStyle w:val="000000100000" w:firstRow="0" w:lastRow="0" w:firstColumn="0" w:lastColumn="0" w:oddVBand="0" w:evenVBand="0" w:oddHBand="1" w:evenHBand="0" w:firstRowFirstColumn="0" w:firstRowLastColumn="0" w:lastRowFirstColumn="0" w:lastRowLastColumn="0"/>
              <w:rPr>
                <w:sz w:val="18"/>
                <w:szCs w:val="18"/>
                <w:lang w:eastAsia="en-US"/>
              </w:rPr>
            </w:pPr>
            <w:r w:rsidRPr="00B0618E">
              <w:rPr>
                <w:sz w:val="18"/>
                <w:szCs w:val="18"/>
                <w:lang w:eastAsia="en-US"/>
              </w:rPr>
              <w:t>-3.1</w:t>
            </w:r>
          </w:p>
        </w:tc>
      </w:tr>
      <w:tr w:rsidR="008E5C20" w:rsidRPr="00B0618E" w14:paraId="4E9D8FC8" w14:textId="77777777" w:rsidTr="0022285A">
        <w:tc>
          <w:tcPr>
            <w:cnfStyle w:val="001000000000" w:firstRow="0" w:lastRow="0" w:firstColumn="1" w:lastColumn="0" w:oddVBand="0" w:evenVBand="0" w:oddHBand="0" w:evenHBand="0" w:firstRowFirstColumn="0" w:firstRowLastColumn="0" w:lastRowFirstColumn="0" w:lastRowLastColumn="0"/>
            <w:tcW w:w="3175" w:type="dxa"/>
          </w:tcPr>
          <w:p w14:paraId="224BC0D2" w14:textId="285DF202" w:rsidR="008E5C20" w:rsidRPr="00B0618E" w:rsidRDefault="008E5C20" w:rsidP="00A318E6">
            <w:pPr>
              <w:pStyle w:val="BodyText"/>
              <w:spacing w:before="60" w:after="60" w:line="240" w:lineRule="auto"/>
              <w:rPr>
                <w:b w:val="0"/>
                <w:sz w:val="18"/>
                <w:szCs w:val="18"/>
                <w:lang w:eastAsia="en-US"/>
              </w:rPr>
            </w:pPr>
            <w:r>
              <w:rPr>
                <w:b w:val="0"/>
                <w:sz w:val="18"/>
                <w:szCs w:val="18"/>
                <w:lang w:eastAsia="en-US"/>
              </w:rPr>
              <w:t>standard deviation</w:t>
            </w:r>
          </w:p>
        </w:tc>
        <w:tc>
          <w:tcPr>
            <w:tcW w:w="3175" w:type="dxa"/>
          </w:tcPr>
          <w:p w14:paraId="4F30F13C" w14:textId="371A01F5" w:rsidR="008E5C20" w:rsidRPr="00B0618E" w:rsidRDefault="008E5C20" w:rsidP="00A318E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Pr>
                <w:sz w:val="18"/>
                <w:szCs w:val="18"/>
                <w:lang w:eastAsia="en-US"/>
              </w:rPr>
              <w:t>0.9</w:t>
            </w:r>
          </w:p>
        </w:tc>
        <w:tc>
          <w:tcPr>
            <w:tcW w:w="3175" w:type="dxa"/>
          </w:tcPr>
          <w:p w14:paraId="23A36670" w14:textId="7BC9D590" w:rsidR="008E5C20" w:rsidRPr="00B0618E" w:rsidRDefault="008E5C20" w:rsidP="00A318E6">
            <w:pPr>
              <w:pStyle w:val="BodyText"/>
              <w:spacing w:before="60" w:after="60" w:line="240" w:lineRule="auto"/>
              <w:cnfStyle w:val="000000000000" w:firstRow="0" w:lastRow="0" w:firstColumn="0" w:lastColumn="0" w:oddVBand="0" w:evenVBand="0" w:oddHBand="0" w:evenHBand="0" w:firstRowFirstColumn="0" w:firstRowLastColumn="0" w:lastRowFirstColumn="0" w:lastRowLastColumn="0"/>
              <w:rPr>
                <w:sz w:val="18"/>
                <w:szCs w:val="18"/>
                <w:lang w:eastAsia="en-US"/>
              </w:rPr>
            </w:pPr>
            <w:r>
              <w:rPr>
                <w:sz w:val="18"/>
                <w:szCs w:val="18"/>
                <w:lang w:eastAsia="en-US"/>
              </w:rPr>
              <w:t>1.2</w:t>
            </w:r>
          </w:p>
        </w:tc>
      </w:tr>
    </w:tbl>
    <w:p w14:paraId="51A8B05B" w14:textId="77777777" w:rsidR="00EC7FDA" w:rsidRDefault="00EC7FDA" w:rsidP="001F4987">
      <w:pPr>
        <w:pStyle w:val="BodyText"/>
      </w:pPr>
    </w:p>
    <w:p w14:paraId="04F24F05" w14:textId="459FC2E0" w:rsidR="008B6466" w:rsidRPr="00B0618E" w:rsidRDefault="001F4987" w:rsidP="001F4987">
      <w:pPr>
        <w:pStyle w:val="BodyText"/>
      </w:pPr>
      <w:r w:rsidRPr="00B0618E">
        <w:t xml:space="preserve">It should be noted that the range (i.e., width) of the revised statistical distribution of aquitard </w:t>
      </w:r>
      <w:r w:rsidRPr="00B0618E">
        <w:rPr>
          <w:i/>
        </w:rPr>
        <w:t>K</w:t>
      </w:r>
      <w:r w:rsidRPr="00B0618E">
        <w:rPr>
          <w:i/>
          <w:vertAlign w:val="subscript"/>
        </w:rPr>
        <w:t>V</w:t>
      </w:r>
      <w:r w:rsidRPr="00B0618E">
        <w:t xml:space="preserve"> (i.e., four orders of magnitude) was two orders of magnitude larger than the distribution initially assumed. This difference was also observed for aquitard </w:t>
      </w:r>
      <w:r w:rsidRPr="00927513">
        <w:rPr>
          <w:i/>
        </w:rPr>
        <w:t>K</w:t>
      </w:r>
      <w:r w:rsidRPr="00927513">
        <w:rPr>
          <w:vertAlign w:val="subscript"/>
        </w:rPr>
        <w:t>V</w:t>
      </w:r>
      <w:r w:rsidRPr="00B0618E">
        <w:t xml:space="preserve"> values upscaled using harmonic averaging. </w:t>
      </w:r>
      <w:r w:rsidR="00556EF7" w:rsidRPr="00B0618E">
        <w:t>(</w:t>
      </w:r>
      <w:r w:rsidR="00556EF7" w:rsidRPr="00B0618E">
        <w:fldChar w:fldCharType="begin"/>
      </w:r>
      <w:r w:rsidR="00556EF7" w:rsidRPr="00B0618E">
        <w:instrText xml:space="preserve"> REF _Ref477374845 \h </w:instrText>
      </w:r>
      <w:r w:rsidR="00713E21" w:rsidRPr="00B0618E">
        <w:instrText xml:space="preserve"> \* MERGEFORMAT </w:instrText>
      </w:r>
      <w:r w:rsidR="00556EF7" w:rsidRPr="00B0618E">
        <w:fldChar w:fldCharType="separate"/>
      </w:r>
      <w:r w:rsidR="000B6FA5" w:rsidRPr="00B0618E">
        <w:t xml:space="preserve">Figure </w:t>
      </w:r>
      <w:r w:rsidR="000B6FA5">
        <w:t>4</w:t>
      </w:r>
      <w:r w:rsidR="000B6FA5">
        <w:noBreakHyphen/>
        <w:t>2</w:t>
      </w:r>
      <w:r w:rsidR="00556EF7" w:rsidRPr="00B0618E">
        <w:fldChar w:fldCharType="end"/>
      </w:r>
      <w:r w:rsidR="00556EF7" w:rsidRPr="00B0618E">
        <w:t>).</w:t>
      </w:r>
      <w:r w:rsidR="0003379E" w:rsidRPr="00B0618E">
        <w:t xml:space="preserve"> </w:t>
      </w:r>
    </w:p>
    <w:p w14:paraId="5ECE35F3" w14:textId="77777777" w:rsidR="008B6466" w:rsidRPr="00B0618E" w:rsidRDefault="00086B6D" w:rsidP="008E5D3E">
      <w:pPr>
        <w:pStyle w:val="BodyText"/>
        <w:keepNext/>
        <w:jc w:val="center"/>
        <w:rPr>
          <w:lang w:eastAsia="en-US"/>
        </w:rPr>
      </w:pPr>
      <w:r w:rsidRPr="00B0618E">
        <w:rPr>
          <w:noProof/>
        </w:rPr>
        <w:drawing>
          <wp:inline distT="0" distB="0" distL="0" distR="0" wp14:anchorId="6A1D1E5A" wp14:editId="699CDE87">
            <wp:extent cx="6159029" cy="2461846"/>
            <wp:effectExtent l="0" t="0" r="0" b="0"/>
            <wp:docPr id="70" name="Picture 70" descr="Box and whisker plot of vertical  conductivity" title="Fig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OWS_FAM\Aquitards\Filtered_porosity_data_from_Irina_040516\Plot_new_vs_old_Kv_prior_distributions_v03_170217.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65105" cy="2464275"/>
                    </a:xfrm>
                    <a:prstGeom prst="rect">
                      <a:avLst/>
                    </a:prstGeom>
                    <a:noFill/>
                    <a:ln>
                      <a:noFill/>
                    </a:ln>
                  </pic:spPr>
                </pic:pic>
              </a:graphicData>
            </a:graphic>
          </wp:inline>
        </w:drawing>
      </w:r>
    </w:p>
    <w:p w14:paraId="27F8A1E4" w14:textId="5F13B732" w:rsidR="0059572B" w:rsidRPr="00B0618E" w:rsidRDefault="008B6466" w:rsidP="00713E21">
      <w:pPr>
        <w:pStyle w:val="Caption"/>
        <w:keepLines/>
        <w:rPr>
          <w:color w:val="FF0000"/>
        </w:rPr>
      </w:pPr>
      <w:bookmarkStart w:id="109" w:name="_Ref477374845"/>
      <w:bookmarkStart w:id="110" w:name="_Toc482034919"/>
      <w:r w:rsidRPr="00B0618E">
        <w:t xml:space="preserve">Figure </w:t>
      </w:r>
      <w:r w:rsidR="00A2085C">
        <w:fldChar w:fldCharType="begin"/>
      </w:r>
      <w:r w:rsidR="00A2085C">
        <w:instrText xml:space="preserve"> STYLEREF 1 \s </w:instrText>
      </w:r>
      <w:r w:rsidR="00A2085C">
        <w:fldChar w:fldCharType="separate"/>
      </w:r>
      <w:r w:rsidR="000B6FA5">
        <w:rPr>
          <w:noProof/>
        </w:rPr>
        <w:t>4</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2</w:t>
      </w:r>
      <w:r w:rsidR="00A2085C">
        <w:rPr>
          <w:noProof/>
        </w:rPr>
        <w:fldChar w:fldCharType="end"/>
      </w:r>
      <w:bookmarkEnd w:id="109"/>
      <w:r w:rsidRPr="00B0618E">
        <w:t xml:space="preserve">.  Original and revised statistical distributions of vertical hydraulic conductivity values for (a) upper and (b) lower aquitard sequences represented in the </w:t>
      </w:r>
      <w:r w:rsidR="00045A85">
        <w:t>CDM Smith (2016)</w:t>
      </w:r>
      <w:r w:rsidRPr="00B0618E">
        <w:t xml:space="preserve"> model of groundwater flow in the Gunnedah</w:t>
      </w:r>
      <w:r w:rsidR="000B1240">
        <w:t>-Surat</w:t>
      </w:r>
      <w:r w:rsidRPr="00B0618E">
        <w:t xml:space="preserve"> </w:t>
      </w:r>
      <w:r w:rsidR="000B1240">
        <w:t>b</w:t>
      </w:r>
      <w:r w:rsidRPr="00B0618E">
        <w:t>asin</w:t>
      </w:r>
      <w:r w:rsidR="000B1240">
        <w:t>s</w:t>
      </w:r>
      <w:r w:rsidRPr="00B0618E">
        <w:t xml:space="preserve">. Original values and ranges were described by </w:t>
      </w:r>
      <w:r w:rsidR="00045A85">
        <w:t>CDM Smith (2016)</w:t>
      </w:r>
      <w:r w:rsidRPr="00B0618E">
        <w:t>. Revised values and ranges are based on aquitard core porosity-permeability analyses</w:t>
      </w:r>
      <w:r w:rsidR="007E5FEA" w:rsidRPr="00B0618E">
        <w:t xml:space="preserve"> and upscaled</w:t>
      </w:r>
      <w:r w:rsidRPr="00B0618E">
        <w:t xml:space="preserve"> using numerical averaging, described herein.</w:t>
      </w:r>
      <w:r w:rsidR="005C3666" w:rsidRPr="005C3666">
        <w:t xml:space="preserve"> </w:t>
      </w:r>
      <w:r w:rsidR="005C3666">
        <w:t>Whiskers indicate the 90 % confidence interval and fliers indicate outlying data values.</w:t>
      </w:r>
      <w:bookmarkEnd w:id="110"/>
    </w:p>
    <w:p w14:paraId="08676FEA" w14:textId="77777777" w:rsidR="005F534B" w:rsidRPr="00B0618E" w:rsidRDefault="005F534B" w:rsidP="005F534B">
      <w:pPr>
        <w:pStyle w:val="Heading3"/>
      </w:pPr>
      <w:r w:rsidRPr="00B0618E">
        <w:t>Comparisons</w:t>
      </w:r>
      <w:r w:rsidR="00790868" w:rsidRPr="00B0618E">
        <w:t xml:space="preserve"> between methods</w:t>
      </w:r>
      <w:r w:rsidR="00F30141" w:rsidRPr="00B0618E">
        <w:rPr>
          <w:b w:val="0"/>
          <w:color w:val="FF0000"/>
        </w:rPr>
        <w:t xml:space="preserve"> </w:t>
      </w:r>
    </w:p>
    <w:p w14:paraId="0A705A29" w14:textId="73F5AF9A" w:rsidR="00934545" w:rsidRPr="00B0618E" w:rsidRDefault="00790868" w:rsidP="00790868">
      <w:pPr>
        <w:pStyle w:val="BodyText"/>
      </w:pPr>
      <w:r w:rsidRPr="00B0618E">
        <w:t xml:space="preserve">Histograms of </w:t>
      </w:r>
      <w:r w:rsidR="00934545" w:rsidRPr="00B0618E">
        <w:rPr>
          <w:i/>
          <w:color w:val="auto"/>
          <w:lang w:eastAsia="en-US"/>
        </w:rPr>
        <w:t>K</w:t>
      </w:r>
      <w:r w:rsidR="00934545" w:rsidRPr="00B0618E">
        <w:rPr>
          <w:i/>
          <w:color w:val="auto"/>
          <w:vertAlign w:val="subscript"/>
          <w:lang w:eastAsia="en-US"/>
        </w:rPr>
        <w:t>V</w:t>
      </w:r>
      <w:r w:rsidR="00934545" w:rsidRPr="00B0618E">
        <w:t xml:space="preserve"> </w:t>
      </w:r>
      <w:r w:rsidRPr="00B0618E">
        <w:t>values computed using the analytical and numerical upscaling approaches, for both upper and lower aquitard sequences</w:t>
      </w:r>
      <w:r w:rsidR="00934545" w:rsidRPr="00B0618E">
        <w:t>,</w:t>
      </w:r>
      <w:r w:rsidRPr="00B0618E">
        <w:t xml:space="preserve"> are presented in </w:t>
      </w:r>
      <w:r w:rsidRPr="00B0618E">
        <w:fldChar w:fldCharType="begin"/>
      </w:r>
      <w:r w:rsidRPr="00B0618E">
        <w:instrText xml:space="preserve"> REF _Ref467681682 \h </w:instrText>
      </w:r>
      <w:r w:rsidR="00B0618E">
        <w:instrText xml:space="preserve"> \* MERGEFORMAT </w:instrText>
      </w:r>
      <w:r w:rsidRPr="00B0618E">
        <w:fldChar w:fldCharType="separate"/>
      </w:r>
      <w:r w:rsidR="000B6FA5" w:rsidRPr="00B0618E">
        <w:t xml:space="preserve">Figure </w:t>
      </w:r>
      <w:r w:rsidR="000B6FA5">
        <w:rPr>
          <w:noProof/>
        </w:rPr>
        <w:t>4</w:t>
      </w:r>
      <w:r w:rsidR="000B6FA5">
        <w:rPr>
          <w:noProof/>
        </w:rPr>
        <w:noBreakHyphen/>
        <w:t>3</w:t>
      </w:r>
      <w:r w:rsidRPr="00B0618E">
        <w:fldChar w:fldCharType="end"/>
      </w:r>
      <w:r w:rsidRPr="00B0618E">
        <w:t xml:space="preserve">. Good agreement is observed between the two approaches. </w:t>
      </w:r>
      <w:r w:rsidR="001B3004" w:rsidRPr="00B0618E">
        <w:t xml:space="preserve">This was confirmed through the calculation of Walsh’s </w:t>
      </w:r>
      <w:r w:rsidR="001B3004" w:rsidRPr="00B0618E">
        <w:rPr>
          <w:i/>
        </w:rPr>
        <w:t>t</w:t>
      </w:r>
      <w:r w:rsidR="001B3004" w:rsidRPr="00B0618E">
        <w:t xml:space="preserve">-test for correlation between </w:t>
      </w:r>
      <w:r w:rsidR="00364868" w:rsidRPr="00B0618E">
        <w:t xml:space="preserve">two independent samples. </w:t>
      </w:r>
      <w:r w:rsidR="008D0E82" w:rsidRPr="00B0618E">
        <w:t xml:space="preserve">Specifically, this test is used to test whether the null hypothesis, in this case, that both distributions are identical, can be rejected. </w:t>
      </w:r>
      <w:r w:rsidR="00364868" w:rsidRPr="00B0618E">
        <w:t xml:space="preserve">The test returned </w:t>
      </w:r>
      <w:r w:rsidR="008D0E82" w:rsidRPr="00B0618E">
        <w:rPr>
          <w:i/>
        </w:rPr>
        <w:t>p</w:t>
      </w:r>
      <w:r w:rsidR="00364868" w:rsidRPr="00B0618E">
        <w:t xml:space="preserve"> values of 0.532 and 0.559 for the upper and lower aquitard sequence</w:t>
      </w:r>
      <w:r w:rsidR="00F70670" w:rsidRPr="00B0618E">
        <w:t>s</w:t>
      </w:r>
      <w:r w:rsidR="00364868" w:rsidRPr="00B0618E">
        <w:t xml:space="preserve"> respectively</w:t>
      </w:r>
      <w:r w:rsidR="008D0E82" w:rsidRPr="00B0618E">
        <w:t xml:space="preserve">. These large </w:t>
      </w:r>
      <w:r w:rsidR="008D0E82" w:rsidRPr="00B0618E">
        <w:rPr>
          <w:i/>
        </w:rPr>
        <w:t xml:space="preserve">p </w:t>
      </w:r>
      <w:r w:rsidR="008D0E82" w:rsidRPr="00B0618E">
        <w:t>values (i.e., &gt;&gt;</w:t>
      </w:r>
      <w:r w:rsidR="00057438" w:rsidRPr="00B0618E">
        <w:t xml:space="preserve"> </w:t>
      </w:r>
      <w:r w:rsidR="008D0E82" w:rsidRPr="00B0618E">
        <w:t>0.01) indicated</w:t>
      </w:r>
      <w:r w:rsidR="00364868" w:rsidRPr="00B0618E">
        <w:t xml:space="preserve"> </w:t>
      </w:r>
      <w:r w:rsidR="008D0E82" w:rsidRPr="00B0618E">
        <w:t xml:space="preserve">that the null hypothesis </w:t>
      </w:r>
      <w:r w:rsidR="00934545" w:rsidRPr="00B0618E">
        <w:t>(</w:t>
      </w:r>
      <w:r w:rsidR="001F4987" w:rsidRPr="00B0618E">
        <w:t xml:space="preserve">i.e., </w:t>
      </w:r>
      <w:r w:rsidR="00934545" w:rsidRPr="00B0618E">
        <w:t xml:space="preserve">that both distributions are identical) </w:t>
      </w:r>
      <w:r w:rsidR="008D0E82" w:rsidRPr="00B0618E">
        <w:t>could not be rejected</w:t>
      </w:r>
      <w:r w:rsidR="00364868" w:rsidRPr="00B0618E">
        <w:t xml:space="preserve">. </w:t>
      </w:r>
    </w:p>
    <w:p w14:paraId="033D0D72" w14:textId="2D41E05A" w:rsidR="005F534B" w:rsidRPr="00B0618E" w:rsidRDefault="00790868" w:rsidP="00790868">
      <w:pPr>
        <w:pStyle w:val="BodyText"/>
      </w:pPr>
      <w:r w:rsidRPr="00B0618E">
        <w:t>Upper aquitard</w:t>
      </w:r>
      <w:r w:rsidR="00FB5B8C" w:rsidRPr="00B0618E">
        <w:t xml:space="preserve"> </w:t>
      </w:r>
      <w:r w:rsidRPr="00B0618E">
        <w:t xml:space="preserve">sequence values </w:t>
      </w:r>
      <w:r w:rsidR="008D0E82" w:rsidRPr="00B0618E">
        <w:t>we</w:t>
      </w:r>
      <w:r w:rsidRPr="00B0618E">
        <w:t xml:space="preserve">re </w:t>
      </w:r>
      <w:r w:rsidR="000274B1" w:rsidRPr="00B0618E">
        <w:t>right-</w:t>
      </w:r>
      <w:r w:rsidRPr="00B0618E">
        <w:t>skewed</w:t>
      </w:r>
      <w:r w:rsidR="000274B1" w:rsidRPr="00B0618E">
        <w:t>,</w:t>
      </w:r>
      <w:r w:rsidRPr="00B0618E">
        <w:t xml:space="preserve"> with mean log</w:t>
      </w:r>
      <w:r w:rsidRPr="00B0618E">
        <w:rPr>
          <w:vertAlign w:val="subscript"/>
        </w:rPr>
        <w:t>10</w:t>
      </w:r>
      <w:r w:rsidRPr="00B0618E">
        <w:t xml:space="preserve"> </w:t>
      </w:r>
      <w:r w:rsidRPr="00B0618E">
        <w:rPr>
          <w:i/>
        </w:rPr>
        <w:t>K</w:t>
      </w:r>
      <w:r w:rsidR="00036549" w:rsidRPr="00B0618E">
        <w:rPr>
          <w:i/>
          <w:vertAlign w:val="subscript"/>
        </w:rPr>
        <w:t>V</w:t>
      </w:r>
      <w:r w:rsidRPr="00B0618E">
        <w:t xml:space="preserve"> value</w:t>
      </w:r>
      <w:r w:rsidR="000274B1" w:rsidRPr="00B0618E">
        <w:t>s</w:t>
      </w:r>
      <w:r w:rsidRPr="00B0618E">
        <w:t xml:space="preserve"> of approxima</w:t>
      </w:r>
      <w:r w:rsidR="008D0E82" w:rsidRPr="00B0618E">
        <w:t>tely -</w:t>
      </w:r>
      <w:r w:rsidR="00934545" w:rsidRPr="00B0618E">
        <w:t xml:space="preserve">5.2 </w:t>
      </w:r>
      <w:r w:rsidR="000274B1" w:rsidRPr="00B0618E">
        <w:t xml:space="preserve">m/d and </w:t>
      </w:r>
      <w:r w:rsidR="00934545" w:rsidRPr="00B0618E">
        <w:t xml:space="preserve">-5.3 </w:t>
      </w:r>
      <w:r w:rsidR="000274B1" w:rsidRPr="00B0618E">
        <w:t xml:space="preserve">m/d for the harmonic and </w:t>
      </w:r>
      <w:r w:rsidR="00934545" w:rsidRPr="00B0618E">
        <w:t>numeric</w:t>
      </w:r>
      <w:r w:rsidR="000274B1" w:rsidRPr="00B0618E">
        <w:t>al</w:t>
      </w:r>
      <w:r w:rsidR="00934545" w:rsidRPr="00B0618E">
        <w:t xml:space="preserve"> upscaling</w:t>
      </w:r>
      <w:r w:rsidR="000274B1" w:rsidRPr="00B0618E">
        <w:t xml:space="preserve"> approaches, respectively.</w:t>
      </w:r>
      <w:r w:rsidR="008D0E82" w:rsidRPr="00B0618E">
        <w:t xml:space="preserve"> </w:t>
      </w:r>
      <w:r w:rsidR="000274B1" w:rsidRPr="00B0618E">
        <w:t xml:space="preserve">Conversely, lower aquitard sequence values were left-skewed, </w:t>
      </w:r>
      <w:r w:rsidRPr="00B0618E">
        <w:t>with mean log</w:t>
      </w:r>
      <w:r w:rsidRPr="00B0618E">
        <w:rPr>
          <w:vertAlign w:val="subscript"/>
        </w:rPr>
        <w:t>10</w:t>
      </w:r>
      <w:r w:rsidRPr="00B0618E">
        <w:t xml:space="preserve"> </w:t>
      </w:r>
      <w:r w:rsidRPr="00B0618E">
        <w:rPr>
          <w:i/>
        </w:rPr>
        <w:t>K</w:t>
      </w:r>
      <w:r w:rsidR="00036549" w:rsidRPr="00B0618E">
        <w:rPr>
          <w:i/>
          <w:vertAlign w:val="subscript"/>
        </w:rPr>
        <w:t>V</w:t>
      </w:r>
      <w:r w:rsidRPr="00B0618E">
        <w:t xml:space="preserve"> value</w:t>
      </w:r>
      <w:r w:rsidR="000274B1" w:rsidRPr="00B0618E">
        <w:t>s</w:t>
      </w:r>
      <w:r w:rsidRPr="00B0618E">
        <w:t xml:space="preserve"> of approximately -4.</w:t>
      </w:r>
      <w:r w:rsidR="000274B1" w:rsidRPr="00B0618E">
        <w:t xml:space="preserve">9 m/d and -4.7 m/d </w:t>
      </w:r>
      <w:r w:rsidR="00934545" w:rsidRPr="00B0618E">
        <w:t xml:space="preserve">for </w:t>
      </w:r>
      <w:r w:rsidR="000274B1" w:rsidRPr="00B0618E">
        <w:t xml:space="preserve">the </w:t>
      </w:r>
      <w:r w:rsidR="00934545" w:rsidRPr="00B0618E">
        <w:t>harmonic and numeric</w:t>
      </w:r>
      <w:r w:rsidR="000274B1" w:rsidRPr="00B0618E">
        <w:t>al</w:t>
      </w:r>
      <w:r w:rsidR="00934545" w:rsidRPr="00B0618E">
        <w:t xml:space="preserve"> upscaling</w:t>
      </w:r>
      <w:r w:rsidR="000274B1" w:rsidRPr="00B0618E">
        <w:t xml:space="preserve"> approaches, respectively</w:t>
      </w:r>
      <w:r w:rsidRPr="00B0618E">
        <w:t>.</w:t>
      </w:r>
      <w:r w:rsidR="00EB4D0E" w:rsidRPr="00B0618E">
        <w:t xml:space="preserve"> </w:t>
      </w:r>
      <w:r w:rsidR="008F6F62">
        <w:t xml:space="preserve">For the numerical upscaling approach applied to the lower aquitard sequence, the minimum and maximum </w:t>
      </w:r>
      <w:r w:rsidR="008F6F62" w:rsidRPr="00B0618E">
        <w:t>log</w:t>
      </w:r>
      <w:r w:rsidR="008F6F62" w:rsidRPr="00B0618E">
        <w:rPr>
          <w:vertAlign w:val="subscript"/>
        </w:rPr>
        <w:t>10</w:t>
      </w:r>
      <w:r w:rsidR="008F6F62" w:rsidRPr="00B0618E">
        <w:t xml:space="preserve"> </w:t>
      </w:r>
      <w:r w:rsidR="008F6F62" w:rsidRPr="00B0618E">
        <w:rPr>
          <w:i/>
        </w:rPr>
        <w:t>K</w:t>
      </w:r>
      <w:r w:rsidR="008F6F62" w:rsidRPr="00B0618E">
        <w:rPr>
          <w:i/>
          <w:vertAlign w:val="subscript"/>
        </w:rPr>
        <w:t>V</w:t>
      </w:r>
      <w:r w:rsidR="008F6F62" w:rsidRPr="00B0618E">
        <w:t xml:space="preserve"> </w:t>
      </w:r>
      <w:r w:rsidR="008F6F62">
        <w:t>was -7 and -3.1, respectively (</w:t>
      </w:r>
      <w:r w:rsidR="008F6F62">
        <w:fldChar w:fldCharType="begin"/>
      </w:r>
      <w:r w:rsidR="008F6F62">
        <w:instrText xml:space="preserve"> REF _Ref479505803 \h </w:instrText>
      </w:r>
      <w:r w:rsidR="008F6F62">
        <w:fldChar w:fldCharType="separate"/>
      </w:r>
      <w:r w:rsidR="000B6FA5" w:rsidRPr="00B0618E">
        <w:t xml:space="preserve">Table </w:t>
      </w:r>
      <w:r w:rsidR="000B6FA5">
        <w:rPr>
          <w:noProof/>
        </w:rPr>
        <w:t>4</w:t>
      </w:r>
      <w:r w:rsidR="000B6FA5">
        <w:noBreakHyphen/>
      </w:r>
      <w:r w:rsidR="000B6FA5">
        <w:rPr>
          <w:noProof/>
        </w:rPr>
        <w:t>2</w:t>
      </w:r>
      <w:r w:rsidR="008F6F62">
        <w:fldChar w:fldCharType="end"/>
      </w:r>
      <w:r w:rsidR="008F6F62">
        <w:t xml:space="preserve">). </w:t>
      </w:r>
      <w:r w:rsidR="000274B1" w:rsidRPr="00B0618E">
        <w:t>Smith et al. (201</w:t>
      </w:r>
      <w:r w:rsidR="009F6DBD">
        <w:t>8</w:t>
      </w:r>
      <w:r w:rsidR="000274B1" w:rsidRPr="00B0618E">
        <w:t xml:space="preserve">) previously estimated </w:t>
      </w:r>
      <w:r w:rsidR="008F6F62" w:rsidRPr="00B0618E">
        <w:rPr>
          <w:i/>
        </w:rPr>
        <w:t>K</w:t>
      </w:r>
      <w:r w:rsidR="008F6F62" w:rsidRPr="00B0618E">
        <w:rPr>
          <w:i/>
          <w:vertAlign w:val="subscript"/>
        </w:rPr>
        <w:t>V</w:t>
      </w:r>
      <w:r w:rsidR="008F6F62" w:rsidRPr="00B0618E">
        <w:t xml:space="preserve"> </w:t>
      </w:r>
      <w:r w:rsidR="000274B1" w:rsidRPr="00B0618E">
        <w:t>from rates of vertical fluid flow across the</w:t>
      </w:r>
      <w:r w:rsidR="00D83000">
        <w:t xml:space="preserve"> lower</w:t>
      </w:r>
      <w:r w:rsidR="000274B1" w:rsidRPr="00B0618E">
        <w:t xml:space="preserve"> aquitard sequence through quartz-helium analyses. </w:t>
      </w:r>
      <w:r w:rsidR="008F6F62" w:rsidRPr="00D92CFA">
        <w:t>Smith et al. (201</w:t>
      </w:r>
      <w:r w:rsidR="009F6DBD">
        <w:t>8</w:t>
      </w:r>
      <w:r w:rsidR="008F6F62" w:rsidRPr="00D92CFA">
        <w:t>)</w:t>
      </w:r>
      <w:r w:rsidR="008F6F62" w:rsidRPr="00B0618E">
        <w:t xml:space="preserve"> estimated rates of fluid flow of 0.02 to 0.002 mm/y</w:t>
      </w:r>
      <w:r w:rsidR="008F6F62">
        <w:t>ear</w:t>
      </w:r>
      <w:r w:rsidR="008F6F62" w:rsidRPr="00B0618E">
        <w:t xml:space="preserve">, equivalent to </w:t>
      </w:r>
      <w:r w:rsidR="008F6F62" w:rsidRPr="00B0618E">
        <w:rPr>
          <w:i/>
          <w:color w:val="auto"/>
          <w:lang w:eastAsia="en-US"/>
        </w:rPr>
        <w:t>K</w:t>
      </w:r>
      <w:r w:rsidR="008F6F62" w:rsidRPr="00B0618E">
        <w:rPr>
          <w:color w:val="auto"/>
          <w:vertAlign w:val="subscript"/>
          <w:lang w:eastAsia="en-US"/>
        </w:rPr>
        <w:t xml:space="preserve">V </w:t>
      </w:r>
      <w:r w:rsidR="008F6F62" w:rsidRPr="00B0618E">
        <w:t>values of 0.0018 – 0.018 mm/y</w:t>
      </w:r>
      <w:r w:rsidR="008F6F62">
        <w:t>ear</w:t>
      </w:r>
      <w:r w:rsidR="008F6F62" w:rsidRPr="00B0618E">
        <w:t xml:space="preserve"> or log</w:t>
      </w:r>
      <w:r w:rsidR="008F6F62" w:rsidRPr="001619C2">
        <w:rPr>
          <w:vertAlign w:val="subscript"/>
        </w:rPr>
        <w:t>10</w:t>
      </w:r>
      <w:r w:rsidR="008F6F62" w:rsidRPr="00B0618E">
        <w:t xml:space="preserve"> </w:t>
      </w:r>
      <w:r w:rsidR="008F6F62" w:rsidRPr="00B0618E">
        <w:rPr>
          <w:i/>
          <w:color w:val="auto"/>
          <w:lang w:eastAsia="en-US"/>
        </w:rPr>
        <w:t>K</w:t>
      </w:r>
      <w:r w:rsidR="008F6F62" w:rsidRPr="00B0618E">
        <w:rPr>
          <w:color w:val="auto"/>
          <w:vertAlign w:val="subscript"/>
          <w:lang w:eastAsia="en-US"/>
        </w:rPr>
        <w:t>V</w:t>
      </w:r>
      <w:r w:rsidR="008F6F62" w:rsidRPr="00B0618E">
        <w:t xml:space="preserve"> between -</w:t>
      </w:r>
      <w:r w:rsidR="00AC182F">
        <w:t>8</w:t>
      </w:r>
      <w:r w:rsidR="008F6F62" w:rsidRPr="00B0618E">
        <w:t>.3 and -</w:t>
      </w:r>
      <w:r w:rsidR="00AC182F">
        <w:t>7</w:t>
      </w:r>
      <w:r w:rsidR="008F6F62" w:rsidRPr="00B0618E">
        <w:t xml:space="preserve">.3. </w:t>
      </w:r>
      <w:r w:rsidR="008F6F62">
        <w:t xml:space="preserve">This demonstrates that </w:t>
      </w:r>
      <w:r w:rsidR="00EB4D0E" w:rsidRPr="00B0618E">
        <w:t xml:space="preserve">the range of </w:t>
      </w:r>
      <w:r w:rsidR="008F6F62">
        <w:t>(numerically) upscaled</w:t>
      </w:r>
      <w:r w:rsidR="001B3004" w:rsidRPr="00B0618E">
        <w:t xml:space="preserve"> </w:t>
      </w:r>
      <w:r w:rsidR="002C7A76" w:rsidRPr="00B0618E">
        <w:rPr>
          <w:i/>
          <w:color w:val="auto"/>
          <w:lang w:eastAsia="en-US"/>
        </w:rPr>
        <w:t>K</w:t>
      </w:r>
      <w:r w:rsidR="002C7A76" w:rsidRPr="00B0618E">
        <w:rPr>
          <w:color w:val="auto"/>
          <w:vertAlign w:val="subscript"/>
          <w:lang w:eastAsia="en-US"/>
        </w:rPr>
        <w:t>V</w:t>
      </w:r>
      <w:r w:rsidR="002C7A76" w:rsidRPr="00B0618E">
        <w:rPr>
          <w:color w:val="auto"/>
        </w:rPr>
        <w:t xml:space="preserve"> </w:t>
      </w:r>
      <w:r w:rsidR="002C7A76" w:rsidRPr="00B0618E">
        <w:t xml:space="preserve">values </w:t>
      </w:r>
      <w:r w:rsidR="002A0B7E" w:rsidRPr="00B0618E">
        <w:t>for the lower aquitard brackets</w:t>
      </w:r>
      <w:r w:rsidR="00CF70C6">
        <w:t xml:space="preserve"> </w:t>
      </w:r>
      <w:r w:rsidR="007D3059" w:rsidRPr="00B0618E">
        <w:rPr>
          <w:i/>
          <w:color w:val="auto"/>
          <w:lang w:eastAsia="en-US"/>
        </w:rPr>
        <w:t>K</w:t>
      </w:r>
      <w:r w:rsidR="007D3059" w:rsidRPr="00B0618E">
        <w:rPr>
          <w:color w:val="auto"/>
          <w:vertAlign w:val="subscript"/>
          <w:lang w:eastAsia="en-US"/>
        </w:rPr>
        <w:t>V</w:t>
      </w:r>
      <w:r w:rsidR="00EB4D0E" w:rsidRPr="00B0618E">
        <w:t xml:space="preserve"> </w:t>
      </w:r>
      <w:r w:rsidR="002A0B7E" w:rsidRPr="00B0618E">
        <w:t>values</w:t>
      </w:r>
      <w:r w:rsidR="00D92CFA">
        <w:t xml:space="preserve"> </w:t>
      </w:r>
      <w:r w:rsidR="00CF70C6">
        <w:t xml:space="preserve">independently </w:t>
      </w:r>
      <w:r w:rsidR="00D92CFA">
        <w:t>estimate</w:t>
      </w:r>
      <w:r w:rsidR="00CF70C6">
        <w:t>d</w:t>
      </w:r>
      <w:r w:rsidR="00D92CFA">
        <w:t xml:space="preserve"> based on </w:t>
      </w:r>
      <w:r w:rsidR="00D92CFA" w:rsidRPr="00D92CFA">
        <w:t>vertical fluid flow in the same aquitard unit</w:t>
      </w:r>
      <w:r w:rsidR="00D83000">
        <w:t xml:space="preserve">. </w:t>
      </w:r>
      <w:r w:rsidR="001619C2">
        <w:t xml:space="preserve">Because the helium in quartz technique is more of an in situ approach (helium concentrations are fairly insensitive to sampling), it does not have the issues typically experienced when permeability is determined on core samples that have been disrupted during sampling (Schulze-Makuch et al., 1999). </w:t>
      </w:r>
    </w:p>
    <w:p w14:paraId="5839930C" w14:textId="32FC55A8" w:rsidR="00790868" w:rsidRPr="00B0618E" w:rsidRDefault="008A4EFE" w:rsidP="008E5D3E">
      <w:pPr>
        <w:pStyle w:val="BodyText"/>
        <w:keepNext/>
      </w:pPr>
      <w:r w:rsidRPr="00B0618E">
        <w:rPr>
          <w:noProof/>
        </w:rPr>
        <w:drawing>
          <wp:inline distT="0" distB="0" distL="0" distR="0" wp14:anchorId="0F5E5FAB" wp14:editId="3B0A741D">
            <wp:extent cx="5996354" cy="3995365"/>
            <wp:effectExtent l="0" t="0" r="4445" b="5715"/>
            <wp:docPr id="69" name="Picture 69" descr="Histogram of calculated aquitard vertical conductivity" title="Fig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WS_FAM\Aquitards\Filtered_porosity_data_from_Irina_040516\Define_updated_priors_v03_All_231116.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98136" cy="3996552"/>
                    </a:xfrm>
                    <a:prstGeom prst="rect">
                      <a:avLst/>
                    </a:prstGeom>
                    <a:noFill/>
                    <a:ln>
                      <a:noFill/>
                    </a:ln>
                  </pic:spPr>
                </pic:pic>
              </a:graphicData>
            </a:graphic>
          </wp:inline>
        </w:drawing>
      </w:r>
    </w:p>
    <w:p w14:paraId="33CB1BE3" w14:textId="56178344" w:rsidR="000E4368" w:rsidRPr="00B0618E" w:rsidRDefault="000E4368" w:rsidP="00994757">
      <w:pPr>
        <w:pStyle w:val="Caption"/>
      </w:pPr>
      <w:bookmarkStart w:id="111" w:name="_Ref467681682"/>
      <w:bookmarkStart w:id="112" w:name="_Toc482034920"/>
      <w:r w:rsidRPr="00B0618E">
        <w:t xml:space="preserve">Figure </w:t>
      </w:r>
      <w:r w:rsidR="00A2085C">
        <w:fldChar w:fldCharType="begin"/>
      </w:r>
      <w:r w:rsidR="00A2085C">
        <w:instrText xml:space="preserve"> STYLEREF 1 \s </w:instrText>
      </w:r>
      <w:r w:rsidR="00A2085C">
        <w:fldChar w:fldCharType="separate"/>
      </w:r>
      <w:r w:rsidR="000B6FA5">
        <w:rPr>
          <w:noProof/>
        </w:rPr>
        <w:t>4</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3</w:t>
      </w:r>
      <w:r w:rsidR="00A2085C">
        <w:rPr>
          <w:noProof/>
        </w:rPr>
        <w:fldChar w:fldCharType="end"/>
      </w:r>
      <w:bookmarkEnd w:id="111"/>
      <w:r w:rsidRPr="00B0618E">
        <w:t>.</w:t>
      </w:r>
      <w:r w:rsidR="0059572B" w:rsidRPr="00B0618E">
        <w:t xml:space="preserve"> </w:t>
      </w:r>
      <w:r w:rsidR="00DD64D3" w:rsidRPr="00B0618E">
        <w:t>Histograms of aquitard vertical hydraulic conductivity values upscaled using (a) harmonic mean averaging and (b) numerical model averaging for the upper aquitard sequence (upper row) and lower aquitard sequence (lower row).</w:t>
      </w:r>
      <w:bookmarkEnd w:id="112"/>
      <w:r w:rsidR="00DD64D3" w:rsidRPr="00B0618E">
        <w:rPr>
          <w:color w:val="FF0000"/>
        </w:rPr>
        <w:t xml:space="preserve"> </w:t>
      </w:r>
      <w:r w:rsidR="0059572B" w:rsidRPr="00B0618E">
        <w:rPr>
          <w:color w:val="FF0000"/>
        </w:rPr>
        <w:t xml:space="preserve"> </w:t>
      </w:r>
    </w:p>
    <w:p w14:paraId="11F9ACDC" w14:textId="77777777" w:rsidR="00F74A4B" w:rsidRPr="00B0618E" w:rsidRDefault="00F74A4B" w:rsidP="00F74A4B">
      <w:pPr>
        <w:pStyle w:val="BodyText"/>
        <w:rPr>
          <w:strike/>
        </w:rPr>
      </w:pPr>
    </w:p>
    <w:p w14:paraId="32691BC9" w14:textId="77777777" w:rsidR="00CE24B7" w:rsidRPr="00B0618E" w:rsidRDefault="00CE24B7" w:rsidP="003C10BC">
      <w:pPr>
        <w:pStyle w:val="BodyText"/>
        <w:rPr>
          <w:strike/>
        </w:rPr>
      </w:pPr>
      <w:r w:rsidRPr="00B0618E">
        <w:rPr>
          <w:strike/>
        </w:rPr>
        <w:br w:type="page"/>
      </w:r>
    </w:p>
    <w:p w14:paraId="055BB9C7" w14:textId="05192C9A" w:rsidR="00CE24B7" w:rsidRPr="00B0618E" w:rsidRDefault="0034157C" w:rsidP="00CE24B7">
      <w:pPr>
        <w:pStyle w:val="Heading1"/>
      </w:pPr>
      <w:bookmarkStart w:id="113" w:name="_Ref478488461"/>
      <w:bookmarkStart w:id="114" w:name="_Toc483127579"/>
      <w:r w:rsidRPr="00B0618E">
        <w:t>Prediction s</w:t>
      </w:r>
      <w:r w:rsidR="00CE24B7" w:rsidRPr="00B0618E">
        <w:t>ensitivity and uncertainty analyses using revised model</w:t>
      </w:r>
      <w:r w:rsidR="00027A44" w:rsidRPr="00B0618E">
        <w:t>s</w:t>
      </w:r>
      <w:bookmarkEnd w:id="113"/>
      <w:bookmarkEnd w:id="114"/>
    </w:p>
    <w:p w14:paraId="2AF2ACE9" w14:textId="70C3FEFA" w:rsidR="001C35CB" w:rsidRPr="00B0618E" w:rsidRDefault="00B25DB2" w:rsidP="001C35CB">
      <w:pPr>
        <w:pStyle w:val="BodyText"/>
        <w:rPr>
          <w:color w:val="FF0000"/>
        </w:rPr>
      </w:pPr>
      <w:r w:rsidRPr="00B0618E">
        <w:t xml:space="preserve">Following </w:t>
      </w:r>
      <w:r w:rsidR="000B1240">
        <w:t>the</w:t>
      </w:r>
      <w:r w:rsidRPr="00B0618E">
        <w:t xml:space="preserve"> improved characterisation of aquitard vertical hydraulic conducti</w:t>
      </w:r>
      <w:r w:rsidR="007922E3" w:rsidRPr="00B0618E">
        <w:t>vi</w:t>
      </w:r>
      <w:r w:rsidRPr="00B0618E">
        <w:t>ties, a second global sensitivity and uncertainty analysis was undertaken using updated prior parameter distributions. The uncertainties of the four predictions of interest were again estimated and subsequently compared to the initial results.</w:t>
      </w:r>
    </w:p>
    <w:p w14:paraId="3AE0212A" w14:textId="7404537B" w:rsidR="004E5193" w:rsidRPr="00B0618E" w:rsidRDefault="0034157C" w:rsidP="004E5193">
      <w:pPr>
        <w:pStyle w:val="Heading2"/>
      </w:pPr>
      <w:bookmarkStart w:id="115" w:name="_Toc483127580"/>
      <w:r w:rsidRPr="00B0618E">
        <w:t>Prediction s</w:t>
      </w:r>
      <w:r w:rsidR="004E5193" w:rsidRPr="00B0618E">
        <w:t xml:space="preserve">ensitivity </w:t>
      </w:r>
      <w:r w:rsidRPr="00B0618E">
        <w:t xml:space="preserve">and uncertainty </w:t>
      </w:r>
      <w:r w:rsidR="004E5193" w:rsidRPr="00B0618E">
        <w:t>analysis</w:t>
      </w:r>
      <w:r w:rsidR="005071A4" w:rsidRPr="00B0618E">
        <w:t xml:space="preserve"> </w:t>
      </w:r>
      <w:r w:rsidR="005F6C1A" w:rsidRPr="00B0618E">
        <w:softHyphen/>
      </w:r>
      <w:r w:rsidR="00BF0293" w:rsidRPr="00B0618E">
        <w:t>-</w:t>
      </w:r>
      <w:r w:rsidR="005F6C1A" w:rsidRPr="00B0618E">
        <w:t xml:space="preserve"> Methods</w:t>
      </w:r>
      <w:bookmarkEnd w:id="115"/>
    </w:p>
    <w:p w14:paraId="43651CC7" w14:textId="4B671A7A" w:rsidR="001C35CB" w:rsidRPr="00B0618E" w:rsidRDefault="00946A25" w:rsidP="001C35CB">
      <w:pPr>
        <w:pStyle w:val="BodyText"/>
        <w:rPr>
          <w:color w:val="auto"/>
        </w:rPr>
      </w:pPr>
      <w:r w:rsidRPr="00B0618E">
        <w:rPr>
          <w:color w:val="auto"/>
        </w:rPr>
        <w:t xml:space="preserve">As described in </w:t>
      </w:r>
      <w:r w:rsidR="002B53EF" w:rsidRPr="00B0618E">
        <w:rPr>
          <w:color w:val="auto"/>
        </w:rPr>
        <w:t>C</w:t>
      </w:r>
      <w:r w:rsidRPr="00B0618E">
        <w:rPr>
          <w:color w:val="auto"/>
        </w:rPr>
        <w:t xml:space="preserve">hapter 4, </w:t>
      </w:r>
      <w:r w:rsidR="001C35CB" w:rsidRPr="00B0618E">
        <w:rPr>
          <w:color w:val="auto"/>
        </w:rPr>
        <w:t>the characterisation of vertical hydraulic conductivity of the upper and lower aquitard sequences of the Gunnedah</w:t>
      </w:r>
      <w:r w:rsidR="000B1240">
        <w:rPr>
          <w:color w:val="auto"/>
        </w:rPr>
        <w:t>-Surat</w:t>
      </w:r>
      <w:r w:rsidR="001C35CB" w:rsidRPr="00B0618E">
        <w:rPr>
          <w:color w:val="auto"/>
        </w:rPr>
        <w:t xml:space="preserve"> </w:t>
      </w:r>
      <w:r w:rsidR="000B1240">
        <w:rPr>
          <w:color w:val="auto"/>
        </w:rPr>
        <w:t>b</w:t>
      </w:r>
      <w:r w:rsidR="001C35CB" w:rsidRPr="00B0618E">
        <w:rPr>
          <w:color w:val="auto"/>
        </w:rPr>
        <w:t>asin</w:t>
      </w:r>
      <w:r w:rsidR="000B1240">
        <w:rPr>
          <w:color w:val="auto"/>
        </w:rPr>
        <w:t>s</w:t>
      </w:r>
      <w:r w:rsidRPr="00B0618E">
        <w:rPr>
          <w:color w:val="auto"/>
        </w:rPr>
        <w:t xml:space="preserve"> was revised. </w:t>
      </w:r>
      <w:r w:rsidR="006E75EB">
        <w:rPr>
          <w:color w:val="auto"/>
        </w:rPr>
        <w:t xml:space="preserve">As mentioned earlier, in the study area </w:t>
      </w:r>
      <w:r w:rsidR="006E75EB" w:rsidRPr="006E75EB">
        <w:rPr>
          <w:color w:val="auto"/>
        </w:rPr>
        <w:t xml:space="preserve">the Gunnedah Basin is overlain by the Jurassic-Cretaceous Surat Basin. The Surat Basin strata present in the vicinity of the </w:t>
      </w:r>
      <w:r w:rsidR="006E75EB">
        <w:rPr>
          <w:color w:val="auto"/>
        </w:rPr>
        <w:t>study</w:t>
      </w:r>
      <w:r w:rsidR="006E75EB" w:rsidRPr="006E75EB">
        <w:rPr>
          <w:color w:val="auto"/>
        </w:rPr>
        <w:t xml:space="preserve"> area include the Blythesdale Group</w:t>
      </w:r>
      <w:r w:rsidR="006E75EB">
        <w:rPr>
          <w:color w:val="auto"/>
        </w:rPr>
        <w:t xml:space="preserve">, </w:t>
      </w:r>
      <w:r w:rsidR="006E75EB" w:rsidRPr="006E75EB">
        <w:rPr>
          <w:color w:val="auto"/>
        </w:rPr>
        <w:t>(Keelindi Beds), Pilliga Sandstone, Purlawaugh Formation and basal Garrawilla Volcanics.</w:t>
      </w:r>
      <w:r w:rsidR="006E75EB">
        <w:rPr>
          <w:color w:val="auto"/>
        </w:rPr>
        <w:t xml:space="preserve"> </w:t>
      </w:r>
      <w:r w:rsidRPr="00B0618E">
        <w:rPr>
          <w:color w:val="auto"/>
        </w:rPr>
        <w:t xml:space="preserve">Core scale observations </w:t>
      </w:r>
      <w:r w:rsidR="00341064">
        <w:rPr>
          <w:color w:val="auto"/>
        </w:rPr>
        <w:t>previously reported by Turnadge et al. (201</w:t>
      </w:r>
      <w:r w:rsidR="00D646E1">
        <w:rPr>
          <w:color w:val="auto"/>
        </w:rPr>
        <w:t>8</w:t>
      </w:r>
      <w:r w:rsidR="00341064">
        <w:rPr>
          <w:color w:val="auto"/>
        </w:rPr>
        <w:t xml:space="preserve">a) </w:t>
      </w:r>
      <w:r w:rsidRPr="00B0618E">
        <w:rPr>
          <w:color w:val="auto"/>
        </w:rPr>
        <w:t xml:space="preserve">were upscaled using </w:t>
      </w:r>
      <w:r w:rsidR="002B53EF" w:rsidRPr="00B0618E">
        <w:rPr>
          <w:color w:val="auto"/>
        </w:rPr>
        <w:t xml:space="preserve">analytical and </w:t>
      </w:r>
      <w:r w:rsidRPr="00B0618E">
        <w:rPr>
          <w:color w:val="auto"/>
        </w:rPr>
        <w:t xml:space="preserve">numerical methods and </w:t>
      </w:r>
      <w:r w:rsidR="001C35CB" w:rsidRPr="00B0618E">
        <w:rPr>
          <w:color w:val="auto"/>
        </w:rPr>
        <w:t xml:space="preserve">the prior distributions of </w:t>
      </w:r>
      <w:r w:rsidRPr="00B0618E">
        <w:rPr>
          <w:color w:val="auto"/>
        </w:rPr>
        <w:t xml:space="preserve">aquitard </w:t>
      </w:r>
      <w:r w:rsidRPr="00B0618E">
        <w:rPr>
          <w:i/>
          <w:color w:val="auto"/>
        </w:rPr>
        <w:t>K</w:t>
      </w:r>
      <w:r w:rsidRPr="00B0618E">
        <w:rPr>
          <w:i/>
          <w:color w:val="auto"/>
          <w:vertAlign w:val="subscript"/>
        </w:rPr>
        <w:t>V</w:t>
      </w:r>
      <w:r w:rsidRPr="00B0618E">
        <w:rPr>
          <w:color w:val="auto"/>
        </w:rPr>
        <w:t xml:space="preserve"> </w:t>
      </w:r>
      <w:r w:rsidR="001C35CB" w:rsidRPr="00B0618E">
        <w:rPr>
          <w:color w:val="auto"/>
        </w:rPr>
        <w:t>parameters were adjusted accordingly. The variability of both prior distributions</w:t>
      </w:r>
      <w:r w:rsidR="002B53EF" w:rsidRPr="00B0618E">
        <w:rPr>
          <w:color w:val="auto"/>
        </w:rPr>
        <w:t>, one for each aquitard</w:t>
      </w:r>
      <w:r w:rsidR="0053143D" w:rsidRPr="00B0618E">
        <w:rPr>
          <w:color w:val="auto"/>
        </w:rPr>
        <w:t xml:space="preserve"> sequence</w:t>
      </w:r>
      <w:r w:rsidR="002B53EF" w:rsidRPr="00B0618E">
        <w:rPr>
          <w:color w:val="auto"/>
        </w:rPr>
        <w:t>,</w:t>
      </w:r>
      <w:r w:rsidR="001C35CB" w:rsidRPr="00B0618E">
        <w:rPr>
          <w:color w:val="auto"/>
        </w:rPr>
        <w:t xml:space="preserve"> was </w:t>
      </w:r>
      <w:r w:rsidR="005071A4" w:rsidRPr="00B0618E">
        <w:rPr>
          <w:color w:val="auto"/>
        </w:rPr>
        <w:t xml:space="preserve">increased from two orders of magnitude </w:t>
      </w:r>
      <w:r w:rsidR="0053143D" w:rsidRPr="00B0618E">
        <w:rPr>
          <w:color w:val="auto"/>
        </w:rPr>
        <w:t xml:space="preserve">(chosen arbitrarily) </w:t>
      </w:r>
      <w:r w:rsidR="005071A4" w:rsidRPr="00B0618E">
        <w:rPr>
          <w:color w:val="auto"/>
        </w:rPr>
        <w:t>to four orders of magnitude</w:t>
      </w:r>
      <w:r w:rsidR="0053143D" w:rsidRPr="00B0618E">
        <w:rPr>
          <w:color w:val="auto"/>
        </w:rPr>
        <w:t xml:space="preserve"> (informed by observed data)</w:t>
      </w:r>
      <w:r w:rsidR="001C35CB" w:rsidRPr="00B0618E">
        <w:rPr>
          <w:color w:val="auto"/>
        </w:rPr>
        <w:t>. The revised distributions were both characterised using triangular distribution</w:t>
      </w:r>
      <w:r w:rsidR="00B40D21" w:rsidRPr="00B0618E">
        <w:rPr>
          <w:color w:val="auto"/>
        </w:rPr>
        <w:t>s (</w:t>
      </w:r>
      <w:r w:rsidR="00B40D21" w:rsidRPr="00B0618E">
        <w:rPr>
          <w:color w:val="auto"/>
        </w:rPr>
        <w:fldChar w:fldCharType="begin"/>
      </w:r>
      <w:r w:rsidR="00B40D21" w:rsidRPr="00B0618E">
        <w:rPr>
          <w:color w:val="auto"/>
        </w:rPr>
        <w:instrText xml:space="preserve"> REF _Ref467659208 \h </w:instrText>
      </w:r>
      <w:r w:rsidR="00B0618E">
        <w:rPr>
          <w:color w:val="auto"/>
        </w:rPr>
        <w:instrText xml:space="preserve"> \* MERGEFORMAT </w:instrText>
      </w:r>
      <w:r w:rsidR="00B40D21" w:rsidRPr="00B0618E">
        <w:rPr>
          <w:color w:val="auto"/>
        </w:rPr>
      </w:r>
      <w:r w:rsidR="00B40D21" w:rsidRPr="00B0618E">
        <w:rPr>
          <w:color w:val="auto"/>
        </w:rPr>
        <w:fldChar w:fldCharType="separate"/>
      </w:r>
      <w:r w:rsidR="000B6FA5" w:rsidRPr="00B0618E">
        <w:t xml:space="preserve">Figure </w:t>
      </w:r>
      <w:r w:rsidR="000B6FA5">
        <w:rPr>
          <w:noProof/>
        </w:rPr>
        <w:t>5</w:t>
      </w:r>
      <w:r w:rsidR="000B6FA5">
        <w:rPr>
          <w:noProof/>
        </w:rPr>
        <w:noBreakHyphen/>
        <w:t>1</w:t>
      </w:r>
      <w:r w:rsidR="00B40D21" w:rsidRPr="00B0618E">
        <w:rPr>
          <w:color w:val="auto"/>
        </w:rPr>
        <w:fldChar w:fldCharType="end"/>
      </w:r>
      <w:r w:rsidR="00B40D21" w:rsidRPr="00B0618E">
        <w:rPr>
          <w:color w:val="auto"/>
        </w:rPr>
        <w:t>)</w:t>
      </w:r>
      <w:r w:rsidR="001C35CB" w:rsidRPr="00B0618E">
        <w:rPr>
          <w:color w:val="auto"/>
        </w:rPr>
        <w:t>.</w:t>
      </w:r>
      <w:r w:rsidR="00BA0F2B" w:rsidRPr="00B0618E">
        <w:rPr>
          <w:color w:val="auto"/>
        </w:rPr>
        <w:t xml:space="preserve"> T</w:t>
      </w:r>
      <w:r w:rsidR="001C35CB" w:rsidRPr="00B0618E">
        <w:rPr>
          <w:color w:val="auto"/>
        </w:rPr>
        <w:t xml:space="preserve">he </w:t>
      </w:r>
      <w:r w:rsidR="00BA0F2B" w:rsidRPr="00B0618E">
        <w:rPr>
          <w:color w:val="auto"/>
        </w:rPr>
        <w:t xml:space="preserve">distribution used </w:t>
      </w:r>
      <w:r w:rsidR="005071A4" w:rsidRPr="00B0618E">
        <w:rPr>
          <w:color w:val="auto"/>
        </w:rPr>
        <w:t xml:space="preserve">to </w:t>
      </w:r>
      <w:r w:rsidR="00BA0F2B" w:rsidRPr="00B0618E">
        <w:rPr>
          <w:color w:val="auto"/>
        </w:rPr>
        <w:t>characterise the upper aquitard sequence was bounded at log</w:t>
      </w:r>
      <w:r w:rsidR="00BA0F2B" w:rsidRPr="00B0618E">
        <w:rPr>
          <w:color w:val="auto"/>
          <w:vertAlign w:val="subscript"/>
        </w:rPr>
        <w:t>10</w:t>
      </w:r>
      <w:r w:rsidR="00BA0F2B" w:rsidRPr="00B0618E">
        <w:rPr>
          <w:color w:val="auto"/>
        </w:rPr>
        <w:t xml:space="preserve"> </w:t>
      </w:r>
      <w:r w:rsidR="00BA0F2B" w:rsidRPr="00B0618E">
        <w:rPr>
          <w:i/>
          <w:color w:val="auto"/>
        </w:rPr>
        <w:t>K</w:t>
      </w:r>
      <w:r w:rsidR="003B53CD" w:rsidRPr="00B0618E">
        <w:rPr>
          <w:i/>
          <w:color w:val="auto"/>
          <w:vertAlign w:val="subscript"/>
        </w:rPr>
        <w:t>V</w:t>
      </w:r>
      <w:r w:rsidR="00BA0F2B" w:rsidRPr="00B0618E">
        <w:rPr>
          <w:color w:val="auto"/>
        </w:rPr>
        <w:t xml:space="preserve"> = -7.0 and log</w:t>
      </w:r>
      <w:r w:rsidR="00BA0F2B" w:rsidRPr="00B0618E">
        <w:rPr>
          <w:color w:val="auto"/>
          <w:vertAlign w:val="subscript"/>
        </w:rPr>
        <w:t>10</w:t>
      </w:r>
      <w:r w:rsidR="00BA0F2B" w:rsidRPr="00B0618E">
        <w:rPr>
          <w:color w:val="auto"/>
        </w:rPr>
        <w:t xml:space="preserve"> </w:t>
      </w:r>
      <w:r w:rsidR="00BA0F2B" w:rsidRPr="00B0618E">
        <w:rPr>
          <w:i/>
          <w:color w:val="auto"/>
        </w:rPr>
        <w:t>K</w:t>
      </w:r>
      <w:r w:rsidR="003B53CD" w:rsidRPr="00B0618E">
        <w:rPr>
          <w:i/>
          <w:color w:val="auto"/>
          <w:vertAlign w:val="subscript"/>
        </w:rPr>
        <w:t>V</w:t>
      </w:r>
      <w:r w:rsidR="00BA0F2B" w:rsidRPr="00B0618E">
        <w:rPr>
          <w:color w:val="auto"/>
        </w:rPr>
        <w:t xml:space="preserve"> = -3.0 with a peak value of ~20 located at </w:t>
      </w:r>
      <w:r w:rsidR="005071A4" w:rsidRPr="00B0618E">
        <w:rPr>
          <w:color w:val="auto"/>
        </w:rPr>
        <w:t>log</w:t>
      </w:r>
      <w:r w:rsidR="005071A4" w:rsidRPr="00B0618E">
        <w:rPr>
          <w:color w:val="auto"/>
          <w:vertAlign w:val="subscript"/>
        </w:rPr>
        <w:t>10</w:t>
      </w:r>
      <w:r w:rsidR="005071A4" w:rsidRPr="00B0618E">
        <w:rPr>
          <w:color w:val="auto"/>
        </w:rPr>
        <w:t xml:space="preserve"> </w:t>
      </w:r>
      <w:r w:rsidR="005071A4" w:rsidRPr="00B0618E">
        <w:rPr>
          <w:i/>
          <w:color w:val="auto"/>
        </w:rPr>
        <w:t>K</w:t>
      </w:r>
      <w:r w:rsidR="003B53CD" w:rsidRPr="00B0618E">
        <w:rPr>
          <w:i/>
          <w:color w:val="auto"/>
          <w:vertAlign w:val="subscript"/>
        </w:rPr>
        <w:t>V</w:t>
      </w:r>
      <w:r w:rsidR="005071A4" w:rsidRPr="00B0618E">
        <w:rPr>
          <w:color w:val="auto"/>
        </w:rPr>
        <w:t xml:space="preserve"> = -5.8</w:t>
      </w:r>
      <w:r w:rsidR="0003319F" w:rsidRPr="00B0618E">
        <w:rPr>
          <w:color w:val="auto"/>
        </w:rPr>
        <w:t xml:space="preserve">. Note that distribution parameters were </w:t>
      </w:r>
      <w:r w:rsidR="002B53EF" w:rsidRPr="00B0618E">
        <w:rPr>
          <w:color w:val="auto"/>
        </w:rPr>
        <w:t xml:space="preserve">nearly identical for </w:t>
      </w:r>
      <w:r w:rsidR="0003319F" w:rsidRPr="00B0618E">
        <w:rPr>
          <w:color w:val="auto"/>
        </w:rPr>
        <w:t xml:space="preserve">both </w:t>
      </w:r>
      <w:r w:rsidR="002B53EF" w:rsidRPr="00B0618E">
        <w:rPr>
          <w:color w:val="auto"/>
        </w:rPr>
        <w:t>harmonic and numerical upscaling</w:t>
      </w:r>
      <w:r w:rsidR="0003319F" w:rsidRPr="00B0618E">
        <w:rPr>
          <w:color w:val="auto"/>
        </w:rPr>
        <w:t xml:space="preserve"> approaches</w:t>
      </w:r>
      <w:r w:rsidR="005071A4" w:rsidRPr="00B0618E">
        <w:rPr>
          <w:color w:val="auto"/>
        </w:rPr>
        <w:t>. Similarly, the distribution used to characterise the lower aquitard sequence was bounded at log</w:t>
      </w:r>
      <w:r w:rsidR="005071A4" w:rsidRPr="00B0618E">
        <w:rPr>
          <w:color w:val="auto"/>
          <w:vertAlign w:val="subscript"/>
        </w:rPr>
        <w:t>10</w:t>
      </w:r>
      <w:r w:rsidR="005071A4" w:rsidRPr="00B0618E">
        <w:rPr>
          <w:color w:val="auto"/>
        </w:rPr>
        <w:t xml:space="preserve"> </w:t>
      </w:r>
      <w:r w:rsidR="005071A4" w:rsidRPr="00B0618E">
        <w:rPr>
          <w:i/>
          <w:color w:val="auto"/>
        </w:rPr>
        <w:t>K</w:t>
      </w:r>
      <w:r w:rsidR="003B53CD" w:rsidRPr="00B0618E">
        <w:rPr>
          <w:i/>
          <w:color w:val="auto"/>
          <w:vertAlign w:val="subscript"/>
        </w:rPr>
        <w:t>V</w:t>
      </w:r>
      <w:r w:rsidR="005071A4" w:rsidRPr="00B0618E">
        <w:rPr>
          <w:color w:val="auto"/>
        </w:rPr>
        <w:t xml:space="preserve"> = -7.0 and log</w:t>
      </w:r>
      <w:r w:rsidR="005071A4" w:rsidRPr="00B0618E">
        <w:rPr>
          <w:color w:val="auto"/>
          <w:vertAlign w:val="subscript"/>
        </w:rPr>
        <w:t>10</w:t>
      </w:r>
      <w:r w:rsidR="005071A4" w:rsidRPr="00B0618E">
        <w:rPr>
          <w:color w:val="auto"/>
        </w:rPr>
        <w:t xml:space="preserve"> </w:t>
      </w:r>
      <w:r w:rsidR="005071A4" w:rsidRPr="00B0618E">
        <w:rPr>
          <w:i/>
          <w:color w:val="auto"/>
        </w:rPr>
        <w:t>K</w:t>
      </w:r>
      <w:r w:rsidR="003B53CD" w:rsidRPr="00B0618E">
        <w:rPr>
          <w:i/>
          <w:color w:val="auto"/>
          <w:vertAlign w:val="subscript"/>
        </w:rPr>
        <w:t>V</w:t>
      </w:r>
      <w:r w:rsidR="005071A4" w:rsidRPr="00B0618E">
        <w:rPr>
          <w:color w:val="auto"/>
        </w:rPr>
        <w:t xml:space="preserve"> = -3.0 but featured a peak value of ~20 located at log</w:t>
      </w:r>
      <w:r w:rsidR="005071A4" w:rsidRPr="00B0618E">
        <w:rPr>
          <w:color w:val="auto"/>
          <w:vertAlign w:val="subscript"/>
        </w:rPr>
        <w:t>10</w:t>
      </w:r>
      <w:r w:rsidR="005071A4" w:rsidRPr="00B0618E">
        <w:rPr>
          <w:color w:val="auto"/>
        </w:rPr>
        <w:t xml:space="preserve"> </w:t>
      </w:r>
      <w:r w:rsidR="005071A4" w:rsidRPr="00B0618E">
        <w:rPr>
          <w:i/>
          <w:color w:val="auto"/>
        </w:rPr>
        <w:t>K</w:t>
      </w:r>
      <w:r w:rsidR="003B53CD" w:rsidRPr="00B0618E">
        <w:rPr>
          <w:i/>
          <w:color w:val="auto"/>
          <w:vertAlign w:val="subscript"/>
        </w:rPr>
        <w:t>V</w:t>
      </w:r>
      <w:r w:rsidR="005071A4" w:rsidRPr="00B0618E">
        <w:rPr>
          <w:color w:val="auto"/>
        </w:rPr>
        <w:t xml:space="preserve"> = -4.2</w:t>
      </w:r>
      <w:r w:rsidR="002B53EF" w:rsidRPr="00B0618E">
        <w:rPr>
          <w:color w:val="auto"/>
        </w:rPr>
        <w:t xml:space="preserve">, with similar </w:t>
      </w:r>
      <w:r w:rsidR="0003319F" w:rsidRPr="00B0618E">
        <w:rPr>
          <w:color w:val="auto"/>
        </w:rPr>
        <w:t xml:space="preserve">parameter values observed </w:t>
      </w:r>
      <w:r w:rsidR="002B53EF" w:rsidRPr="00B0618E">
        <w:rPr>
          <w:color w:val="auto"/>
        </w:rPr>
        <w:t xml:space="preserve">for </w:t>
      </w:r>
      <w:r w:rsidR="0003319F" w:rsidRPr="00B0618E">
        <w:rPr>
          <w:color w:val="auto"/>
        </w:rPr>
        <w:t xml:space="preserve">both </w:t>
      </w:r>
      <w:r w:rsidR="002B53EF" w:rsidRPr="00B0618E">
        <w:rPr>
          <w:color w:val="auto"/>
        </w:rPr>
        <w:t>harmonic and numerical upscaling</w:t>
      </w:r>
      <w:r w:rsidR="0003319F" w:rsidRPr="00B0618E">
        <w:rPr>
          <w:color w:val="auto"/>
        </w:rPr>
        <w:t xml:space="preserve"> approaches</w:t>
      </w:r>
      <w:r w:rsidR="005071A4" w:rsidRPr="00B0618E">
        <w:rPr>
          <w:color w:val="auto"/>
        </w:rPr>
        <w:t xml:space="preserve">. Given the insensitivity of the four modelled predictions to specific storage parameters (as demonstrated in Section 3), the ten </w:t>
      </w:r>
      <w:r w:rsidR="005071A4" w:rsidRPr="00B0618E">
        <w:rPr>
          <w:i/>
          <w:color w:val="auto"/>
        </w:rPr>
        <w:t>S</w:t>
      </w:r>
      <w:r w:rsidR="003B53CD" w:rsidRPr="00B0618E">
        <w:rPr>
          <w:i/>
          <w:color w:val="auto"/>
          <w:vertAlign w:val="subscript"/>
        </w:rPr>
        <w:t>S</w:t>
      </w:r>
      <w:r w:rsidR="005071A4" w:rsidRPr="00B0618E">
        <w:rPr>
          <w:color w:val="auto"/>
        </w:rPr>
        <w:t xml:space="preserve"> parameters were omitted from the global sensitivity analysis of the revised </w:t>
      </w:r>
      <w:r w:rsidR="00045A85">
        <w:rPr>
          <w:color w:val="auto"/>
        </w:rPr>
        <w:t>CDM Smith (2016)</w:t>
      </w:r>
      <w:r w:rsidR="00E253E9" w:rsidRPr="00B0618E">
        <w:rPr>
          <w:color w:val="auto"/>
        </w:rPr>
        <w:t xml:space="preserve"> </w:t>
      </w:r>
      <w:r w:rsidR="005071A4" w:rsidRPr="00B0618E">
        <w:rPr>
          <w:color w:val="auto"/>
        </w:rPr>
        <w:t>model. This omission also served to considerably reduce the total model run time required for global sensitivity analysis.</w:t>
      </w:r>
    </w:p>
    <w:p w14:paraId="190DD3F0" w14:textId="13397A00" w:rsidR="004270F8" w:rsidRPr="00B0618E" w:rsidRDefault="008A4EFE" w:rsidP="008E5D3E">
      <w:pPr>
        <w:pStyle w:val="BodyText"/>
        <w:keepNext/>
        <w:rPr>
          <w:color w:val="auto"/>
        </w:rPr>
      </w:pPr>
      <w:r w:rsidRPr="00B0618E">
        <w:rPr>
          <w:noProof/>
          <w:color w:val="auto"/>
        </w:rPr>
        <w:drawing>
          <wp:inline distT="0" distB="0" distL="0" distR="0" wp14:anchorId="52A278B2" wp14:editId="231FCEC0">
            <wp:extent cx="5758180" cy="3836670"/>
            <wp:effectExtent l="0" t="0" r="0" b="0"/>
            <wp:docPr id="67" name="Picture 67" descr="Histogram and triangular distributions of vertical hydraulic conductivity" title="Fig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OWS_FAM\Aquitards\Filtered_porosity_data_from_Irina_040516\Define_updated_priors_v03_All_231116.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8180" cy="3836670"/>
                    </a:xfrm>
                    <a:prstGeom prst="rect">
                      <a:avLst/>
                    </a:prstGeom>
                    <a:noFill/>
                    <a:ln>
                      <a:noFill/>
                    </a:ln>
                  </pic:spPr>
                </pic:pic>
              </a:graphicData>
            </a:graphic>
          </wp:inline>
        </w:drawing>
      </w:r>
    </w:p>
    <w:p w14:paraId="42886944" w14:textId="3C56D0FB" w:rsidR="004270F8" w:rsidRPr="00B0618E" w:rsidRDefault="004270F8" w:rsidP="00994757">
      <w:pPr>
        <w:pStyle w:val="Caption"/>
      </w:pPr>
      <w:bookmarkStart w:id="116" w:name="_Ref467659208"/>
      <w:bookmarkStart w:id="117" w:name="_Toc482034921"/>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w:t>
      </w:r>
      <w:r w:rsidR="00A2085C">
        <w:rPr>
          <w:noProof/>
        </w:rPr>
        <w:fldChar w:fldCharType="end"/>
      </w:r>
      <w:bookmarkEnd w:id="116"/>
      <w:r w:rsidRPr="00B0618E">
        <w:t>.</w:t>
      </w:r>
      <w:r w:rsidR="00DD64D3" w:rsidRPr="00B0618E">
        <w:t xml:space="preserve"> Histograms (</w:t>
      </w:r>
      <w:r w:rsidR="00657C95" w:rsidRPr="00B0618E">
        <w:t>grey</w:t>
      </w:r>
      <w:r w:rsidR="00DD64D3" w:rsidRPr="00B0618E">
        <w:t>) and fitted triangular distributions (red) of aquitard vertical hydraulic conductivity values upscaled using (a) harmonic mean averaging and (b) numerical model averaging for the upper aquitard sequence (upper row) and lower aquitard sequence (lower row).</w:t>
      </w:r>
      <w:bookmarkEnd w:id="117"/>
    </w:p>
    <w:p w14:paraId="063B2FB2" w14:textId="1A81EED0" w:rsidR="004270F8" w:rsidRPr="00B0618E" w:rsidRDefault="004270F8" w:rsidP="004270F8">
      <w:pPr>
        <w:pStyle w:val="BodyText"/>
        <w:rPr>
          <w:color w:val="FF0000"/>
        </w:rPr>
      </w:pPr>
    </w:p>
    <w:p w14:paraId="27A178E9" w14:textId="77777777" w:rsidR="009C2963" w:rsidRPr="00B0618E" w:rsidRDefault="009C2963" w:rsidP="009C2963">
      <w:pPr>
        <w:pStyle w:val="Heading3"/>
      </w:pPr>
      <w:bookmarkStart w:id="118" w:name="_Ref476296484"/>
      <w:r w:rsidRPr="00B0618E">
        <w:t>Statistical convergence testing</w:t>
      </w:r>
      <w:bookmarkEnd w:id="118"/>
    </w:p>
    <w:p w14:paraId="78A853CA" w14:textId="5BD1EB30" w:rsidR="008C3ED6" w:rsidRDefault="00472E58" w:rsidP="00472E58">
      <w:pPr>
        <w:pStyle w:val="BodyText"/>
      </w:pPr>
      <w:r w:rsidRPr="00B0618E">
        <w:rPr>
          <w:color w:val="auto"/>
        </w:rPr>
        <w:t xml:space="preserve">Following the completion of 300 convergent model runs, the statistical robustness of results based on this sample size were again tested by recalculating the relative ranking of each parameter based on the </w:t>
      </w:r>
      <w:r w:rsidR="00C82F89" w:rsidRPr="00B0618E">
        <w:rPr>
          <w:color w:val="auto"/>
        </w:rPr>
        <w:t>DMIM</w:t>
      </w:r>
      <w:r w:rsidRPr="00B0618E">
        <w:rPr>
          <w:color w:val="auto"/>
        </w:rPr>
        <w:t xml:space="preserve"> </w:t>
      </w:r>
      <w:r w:rsidR="005C3666">
        <w:rPr>
          <w:i/>
          <w:color w:val="auto"/>
        </w:rPr>
        <w:t>δ</w:t>
      </w:r>
      <w:r w:rsidR="003B53CD" w:rsidRPr="00B0618E">
        <w:rPr>
          <w:i/>
          <w:color w:val="auto"/>
        </w:rPr>
        <w:t xml:space="preserve"> </w:t>
      </w:r>
      <w:r w:rsidRPr="00B0618E">
        <w:rPr>
          <w:color w:val="auto"/>
        </w:rPr>
        <w:t xml:space="preserve">and Sobol’ </w:t>
      </w:r>
      <w:r w:rsidRPr="00B0618E">
        <w:rPr>
          <w:i/>
          <w:color w:val="auto"/>
        </w:rPr>
        <w:t>S</w:t>
      </w:r>
      <w:r w:rsidRPr="00B0618E">
        <w:rPr>
          <w:color w:val="auto"/>
          <w:vertAlign w:val="subscript"/>
        </w:rPr>
        <w:t>1</w:t>
      </w:r>
      <w:r w:rsidRPr="00B0618E">
        <w:rPr>
          <w:color w:val="auto"/>
        </w:rPr>
        <w:t xml:space="preserve"> quantitative sensitivity metrics</w:t>
      </w:r>
      <w:r w:rsidR="00661B61" w:rsidRPr="00B0618E">
        <w:rPr>
          <w:color w:val="auto"/>
        </w:rPr>
        <w:t>.</w:t>
      </w:r>
      <w:r w:rsidRPr="00B0618E">
        <w:rPr>
          <w:color w:val="auto"/>
        </w:rPr>
        <w:t xml:space="preserve"> </w:t>
      </w:r>
      <w:r w:rsidRPr="00B0618E">
        <w:t xml:space="preserve">The metrics were recalculated using sample sizes of 200, 220, 240, 260, 280 and 300 model runs. The relative rankings of the four modelled predictions are compared with respect to increasing sample size in </w:t>
      </w:r>
      <w:r w:rsidRPr="00B0618E">
        <w:fldChar w:fldCharType="begin"/>
      </w:r>
      <w:r w:rsidRPr="00B0618E">
        <w:instrText xml:space="preserve"> REF _Ref467680132 \h </w:instrText>
      </w:r>
      <w:r w:rsidR="00B0618E">
        <w:instrText xml:space="preserve"> \* MERGEFORMAT </w:instrText>
      </w:r>
      <w:r w:rsidRPr="00B0618E">
        <w:fldChar w:fldCharType="separate"/>
      </w:r>
      <w:r w:rsidR="000B6FA5" w:rsidRPr="00B0618E">
        <w:t xml:space="preserve">Figure </w:t>
      </w:r>
      <w:r w:rsidR="000B6FA5">
        <w:rPr>
          <w:noProof/>
        </w:rPr>
        <w:t>5</w:t>
      </w:r>
      <w:r w:rsidR="000B6FA5">
        <w:rPr>
          <w:noProof/>
        </w:rPr>
        <w:noBreakHyphen/>
        <w:t>2</w:t>
      </w:r>
      <w:r w:rsidRPr="00B0618E">
        <w:fldChar w:fldCharType="end"/>
      </w:r>
      <w:r w:rsidRPr="00B0618E">
        <w:t>.</w:t>
      </w:r>
    </w:p>
    <w:p w14:paraId="666828DC" w14:textId="52CA5CCB" w:rsidR="00E17C09" w:rsidRPr="00B0618E" w:rsidRDefault="00E17C09" w:rsidP="00472E58">
      <w:pPr>
        <w:pStyle w:val="BodyText"/>
        <w:rPr>
          <w:color w:val="auto"/>
        </w:rPr>
      </w:pPr>
      <w:r w:rsidRPr="00B0618E">
        <w:t xml:space="preserve">The statistical robustness of results based on a sample size of 300 model runs were also again tested by recalculating the uncertainty (i.e., statistical spread) of model predictions. The uncertainties of the four modelled predictions are compared with respect to increasing sample size in </w:t>
      </w:r>
      <w:r w:rsidRPr="00B0618E">
        <w:fldChar w:fldCharType="begin"/>
      </w:r>
      <w:r w:rsidRPr="00B0618E">
        <w:instrText xml:space="preserve"> REF _Ref467686734 \h </w:instrText>
      </w:r>
      <w:r>
        <w:instrText xml:space="preserve"> \* MERGEFORMAT </w:instrText>
      </w:r>
      <w:r w:rsidRPr="00B0618E">
        <w:fldChar w:fldCharType="separate"/>
      </w:r>
      <w:r w:rsidR="000B6FA5" w:rsidRPr="00B0618E">
        <w:t xml:space="preserve">Figure </w:t>
      </w:r>
      <w:r w:rsidR="000B6FA5">
        <w:rPr>
          <w:noProof/>
        </w:rPr>
        <w:t>5</w:t>
      </w:r>
      <w:r w:rsidR="000B6FA5">
        <w:rPr>
          <w:noProof/>
        </w:rPr>
        <w:noBreakHyphen/>
        <w:t>3</w:t>
      </w:r>
      <w:r w:rsidRPr="00B0618E">
        <w:fldChar w:fldCharType="end"/>
      </w:r>
      <w:r w:rsidRPr="00B0618E">
        <w:t xml:space="preserve">. The uncertainties of all predictions was estimated consistently based on sample sizes greater than or equal to 200 model runs. As observed in the initial sensitivity analysis (Section </w:t>
      </w:r>
      <w:r w:rsidRPr="00B0618E">
        <w:fldChar w:fldCharType="begin"/>
      </w:r>
      <w:r w:rsidRPr="00B0618E">
        <w:instrText xml:space="preserve"> REF _Ref476296522 \r \h </w:instrText>
      </w:r>
      <w:r>
        <w:instrText xml:space="preserve"> \* MERGEFORMAT </w:instrText>
      </w:r>
      <w:r w:rsidRPr="00B0618E">
        <w:fldChar w:fldCharType="separate"/>
      </w:r>
      <w:r w:rsidR="000B6FA5">
        <w:t>3.4.6</w:t>
      </w:r>
      <w:r w:rsidRPr="00B0618E">
        <w:fldChar w:fldCharType="end"/>
      </w:r>
      <w:r w:rsidRPr="00B0618E">
        <w:t>),</w:t>
      </w:r>
      <w:r w:rsidRPr="00B0618E">
        <w:rPr>
          <w:color w:val="auto"/>
        </w:rPr>
        <w:t xml:space="preserve"> the statistical distributions of three of the four predictions were highly skewed. For the magnitude of maximum drawdown prediction (MXD), this was due to a large number of predictions less than one metre in magnitude. For the timing of maximum drawdown (tMXD), this was due to a total simulation time that was too short to capture peak drawdown conditions. For the prediction of the spatial extent of drawdown (NDD), this was due to a large number of model runs that did not feature drawdown ≥ 2m.</w:t>
      </w:r>
    </w:p>
    <w:p w14:paraId="6CA361B8" w14:textId="3658B50D" w:rsidR="004270F8" w:rsidRPr="00B0618E" w:rsidRDefault="00AA203C" w:rsidP="008E5D3E">
      <w:pPr>
        <w:pStyle w:val="BodyText"/>
        <w:keepNext/>
        <w:rPr>
          <w:b/>
          <w:color w:val="FF0000"/>
        </w:rPr>
      </w:pPr>
      <w:r>
        <w:rPr>
          <w:b/>
          <w:noProof/>
          <w:color w:val="FF0000"/>
        </w:rPr>
        <w:drawing>
          <wp:inline distT="0" distB="0" distL="0" distR="0" wp14:anchorId="2F668647" wp14:editId="4C9CA7A8">
            <wp:extent cx="5943600" cy="3303457"/>
            <wp:effectExtent l="0" t="0" r="0" b="0"/>
            <wp:docPr id="136" name="Picture 136" descr="Charts of sensitive rankings of ten parameters used in the model" title="Fig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OWS_FAM\Models\Version7_analysis\Plot_bootstrap_outputs_v02_071116_ranks.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6459" cy="3305046"/>
                    </a:xfrm>
                    <a:prstGeom prst="rect">
                      <a:avLst/>
                    </a:prstGeom>
                    <a:noFill/>
                    <a:ln>
                      <a:noFill/>
                    </a:ln>
                  </pic:spPr>
                </pic:pic>
              </a:graphicData>
            </a:graphic>
          </wp:inline>
        </w:drawing>
      </w:r>
    </w:p>
    <w:p w14:paraId="52E8BB11" w14:textId="699BFE54" w:rsidR="004270F8" w:rsidRPr="00B0618E" w:rsidRDefault="004270F8" w:rsidP="00994757">
      <w:pPr>
        <w:pStyle w:val="Caption"/>
      </w:pPr>
      <w:bookmarkStart w:id="119" w:name="_Ref467680132"/>
      <w:bookmarkStart w:id="120" w:name="_Ref467680129"/>
      <w:bookmarkStart w:id="121" w:name="_Toc482034922"/>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2</w:t>
      </w:r>
      <w:r w:rsidR="00A2085C">
        <w:rPr>
          <w:noProof/>
        </w:rPr>
        <w:fldChar w:fldCharType="end"/>
      </w:r>
      <w:bookmarkEnd w:id="119"/>
      <w:r w:rsidRPr="00B0618E">
        <w:t>.</w:t>
      </w:r>
      <w:bookmarkEnd w:id="120"/>
      <w:r w:rsidR="00023032" w:rsidRPr="00B0618E">
        <w:t xml:space="preserve"> </w:t>
      </w:r>
      <w:r w:rsidR="00F36BC9" w:rsidRPr="00B0618E">
        <w:t xml:space="preserve"> </w:t>
      </w:r>
      <w:r w:rsidR="00134AA3" w:rsidRPr="00B0618E">
        <w:t>Relative rankings of ten parameters used by the revised Gunnedah</w:t>
      </w:r>
      <w:r w:rsidR="000B1240">
        <w:t>-Surat</w:t>
      </w:r>
      <w:r w:rsidR="00134AA3" w:rsidRPr="00B0618E">
        <w:t xml:space="preserve"> </w:t>
      </w:r>
      <w:r w:rsidR="000B1240">
        <w:t>b</w:t>
      </w:r>
      <w:r w:rsidR="00134AA3" w:rsidRPr="00B0618E">
        <w:t>asin</w:t>
      </w:r>
      <w:r w:rsidR="000B1240">
        <w:t>s</w:t>
      </w:r>
      <w:r w:rsidR="00134AA3" w:rsidRPr="00B0618E">
        <w:t xml:space="preserve"> groundwater flow model (red, blue, green; others shown in grey) to which predictions relating to the Pilliga Sandstone aquifer were most sensitive: (a) maximum drawdown (MXD); (b) </w:t>
      </w:r>
      <w:r w:rsidR="00C47DDD" w:rsidRPr="00B0618E">
        <w:t xml:space="preserve">time elapsed at which maximum drawdown occurred (tMXD); </w:t>
      </w:r>
      <w:r w:rsidR="00134AA3" w:rsidRPr="00B0618E">
        <w:t xml:space="preserve">(c) </w:t>
      </w:r>
      <w:r w:rsidR="00C47DDD" w:rsidRPr="00B0618E">
        <w:t xml:space="preserve">number of model cells at which drawdown exceeded two metres (NDD); </w:t>
      </w:r>
      <w:r w:rsidR="00134AA3" w:rsidRPr="00B0618E">
        <w:t>and (d)</w:t>
      </w:r>
      <w:r w:rsidR="00C47DDD" w:rsidRPr="00B0618E">
        <w:t xml:space="preserve"> maximum change in vertical flux (MXQ)</w:t>
      </w:r>
      <w:r w:rsidR="00134AA3" w:rsidRPr="00B0618E">
        <w:t>. Parameter rankings were based on two global sensitivity analysis metrics: (a) the Delta Moment-Independent Measure (</w:t>
      </w:r>
      <w:r w:rsidR="00C82F89" w:rsidRPr="00B0618E">
        <w:t>Plischke et al., 2013</w:t>
      </w:r>
      <w:r w:rsidR="00134AA3" w:rsidRPr="00B0618E">
        <w:t xml:space="preserve">) and (b) the first order Sobol’ metric (Sobol’, 2001). Parameters identified are discussed in Section </w:t>
      </w:r>
      <w:r w:rsidR="00134AA3" w:rsidRPr="00B0618E">
        <w:fldChar w:fldCharType="begin"/>
      </w:r>
      <w:r w:rsidR="00134AA3" w:rsidRPr="00B0618E">
        <w:instrText xml:space="preserve"> REF _Ref469488911 \r \h </w:instrText>
      </w:r>
      <w:r w:rsidR="00B0618E">
        <w:instrText xml:space="preserve"> \* MERGEFORMAT </w:instrText>
      </w:r>
      <w:r w:rsidR="00134AA3" w:rsidRPr="00B0618E">
        <w:fldChar w:fldCharType="separate"/>
      </w:r>
      <w:r w:rsidR="000B6FA5">
        <w:t>5.2</w:t>
      </w:r>
      <w:r w:rsidR="00134AA3" w:rsidRPr="00B0618E">
        <w:fldChar w:fldCharType="end"/>
      </w:r>
      <w:r w:rsidR="00134AA3" w:rsidRPr="00B0618E">
        <w:t>.</w:t>
      </w:r>
      <w:bookmarkEnd w:id="121"/>
    </w:p>
    <w:p w14:paraId="33F55CF4" w14:textId="77777777" w:rsidR="004270F8" w:rsidRPr="00B0618E" w:rsidRDefault="00C17370" w:rsidP="008E5D3E">
      <w:pPr>
        <w:pStyle w:val="BodyText"/>
        <w:keepNext/>
        <w:rPr>
          <w:b/>
          <w:color w:val="FF0000"/>
        </w:rPr>
      </w:pPr>
      <w:r w:rsidRPr="00B0618E">
        <w:rPr>
          <w:b/>
          <w:noProof/>
          <w:color w:val="FF0000"/>
        </w:rPr>
        <w:drawing>
          <wp:inline distT="0" distB="0" distL="0" distR="0" wp14:anchorId="059DA7CC" wp14:editId="75FB6455">
            <wp:extent cx="6021906" cy="2004646"/>
            <wp:effectExtent l="0" t="0" r="0" b="0"/>
            <wp:docPr id="89" name="Picture 89" descr="Y:\OWS_FAM\Models\Version7_analysis\Plot_bootstrap_outputs_v01B_160217_predun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OWS_FAM\Models\Version7_analysis\Plot_bootstrap_outputs_v01B_160217_predunc.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32952" cy="2008323"/>
                    </a:xfrm>
                    <a:prstGeom prst="rect">
                      <a:avLst/>
                    </a:prstGeom>
                    <a:noFill/>
                    <a:ln>
                      <a:noFill/>
                    </a:ln>
                  </pic:spPr>
                </pic:pic>
              </a:graphicData>
            </a:graphic>
          </wp:inline>
        </w:drawing>
      </w:r>
    </w:p>
    <w:p w14:paraId="66FBBD60" w14:textId="2078D1DB" w:rsidR="004270F8" w:rsidRPr="00B0618E" w:rsidRDefault="004270F8" w:rsidP="00994757">
      <w:pPr>
        <w:pStyle w:val="Caption"/>
      </w:pPr>
      <w:bookmarkStart w:id="122" w:name="_Ref467686734"/>
      <w:bookmarkStart w:id="123" w:name="_Toc482034923"/>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3</w:t>
      </w:r>
      <w:r w:rsidR="00A2085C">
        <w:rPr>
          <w:noProof/>
        </w:rPr>
        <w:fldChar w:fldCharType="end"/>
      </w:r>
      <w:bookmarkEnd w:id="122"/>
      <w:r w:rsidRPr="00B0618E">
        <w:t>.</w:t>
      </w:r>
      <w:r w:rsidR="00F36BC9" w:rsidRPr="00B0618E">
        <w:t xml:space="preserve"> </w:t>
      </w:r>
      <w:r w:rsidR="00134AA3" w:rsidRPr="00B0618E">
        <w:t xml:space="preserve">Statistical distributions of four predictions relating to the Pilliga Sandstone aquifer and simulated using the revised Gunnedah Basin groundwater flow model: (a) maximum drawdown (MXD); (b) </w:t>
      </w:r>
      <w:r w:rsidR="00C47DDD" w:rsidRPr="00B0618E">
        <w:t xml:space="preserve">time elapsed at which maximum drawdown occurred (tMXD); (c) number of model cells at which drawdown exceeded two metres (NDD); and (d) </w:t>
      </w:r>
      <w:r w:rsidR="00134AA3" w:rsidRPr="00B0618E">
        <w:t>maximum vertical flux (MXQ).</w:t>
      </w:r>
      <w:bookmarkEnd w:id="123"/>
      <w:r w:rsidR="00134AA3" w:rsidRPr="00B0618E">
        <w:t xml:space="preserve"> </w:t>
      </w:r>
    </w:p>
    <w:p w14:paraId="629D09AE" w14:textId="4CF3A286" w:rsidR="009C2963" w:rsidRPr="00B0618E" w:rsidRDefault="0034157C" w:rsidP="005071A4">
      <w:pPr>
        <w:pStyle w:val="Heading2"/>
      </w:pPr>
      <w:bookmarkStart w:id="124" w:name="_Ref469488911"/>
      <w:bookmarkStart w:id="125" w:name="_Toc483127581"/>
      <w:r w:rsidRPr="00B0618E">
        <w:t>Prediction s</w:t>
      </w:r>
      <w:r w:rsidR="005071A4" w:rsidRPr="00B0618E">
        <w:t xml:space="preserve">ensitivity analysis </w:t>
      </w:r>
      <w:r w:rsidR="00AE013E" w:rsidRPr="00B0618E">
        <w:t>–</w:t>
      </w:r>
      <w:r w:rsidR="005071A4" w:rsidRPr="00B0618E">
        <w:t xml:space="preserve"> </w:t>
      </w:r>
      <w:r w:rsidR="009C2963" w:rsidRPr="00B0618E">
        <w:t>Results</w:t>
      </w:r>
      <w:bookmarkEnd w:id="124"/>
      <w:r w:rsidR="00AE013E" w:rsidRPr="00B0618E">
        <w:t xml:space="preserve"> and Discussion</w:t>
      </w:r>
      <w:bookmarkEnd w:id="125"/>
    </w:p>
    <w:p w14:paraId="3D893114" w14:textId="269232AB" w:rsidR="003C0F40" w:rsidRPr="00B0618E" w:rsidRDefault="003C0F40" w:rsidP="003C0F40">
      <w:pPr>
        <w:pStyle w:val="BodyText"/>
      </w:pPr>
      <w:r w:rsidRPr="00B0618E">
        <w:t xml:space="preserve">A full set of qualitative results (i.e., scatterplots) and quantitative results (i.e., </w:t>
      </w:r>
      <w:r w:rsidR="00C82F89" w:rsidRPr="00B0618E">
        <w:t>DMIM</w:t>
      </w:r>
      <w:r w:rsidRPr="00B0618E">
        <w:t xml:space="preserve"> </w:t>
      </w:r>
      <w:r w:rsidR="005C3666">
        <w:rPr>
          <w:i/>
        </w:rPr>
        <w:t>δ</w:t>
      </w:r>
      <w:r w:rsidR="00301E58" w:rsidRPr="00B0618E">
        <w:rPr>
          <w:i/>
        </w:rPr>
        <w:t xml:space="preserve"> </w:t>
      </w:r>
      <w:r w:rsidRPr="00B0618E">
        <w:t xml:space="preserve">and Sobol’ </w:t>
      </w:r>
      <w:r w:rsidRPr="00B0618E">
        <w:rPr>
          <w:i/>
        </w:rPr>
        <w:t>S</w:t>
      </w:r>
      <w:r w:rsidRPr="00B0618E">
        <w:rPr>
          <w:vertAlign w:val="subscript"/>
        </w:rPr>
        <w:t>1</w:t>
      </w:r>
      <w:r w:rsidRPr="00B0618E">
        <w:t xml:space="preserve"> metric values and associated relative rankings) of global prediction sensitivity analyses using the revised </w:t>
      </w:r>
      <w:r w:rsidR="00045A85">
        <w:t>CDM Smith (2016)</w:t>
      </w:r>
      <w:r w:rsidR="00E253E9" w:rsidRPr="00B0618E">
        <w:t xml:space="preserve"> </w:t>
      </w:r>
      <w:r w:rsidRPr="00B0618E">
        <w:t>model are presented in the accompanying Appendix. Key results, in terms of parameters to which predictions were found to be most sensitive, are summarised as follows.</w:t>
      </w:r>
    </w:p>
    <w:p w14:paraId="532C9013" w14:textId="3C72ED45" w:rsidR="004E5193" w:rsidRPr="00B0618E" w:rsidRDefault="004E5193" w:rsidP="004E5193">
      <w:pPr>
        <w:pStyle w:val="Heading3"/>
      </w:pPr>
      <w:r w:rsidRPr="00B0618E">
        <w:t xml:space="preserve">Prediction </w:t>
      </w:r>
      <w:r w:rsidR="002659FB">
        <w:t xml:space="preserve">metric </w:t>
      </w:r>
      <w:r w:rsidRPr="00B0618E">
        <w:t xml:space="preserve">1: Maximum drawdown </w:t>
      </w:r>
    </w:p>
    <w:p w14:paraId="6FA01180" w14:textId="7E5B9970" w:rsidR="007659AE" w:rsidRPr="00B0618E" w:rsidRDefault="003C0F40" w:rsidP="003C0F40">
      <w:pPr>
        <w:pStyle w:val="BodyText"/>
        <w:rPr>
          <w:color w:val="auto"/>
        </w:rPr>
      </w:pPr>
      <w:r w:rsidRPr="00B0618E">
        <w:t xml:space="preserve">The prediction of maximum drawdown was </w:t>
      </w:r>
      <w:r w:rsidR="00EF358E" w:rsidRPr="00B0618E">
        <w:t xml:space="preserve">again </w:t>
      </w:r>
      <w:r w:rsidRPr="00B0618E">
        <w:t xml:space="preserve">found to be most sensitive to the </w:t>
      </w:r>
      <w:r w:rsidR="001665FC" w:rsidRPr="00B0618E">
        <w:t xml:space="preserve">horizontal </w:t>
      </w:r>
      <w:r w:rsidRPr="00B0618E">
        <w:rPr>
          <w:i/>
        </w:rPr>
        <w:t>K</w:t>
      </w:r>
      <w:r w:rsidRPr="00B0618E">
        <w:t xml:space="preserve"> of the </w:t>
      </w:r>
      <w:r w:rsidRPr="00B0618E">
        <w:rPr>
          <w:color w:val="auto"/>
        </w:rPr>
        <w:t>Namoi Alluvium aquifer</w:t>
      </w:r>
      <w:r w:rsidR="00E36B4D">
        <w:rPr>
          <w:color w:val="auto"/>
        </w:rPr>
        <w:t xml:space="preserve"> (</w:t>
      </w:r>
      <w:r w:rsidR="00E36B4D" w:rsidRPr="00B0618E">
        <w:rPr>
          <w:i/>
          <w:color w:val="auto"/>
        </w:rPr>
        <w:t>K</w:t>
      </w:r>
      <w:r w:rsidR="00E36B4D" w:rsidRPr="00B0618E">
        <w:rPr>
          <w:i/>
          <w:color w:val="auto"/>
          <w:vertAlign w:val="subscript"/>
        </w:rPr>
        <w:t>H</w:t>
      </w:r>
      <w:r w:rsidR="00E36B4D" w:rsidRPr="00B0618E">
        <w:rPr>
          <w:color w:val="auto"/>
        </w:rPr>
        <w:t>01</w:t>
      </w:r>
      <w:r w:rsidR="00E36B4D">
        <w:rPr>
          <w:color w:val="auto"/>
        </w:rPr>
        <w:t>)</w:t>
      </w:r>
      <w:r w:rsidRPr="00B0618E">
        <w:t xml:space="preserve">, which was consistently ranked as the most influential parameter with </w:t>
      </w:r>
      <w:r w:rsidRPr="00B0618E">
        <w:rPr>
          <w:color w:val="auto"/>
        </w:rPr>
        <w:t xml:space="preserve">increasing sample size </w:t>
      </w:r>
      <w:r w:rsidR="00573CDD" w:rsidRPr="00B0618E">
        <w:rPr>
          <w:color w:val="auto"/>
        </w:rPr>
        <w:t>(</w:t>
      </w:r>
      <w:r w:rsidR="00573CDD" w:rsidRPr="00B0618E">
        <w:rPr>
          <w:color w:val="auto"/>
        </w:rPr>
        <w:fldChar w:fldCharType="begin"/>
      </w:r>
      <w:r w:rsidR="00573CDD" w:rsidRPr="00B0618E">
        <w:rPr>
          <w:color w:val="auto"/>
        </w:rPr>
        <w:instrText xml:space="preserve"> REF _Ref477379443 \h </w:instrText>
      </w:r>
      <w:r w:rsidR="00B0618E">
        <w:rPr>
          <w:color w:val="auto"/>
        </w:rPr>
        <w:instrText xml:space="preserve"> \* MERGEFORMAT </w:instrText>
      </w:r>
      <w:r w:rsidR="00573CDD" w:rsidRPr="00B0618E">
        <w:rPr>
          <w:color w:val="auto"/>
        </w:rPr>
      </w:r>
      <w:r w:rsidR="00573CDD" w:rsidRPr="00B0618E">
        <w:rPr>
          <w:color w:val="auto"/>
        </w:rPr>
        <w:fldChar w:fldCharType="separate"/>
      </w:r>
      <w:r w:rsidR="000B6FA5" w:rsidRPr="00B0618E">
        <w:t xml:space="preserve">Figure </w:t>
      </w:r>
      <w:r w:rsidR="000B6FA5">
        <w:rPr>
          <w:noProof/>
        </w:rPr>
        <w:t>5</w:t>
      </w:r>
      <w:r w:rsidR="000B6FA5">
        <w:rPr>
          <w:noProof/>
        </w:rPr>
        <w:noBreakHyphen/>
        <w:t>4</w:t>
      </w:r>
      <w:r w:rsidR="00573CDD" w:rsidRPr="00B0618E">
        <w:rPr>
          <w:color w:val="auto"/>
        </w:rPr>
        <w:fldChar w:fldCharType="end"/>
      </w:r>
      <w:r w:rsidR="00573CDD" w:rsidRPr="00B0618E">
        <w:rPr>
          <w:color w:val="auto"/>
        </w:rPr>
        <w:t>)</w:t>
      </w:r>
      <w:r w:rsidR="00E36B4D">
        <w:rPr>
          <w:color w:val="auto"/>
        </w:rPr>
        <w:t xml:space="preserve">. The </w:t>
      </w:r>
      <w:r w:rsidR="00E36B4D" w:rsidRPr="00B0618E">
        <w:rPr>
          <w:i/>
          <w:color w:val="auto"/>
        </w:rPr>
        <w:t>K</w:t>
      </w:r>
      <w:r w:rsidR="00E36B4D" w:rsidRPr="00B0618E">
        <w:rPr>
          <w:i/>
          <w:color w:val="auto"/>
          <w:vertAlign w:val="subscript"/>
        </w:rPr>
        <w:t>H</w:t>
      </w:r>
      <w:r w:rsidR="00E36B4D" w:rsidRPr="00B0618E">
        <w:rPr>
          <w:color w:val="auto"/>
        </w:rPr>
        <w:t>01</w:t>
      </w:r>
      <w:r w:rsidR="00E36B4D">
        <w:rPr>
          <w:color w:val="auto"/>
        </w:rPr>
        <w:t xml:space="preserve"> parameter </w:t>
      </w:r>
      <w:r w:rsidRPr="00B0618E">
        <w:rPr>
          <w:color w:val="auto"/>
        </w:rPr>
        <w:t xml:space="preserve">prediction was also </w:t>
      </w:r>
      <w:r w:rsidR="00E36B4D">
        <w:rPr>
          <w:color w:val="auto"/>
        </w:rPr>
        <w:t xml:space="preserve">showing significantly larger values for the </w:t>
      </w:r>
      <w:r w:rsidR="005C3666">
        <w:rPr>
          <w:i/>
          <w:color w:val="auto"/>
        </w:rPr>
        <w:t>δ</w:t>
      </w:r>
      <w:r w:rsidR="00E36B4D">
        <w:rPr>
          <w:i/>
          <w:color w:val="auto"/>
        </w:rPr>
        <w:t xml:space="preserve"> </w:t>
      </w:r>
      <w:r w:rsidR="00E36B4D" w:rsidRPr="00E36B4D">
        <w:rPr>
          <w:color w:val="auto"/>
        </w:rPr>
        <w:t>and</w:t>
      </w:r>
      <w:r w:rsidR="00E36B4D" w:rsidRPr="00B0618E">
        <w:rPr>
          <w:color w:val="auto"/>
        </w:rPr>
        <w:t xml:space="preserve"> </w:t>
      </w:r>
      <w:r w:rsidR="00E36B4D" w:rsidRPr="00B0618E">
        <w:rPr>
          <w:i/>
          <w:color w:val="auto"/>
        </w:rPr>
        <w:t>S</w:t>
      </w:r>
      <w:r w:rsidR="00E36B4D" w:rsidRPr="00B0618E">
        <w:rPr>
          <w:color w:val="auto"/>
          <w:vertAlign w:val="subscript"/>
        </w:rPr>
        <w:t>1</w:t>
      </w:r>
      <w:r w:rsidR="00E36B4D">
        <w:rPr>
          <w:color w:val="auto"/>
          <w:vertAlign w:val="subscript"/>
        </w:rPr>
        <w:t xml:space="preserve"> </w:t>
      </w:r>
      <w:r w:rsidR="00E36B4D" w:rsidRPr="00E36B4D">
        <w:rPr>
          <w:color w:val="auto"/>
        </w:rPr>
        <w:t>parameter (</w:t>
      </w:r>
      <w:r w:rsidR="005C3666">
        <w:rPr>
          <w:i/>
          <w:color w:val="auto"/>
        </w:rPr>
        <w:t>δ</w:t>
      </w:r>
      <w:r w:rsidR="00E36B4D" w:rsidRPr="00B0618E">
        <w:rPr>
          <w:color w:val="auto"/>
        </w:rPr>
        <w:t>=0.268</w:t>
      </w:r>
      <w:r w:rsidR="00E36B4D">
        <w:rPr>
          <w:color w:val="auto"/>
        </w:rPr>
        <w:t xml:space="preserve"> and</w:t>
      </w:r>
      <w:r w:rsidR="00E36B4D" w:rsidRPr="00B0618E">
        <w:rPr>
          <w:color w:val="auto"/>
        </w:rPr>
        <w:t xml:space="preserve"> </w:t>
      </w:r>
      <w:r w:rsidR="00E36B4D" w:rsidRPr="00B0618E">
        <w:rPr>
          <w:i/>
          <w:color w:val="auto"/>
        </w:rPr>
        <w:t>S</w:t>
      </w:r>
      <w:r w:rsidR="00E36B4D" w:rsidRPr="00B0618E">
        <w:rPr>
          <w:color w:val="auto"/>
          <w:vertAlign w:val="subscript"/>
        </w:rPr>
        <w:t>1</w:t>
      </w:r>
      <w:r w:rsidR="00E36B4D" w:rsidRPr="00B0618E">
        <w:rPr>
          <w:color w:val="auto"/>
        </w:rPr>
        <w:t>=0.504)</w:t>
      </w:r>
      <w:r w:rsidR="00E36B4D">
        <w:rPr>
          <w:color w:val="auto"/>
        </w:rPr>
        <w:t xml:space="preserve"> compared to all other model parameters (</w:t>
      </w:r>
      <w:r w:rsidR="00E36B4D">
        <w:rPr>
          <w:color w:val="auto"/>
        </w:rPr>
        <w:fldChar w:fldCharType="begin"/>
      </w:r>
      <w:r w:rsidR="00E36B4D">
        <w:rPr>
          <w:color w:val="auto"/>
        </w:rPr>
        <w:instrText xml:space="preserve"> REF _Ref479530914 \h </w:instrText>
      </w:r>
      <w:r w:rsidR="00E36B4D">
        <w:rPr>
          <w:color w:val="auto"/>
        </w:rPr>
      </w:r>
      <w:r w:rsidR="00E36B4D">
        <w:rPr>
          <w:color w:val="auto"/>
        </w:rPr>
        <w:fldChar w:fldCharType="separate"/>
      </w:r>
      <w:r w:rsidR="000B6FA5">
        <w:t xml:space="preserve">Figure </w:t>
      </w:r>
      <w:r w:rsidR="000B6FA5">
        <w:rPr>
          <w:noProof/>
        </w:rPr>
        <w:t>5</w:t>
      </w:r>
      <w:r w:rsidR="000B6FA5">
        <w:noBreakHyphen/>
      </w:r>
      <w:r w:rsidR="000B6FA5">
        <w:rPr>
          <w:noProof/>
        </w:rPr>
        <w:t>5</w:t>
      </w:r>
      <w:r w:rsidR="00E36B4D">
        <w:rPr>
          <w:color w:val="auto"/>
        </w:rPr>
        <w:fldChar w:fldCharType="end"/>
      </w:r>
      <w:r w:rsidR="00E36B4D">
        <w:rPr>
          <w:color w:val="auto"/>
        </w:rPr>
        <w:t>).</w:t>
      </w:r>
      <w:r w:rsidR="00E36B4D" w:rsidRPr="00B0618E">
        <w:rPr>
          <w:color w:val="auto"/>
        </w:rPr>
        <w:t xml:space="preserve"> </w:t>
      </w:r>
      <w:r w:rsidR="005567A1">
        <w:t xml:space="preserve">For interpretation of this result with regards to the structure of the groundwater flow model, see Section </w:t>
      </w:r>
      <w:r w:rsidR="005567A1">
        <w:fldChar w:fldCharType="begin"/>
      </w:r>
      <w:r w:rsidR="005567A1">
        <w:instrText xml:space="preserve"> REF _Ref476231200 \r \h </w:instrText>
      </w:r>
      <w:r w:rsidR="005567A1">
        <w:fldChar w:fldCharType="separate"/>
      </w:r>
      <w:r w:rsidR="000B6FA5">
        <w:t>3.5.1</w:t>
      </w:r>
      <w:r w:rsidR="005567A1">
        <w:fldChar w:fldCharType="end"/>
      </w:r>
      <w:r w:rsidR="005567A1">
        <w:t xml:space="preserve">. </w:t>
      </w:r>
      <w:r w:rsidR="00E36B4D">
        <w:rPr>
          <w:color w:val="auto"/>
        </w:rPr>
        <w:t xml:space="preserve">Maximum drawdown was </w:t>
      </w:r>
      <w:r w:rsidR="007659AE" w:rsidRPr="00B0618E">
        <w:rPr>
          <w:color w:val="auto"/>
        </w:rPr>
        <w:t xml:space="preserve">again </w:t>
      </w:r>
      <w:r w:rsidRPr="00B0618E">
        <w:rPr>
          <w:color w:val="auto"/>
        </w:rPr>
        <w:t xml:space="preserve">found to be sensitive to </w:t>
      </w:r>
      <w:r w:rsidR="001665FC" w:rsidRPr="00B0618E">
        <w:rPr>
          <w:color w:val="auto"/>
        </w:rPr>
        <w:t xml:space="preserve">the vertical </w:t>
      </w:r>
      <w:r w:rsidR="001665FC" w:rsidRPr="00B0618E">
        <w:rPr>
          <w:i/>
          <w:color w:val="auto"/>
        </w:rPr>
        <w:t>K</w:t>
      </w:r>
      <w:r w:rsidR="001665FC" w:rsidRPr="00B0618E">
        <w:rPr>
          <w:color w:val="auto"/>
        </w:rPr>
        <w:t xml:space="preserve"> of the upper aquitard sequence</w:t>
      </w:r>
      <w:r w:rsidR="00E36B4D">
        <w:rPr>
          <w:color w:val="auto"/>
        </w:rPr>
        <w:t>,</w:t>
      </w:r>
      <w:r w:rsidR="001665FC" w:rsidRPr="00B0618E">
        <w:rPr>
          <w:color w:val="auto"/>
        </w:rPr>
        <w:t xml:space="preserve"> </w:t>
      </w:r>
      <w:r w:rsidR="00EF358E" w:rsidRPr="00B0618E">
        <w:rPr>
          <w:i/>
          <w:color w:val="auto"/>
        </w:rPr>
        <w:t>K</w:t>
      </w:r>
      <w:r w:rsidR="003B53CD" w:rsidRPr="00B0618E">
        <w:rPr>
          <w:i/>
          <w:color w:val="auto"/>
          <w:vertAlign w:val="subscript"/>
        </w:rPr>
        <w:t>V</w:t>
      </w:r>
      <w:r w:rsidR="00EF358E" w:rsidRPr="00B0618E">
        <w:rPr>
          <w:color w:val="auto"/>
        </w:rPr>
        <w:t>05</w:t>
      </w:r>
      <w:r w:rsidR="00E36B4D">
        <w:rPr>
          <w:color w:val="auto"/>
        </w:rPr>
        <w:t xml:space="preserve"> (</w:t>
      </w:r>
      <w:r w:rsidR="00E36B4D" w:rsidRPr="00B0618E">
        <w:rPr>
          <w:color w:val="auto"/>
        </w:rPr>
        <w:fldChar w:fldCharType="begin"/>
      </w:r>
      <w:r w:rsidR="00E36B4D" w:rsidRPr="00B0618E">
        <w:rPr>
          <w:color w:val="auto"/>
        </w:rPr>
        <w:instrText xml:space="preserve"> REF _Ref477379443 \h </w:instrText>
      </w:r>
      <w:r w:rsidR="00E36B4D">
        <w:rPr>
          <w:color w:val="auto"/>
        </w:rPr>
        <w:instrText xml:space="preserve"> \* MERGEFORMAT </w:instrText>
      </w:r>
      <w:r w:rsidR="00E36B4D" w:rsidRPr="00B0618E">
        <w:rPr>
          <w:color w:val="auto"/>
        </w:rPr>
      </w:r>
      <w:r w:rsidR="00E36B4D" w:rsidRPr="00B0618E">
        <w:rPr>
          <w:color w:val="auto"/>
        </w:rPr>
        <w:fldChar w:fldCharType="separate"/>
      </w:r>
      <w:r w:rsidR="000B6FA5" w:rsidRPr="00B0618E">
        <w:t xml:space="preserve">Figure </w:t>
      </w:r>
      <w:r w:rsidR="000B6FA5">
        <w:rPr>
          <w:noProof/>
        </w:rPr>
        <w:t>5</w:t>
      </w:r>
      <w:r w:rsidR="000B6FA5">
        <w:rPr>
          <w:noProof/>
        </w:rPr>
        <w:noBreakHyphen/>
        <w:t>4</w:t>
      </w:r>
      <w:r w:rsidR="00E36B4D" w:rsidRPr="00B0618E">
        <w:rPr>
          <w:color w:val="auto"/>
        </w:rPr>
        <w:fldChar w:fldCharType="end"/>
      </w:r>
      <w:r w:rsidR="00E36B4D">
        <w:rPr>
          <w:color w:val="auto"/>
        </w:rPr>
        <w:t>)</w:t>
      </w:r>
      <w:r w:rsidR="0059013D">
        <w:rPr>
          <w:color w:val="auto"/>
        </w:rPr>
        <w:t>, with magnitudes</w:t>
      </w:r>
      <w:r w:rsidR="00E36B4D">
        <w:rPr>
          <w:color w:val="auto"/>
        </w:rPr>
        <w:t xml:space="preserve"> </w:t>
      </w:r>
      <w:r w:rsidR="005C3666">
        <w:rPr>
          <w:i/>
          <w:color w:val="auto"/>
        </w:rPr>
        <w:t>δ</w:t>
      </w:r>
      <w:r w:rsidRPr="00B0618E">
        <w:rPr>
          <w:color w:val="auto"/>
        </w:rPr>
        <w:t>=0.</w:t>
      </w:r>
      <w:r w:rsidR="002252DA" w:rsidRPr="00B0618E">
        <w:rPr>
          <w:color w:val="auto"/>
        </w:rPr>
        <w:t>152</w:t>
      </w:r>
      <w:r w:rsidRPr="00B0618E">
        <w:rPr>
          <w:color w:val="auto"/>
        </w:rPr>
        <w:t xml:space="preserve">, </w:t>
      </w:r>
      <w:r w:rsidRPr="00B0618E">
        <w:rPr>
          <w:i/>
          <w:color w:val="auto"/>
        </w:rPr>
        <w:t>S</w:t>
      </w:r>
      <w:r w:rsidRPr="00B0618E">
        <w:rPr>
          <w:color w:val="auto"/>
          <w:vertAlign w:val="subscript"/>
        </w:rPr>
        <w:t>1</w:t>
      </w:r>
      <w:r w:rsidRPr="00B0618E">
        <w:rPr>
          <w:color w:val="auto"/>
        </w:rPr>
        <w:t>=0.</w:t>
      </w:r>
      <w:r w:rsidR="002252DA" w:rsidRPr="00B0618E">
        <w:rPr>
          <w:color w:val="auto"/>
        </w:rPr>
        <w:t>119</w:t>
      </w:r>
      <w:r w:rsidR="00573CDD" w:rsidRPr="00B0618E">
        <w:rPr>
          <w:color w:val="auto"/>
        </w:rPr>
        <w:t>)</w:t>
      </w:r>
      <w:r w:rsidR="0059013D">
        <w:rPr>
          <w:color w:val="auto"/>
        </w:rPr>
        <w:t xml:space="preserve"> (</w:t>
      </w:r>
      <w:r w:rsidR="0059013D">
        <w:rPr>
          <w:color w:val="auto"/>
        </w:rPr>
        <w:fldChar w:fldCharType="begin"/>
      </w:r>
      <w:r w:rsidR="0059013D">
        <w:rPr>
          <w:color w:val="auto"/>
        </w:rPr>
        <w:instrText xml:space="preserve"> REF _Ref479530914 \h </w:instrText>
      </w:r>
      <w:r w:rsidR="0059013D">
        <w:rPr>
          <w:color w:val="auto"/>
        </w:rPr>
      </w:r>
      <w:r w:rsidR="0059013D">
        <w:rPr>
          <w:color w:val="auto"/>
        </w:rPr>
        <w:fldChar w:fldCharType="separate"/>
      </w:r>
      <w:r w:rsidR="000B6FA5">
        <w:t xml:space="preserve">Figure </w:t>
      </w:r>
      <w:r w:rsidR="000B6FA5">
        <w:rPr>
          <w:noProof/>
        </w:rPr>
        <w:t>5</w:t>
      </w:r>
      <w:r w:rsidR="000B6FA5">
        <w:noBreakHyphen/>
      </w:r>
      <w:r w:rsidR="000B6FA5">
        <w:rPr>
          <w:noProof/>
        </w:rPr>
        <w:t>5</w:t>
      </w:r>
      <w:r w:rsidR="0059013D">
        <w:rPr>
          <w:color w:val="auto"/>
        </w:rPr>
        <w:fldChar w:fldCharType="end"/>
      </w:r>
      <w:r w:rsidR="00573CDD" w:rsidRPr="00B0618E">
        <w:rPr>
          <w:color w:val="auto"/>
        </w:rPr>
        <w:t>)</w:t>
      </w:r>
      <w:r w:rsidRPr="00B0618E">
        <w:rPr>
          <w:color w:val="auto"/>
        </w:rPr>
        <w:t xml:space="preserve">. </w:t>
      </w:r>
      <w:r w:rsidR="000B1240">
        <w:rPr>
          <w:color w:val="auto"/>
        </w:rPr>
        <w:t xml:space="preserve">This prediction was also found to be sensitive to the horizontal </w:t>
      </w:r>
      <w:r w:rsidR="000B1240" w:rsidRPr="00AA5CA6">
        <w:rPr>
          <w:i/>
          <w:color w:val="auto"/>
        </w:rPr>
        <w:t>K</w:t>
      </w:r>
      <w:r w:rsidR="000B1240">
        <w:rPr>
          <w:color w:val="auto"/>
        </w:rPr>
        <w:t xml:space="preserve"> of the Blythesdale Group aquifer (</w:t>
      </w:r>
      <w:r w:rsidR="000B1240" w:rsidRPr="00B0618E">
        <w:rPr>
          <w:i/>
          <w:color w:val="auto"/>
        </w:rPr>
        <w:t>K</w:t>
      </w:r>
      <w:r w:rsidR="000B1240" w:rsidRPr="00B0618E">
        <w:rPr>
          <w:i/>
          <w:color w:val="auto"/>
          <w:vertAlign w:val="subscript"/>
        </w:rPr>
        <w:t>H</w:t>
      </w:r>
      <w:r w:rsidR="000B1240">
        <w:rPr>
          <w:color w:val="auto"/>
        </w:rPr>
        <w:t>03).</w:t>
      </w:r>
    </w:p>
    <w:p w14:paraId="3A6E7697" w14:textId="68350D8F" w:rsidR="008F34AF" w:rsidRPr="00B0618E" w:rsidRDefault="00DC4D6D" w:rsidP="008E5D3E">
      <w:pPr>
        <w:pStyle w:val="BodyText"/>
        <w:keepNext/>
        <w:rPr>
          <w:color w:val="FF0000"/>
        </w:rPr>
      </w:pPr>
      <w:r>
        <w:rPr>
          <w:noProof/>
          <w:color w:val="FF0000"/>
        </w:rPr>
        <w:drawing>
          <wp:inline distT="0" distB="0" distL="0" distR="0" wp14:anchorId="0BDE7080" wp14:editId="22A50A23">
            <wp:extent cx="5758180" cy="2879090"/>
            <wp:effectExtent l="0" t="0" r="0" b="0"/>
            <wp:docPr id="137" name="Picture 137" descr="Charts of sensitive rankings of ten parameters used in the model" title="Fig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OWS_FAM\Models\Version7_analysis\Plot_bootstrap_outputs_v03_160217_ranks_MXD.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8180" cy="2879090"/>
                    </a:xfrm>
                    <a:prstGeom prst="rect">
                      <a:avLst/>
                    </a:prstGeom>
                    <a:noFill/>
                    <a:ln>
                      <a:noFill/>
                    </a:ln>
                  </pic:spPr>
                </pic:pic>
              </a:graphicData>
            </a:graphic>
          </wp:inline>
        </w:drawing>
      </w:r>
    </w:p>
    <w:p w14:paraId="3AC85134" w14:textId="6711E943" w:rsidR="008F34AF" w:rsidRDefault="008F34AF" w:rsidP="008F34AF">
      <w:pPr>
        <w:pStyle w:val="Caption"/>
      </w:pPr>
      <w:bookmarkStart w:id="126" w:name="_Ref477379443"/>
      <w:bookmarkStart w:id="127" w:name="_Toc482034924"/>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4</w:t>
      </w:r>
      <w:r w:rsidR="00A2085C">
        <w:rPr>
          <w:noProof/>
        </w:rPr>
        <w:fldChar w:fldCharType="end"/>
      </w:r>
      <w:bookmarkEnd w:id="126"/>
      <w:r w:rsidRPr="00B0618E">
        <w:t xml:space="preserve">. </w:t>
      </w:r>
      <w:r w:rsidR="00DD64D3" w:rsidRPr="00B0618E">
        <w:t>Relative rankings of ten parameters used by the revised Gunnedah</w:t>
      </w:r>
      <w:r w:rsidR="000B1240">
        <w:t>-Surat</w:t>
      </w:r>
      <w:r w:rsidR="00DD64D3" w:rsidRPr="00B0618E">
        <w:t xml:space="preserve"> </w:t>
      </w:r>
      <w:r w:rsidR="000B1240">
        <w:t>b</w:t>
      </w:r>
      <w:r w:rsidR="00DD64D3" w:rsidRPr="00B0618E">
        <w:t>asin</w:t>
      </w:r>
      <w:r w:rsidR="000B1240">
        <w:t>s</w:t>
      </w:r>
      <w:r w:rsidR="00DD64D3" w:rsidRPr="00B0618E">
        <w:t xml:space="preserve"> groundwater flow model (</w:t>
      </w:r>
      <w:r w:rsidR="00564555" w:rsidRPr="00B0618E">
        <w:t xml:space="preserve">most sensitive = </w:t>
      </w:r>
      <w:r w:rsidR="00DD64D3" w:rsidRPr="00B0618E">
        <w:t xml:space="preserve">red, </w:t>
      </w:r>
      <w:r w:rsidR="00564555" w:rsidRPr="00B0618E">
        <w:t xml:space="preserve">second most sensitive = </w:t>
      </w:r>
      <w:r w:rsidR="00DD64D3" w:rsidRPr="00B0618E">
        <w:t xml:space="preserve">blue, </w:t>
      </w:r>
      <w:r w:rsidR="00564555" w:rsidRPr="00B0618E">
        <w:t xml:space="preserve">third most sensitive = </w:t>
      </w:r>
      <w:r w:rsidR="00DD64D3" w:rsidRPr="00B0618E">
        <w:t xml:space="preserve">green; </w:t>
      </w:r>
      <w:r w:rsidR="00564555" w:rsidRPr="00B0618E">
        <w:t>less sensitive parameters are</w:t>
      </w:r>
      <w:r w:rsidR="00DD64D3" w:rsidRPr="00B0618E">
        <w:t xml:space="preserve"> shown in grey) to which the prediction of the magnitude of maximum drawdown in the Pilliga Sandstone aquifer was most sensitive. Parameter rankings were based on two global sensitivity analysis metrics: (a) the Delta Moment-Independent Measure (</w:t>
      </w:r>
      <w:r w:rsidR="005C3666">
        <w:rPr>
          <w:i/>
        </w:rPr>
        <w:t>δ</w:t>
      </w:r>
      <w:r w:rsidR="00DD64D3" w:rsidRPr="00B0618E">
        <w:t xml:space="preserve">; </w:t>
      </w:r>
      <w:r w:rsidR="00C82F89" w:rsidRPr="00B0618E">
        <w:t>Plischke et al., 2013</w:t>
      </w:r>
      <w:r w:rsidR="00DD64D3" w:rsidRPr="00B0618E">
        <w:t>) and (b) the first order Sobol’ metric (</w:t>
      </w:r>
      <w:r w:rsidR="00DD64D3" w:rsidRPr="00B0618E">
        <w:rPr>
          <w:i/>
        </w:rPr>
        <w:t>S</w:t>
      </w:r>
      <w:r w:rsidR="00DD64D3" w:rsidRPr="00B0618E">
        <w:rPr>
          <w:vertAlign w:val="subscript"/>
        </w:rPr>
        <w:t>1</w:t>
      </w:r>
      <w:r w:rsidR="00DD64D3" w:rsidRPr="00B0618E">
        <w:t>; Sobol’, 2001). Sample sizes used as the basis for metric computation ranged from 200 to 300 model runs.</w:t>
      </w:r>
      <w:bookmarkEnd w:id="127"/>
    </w:p>
    <w:p w14:paraId="03CDC590" w14:textId="3D2F9FCA" w:rsidR="00350269" w:rsidRPr="00B0618E" w:rsidRDefault="00350269" w:rsidP="00350269">
      <w:pPr>
        <w:pStyle w:val="BodyText"/>
        <w:rPr>
          <w:color w:val="auto"/>
        </w:rPr>
      </w:pPr>
      <w:r w:rsidRPr="00B0618E">
        <w:rPr>
          <w:color w:val="auto"/>
        </w:rPr>
        <w:t>The uncertainty associated with this prediction did not vary significantly with increasing sample size (</w:t>
      </w:r>
      <w:r w:rsidRPr="00B0618E">
        <w:rPr>
          <w:color w:val="auto"/>
        </w:rPr>
        <w:fldChar w:fldCharType="begin"/>
      </w:r>
      <w:r w:rsidRPr="00B0618E">
        <w:rPr>
          <w:color w:val="auto"/>
        </w:rPr>
        <w:instrText xml:space="preserve"> REF _Ref467686734 \h </w:instrText>
      </w:r>
      <w:r>
        <w:rPr>
          <w:color w:val="auto"/>
        </w:rPr>
        <w:instrText xml:space="preserve"> \* MERGEFORMAT </w:instrText>
      </w:r>
      <w:r w:rsidRPr="00B0618E">
        <w:rPr>
          <w:color w:val="auto"/>
        </w:rPr>
      </w:r>
      <w:r w:rsidRPr="00B0618E">
        <w:rPr>
          <w:color w:val="auto"/>
        </w:rPr>
        <w:fldChar w:fldCharType="separate"/>
      </w:r>
      <w:r w:rsidR="000B6FA5" w:rsidRPr="00B0618E">
        <w:t xml:space="preserve">Figure </w:t>
      </w:r>
      <w:r w:rsidR="000B6FA5">
        <w:rPr>
          <w:noProof/>
        </w:rPr>
        <w:t>5</w:t>
      </w:r>
      <w:r w:rsidR="000B6FA5">
        <w:rPr>
          <w:noProof/>
        </w:rPr>
        <w:noBreakHyphen/>
        <w:t>3</w:t>
      </w:r>
      <w:r w:rsidRPr="00B0618E">
        <w:rPr>
          <w:color w:val="auto"/>
        </w:rPr>
        <w:fldChar w:fldCharType="end"/>
      </w:r>
      <w:r w:rsidRPr="00B0618E">
        <w:rPr>
          <w:color w:val="auto"/>
        </w:rPr>
        <w:t>). Predicted values ranged from 0.0 m to 4.2 m. The 10</w:t>
      </w:r>
      <w:r w:rsidRPr="00B0618E">
        <w:rPr>
          <w:color w:val="auto"/>
          <w:vertAlign w:val="superscript"/>
        </w:rPr>
        <w:t>th</w:t>
      </w:r>
      <w:r w:rsidRPr="00B0618E">
        <w:rPr>
          <w:color w:val="auto"/>
        </w:rPr>
        <w:t xml:space="preserve"> percentile value ranged from 0.1 m to 0.1 m; the median value was consistently 1.1 m; and the 90</w:t>
      </w:r>
      <w:r w:rsidRPr="00B0618E">
        <w:rPr>
          <w:color w:val="auto"/>
          <w:vertAlign w:val="superscript"/>
        </w:rPr>
        <w:t>th</w:t>
      </w:r>
      <w:r w:rsidRPr="00B0618E">
        <w:rPr>
          <w:color w:val="auto"/>
        </w:rPr>
        <w:t xml:space="preserve"> percentile value ranged from 2.5 m to 2.6 m.</w:t>
      </w:r>
    </w:p>
    <w:p w14:paraId="4844FF66" w14:textId="77777777" w:rsidR="00E17C09" w:rsidRPr="00E17C09" w:rsidRDefault="00E17C09" w:rsidP="00147C9B">
      <w:pPr>
        <w:pStyle w:val="BodyText"/>
      </w:pPr>
    </w:p>
    <w:p w14:paraId="08F53773" w14:textId="407F67FB" w:rsidR="0063124F" w:rsidRDefault="004B2EBA" w:rsidP="00E17C09">
      <w:pPr>
        <w:pStyle w:val="BodyText"/>
        <w:jc w:val="center"/>
      </w:pPr>
      <w:r>
        <w:rPr>
          <w:noProof/>
        </w:rPr>
        <w:drawing>
          <wp:inline distT="0" distB="0" distL="0" distR="0" wp14:anchorId="15F49195" wp14:editId="08F30482">
            <wp:extent cx="5366455" cy="2683228"/>
            <wp:effectExtent l="0" t="0" r="5715" b="3175"/>
            <wp:docPr id="146" name="Picture 146" descr="Chart of sensitivity analysis result for 20 model parameters" title="Fig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OWS_FAM\Models\Version7_analysis\Plot_GSA_metric_values_300_runs_070417_MXD.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74564" cy="2687283"/>
                    </a:xfrm>
                    <a:prstGeom prst="rect">
                      <a:avLst/>
                    </a:prstGeom>
                    <a:noFill/>
                    <a:ln>
                      <a:noFill/>
                    </a:ln>
                  </pic:spPr>
                </pic:pic>
              </a:graphicData>
            </a:graphic>
          </wp:inline>
        </w:drawing>
      </w:r>
    </w:p>
    <w:p w14:paraId="4EB9E6C3" w14:textId="22A202EC" w:rsidR="00797313" w:rsidRDefault="00797313" w:rsidP="00797313">
      <w:pPr>
        <w:pStyle w:val="Caption"/>
      </w:pPr>
      <w:bookmarkStart w:id="128" w:name="_Ref479530914"/>
      <w:bookmarkStart w:id="129" w:name="_Toc482034925"/>
      <w:r>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5</w:t>
      </w:r>
      <w:r w:rsidR="00A2085C">
        <w:rPr>
          <w:noProof/>
        </w:rPr>
        <w:fldChar w:fldCharType="end"/>
      </w:r>
      <w:bookmarkEnd w:id="128"/>
      <w:r>
        <w:t xml:space="preserve"> G</w:t>
      </w:r>
      <w:r w:rsidRPr="00B0618E">
        <w:t>lobal sensitivity analysis metrics</w:t>
      </w:r>
      <w:r>
        <w:t xml:space="preserve"> of 20 model parameters in relation to maximum drawdown.</w:t>
      </w:r>
      <w:r w:rsidRPr="00B0618E">
        <w:t xml:space="preserve"> (a) Delta Moment-Independent Measure (</w:t>
      </w:r>
      <w:r w:rsidR="005C3666">
        <w:rPr>
          <w:i/>
        </w:rPr>
        <w:t>δ</w:t>
      </w:r>
      <w:r w:rsidRPr="00B0618E">
        <w:t>; Plischke et al., 2013) and (b) first order Sobol’ metric (</w:t>
      </w:r>
      <w:r w:rsidRPr="00B0618E">
        <w:rPr>
          <w:i/>
        </w:rPr>
        <w:t>S</w:t>
      </w:r>
      <w:r w:rsidRPr="00B0618E">
        <w:rPr>
          <w:vertAlign w:val="subscript"/>
        </w:rPr>
        <w:t>1</w:t>
      </w:r>
      <w:r w:rsidRPr="00B0618E">
        <w:t xml:space="preserve">; Sobol’, 2001). Sample size for metric computation </w:t>
      </w:r>
      <w:r w:rsidR="000B1240">
        <w:t>wa</w:t>
      </w:r>
      <w:r>
        <w:t>s</w:t>
      </w:r>
      <w:r w:rsidRPr="00B0618E">
        <w:t xml:space="preserve"> 300 model runs.</w:t>
      </w:r>
      <w:bookmarkEnd w:id="129"/>
    </w:p>
    <w:p w14:paraId="31E00345" w14:textId="45F5FA2A" w:rsidR="004E5193" w:rsidRPr="00B0618E" w:rsidRDefault="004E5193" w:rsidP="004E5193">
      <w:pPr>
        <w:pStyle w:val="Heading3"/>
      </w:pPr>
      <w:r w:rsidRPr="00B0618E">
        <w:t xml:space="preserve">Prediction </w:t>
      </w:r>
      <w:r w:rsidR="0059013D">
        <w:t xml:space="preserve">metric </w:t>
      </w:r>
      <w:r w:rsidRPr="00B0618E">
        <w:t xml:space="preserve">2: Time of maximum drawdown </w:t>
      </w:r>
    </w:p>
    <w:p w14:paraId="79EA3D90" w14:textId="2943A1C6" w:rsidR="007659AE" w:rsidRPr="00B0618E" w:rsidRDefault="003C0F40" w:rsidP="003C0F40">
      <w:pPr>
        <w:pStyle w:val="BodyText"/>
      </w:pPr>
      <w:r w:rsidRPr="00B0618E">
        <w:t>The prediction of time of maximum drawdown was found to be most sensitive to</w:t>
      </w:r>
      <w:r w:rsidR="001665FC" w:rsidRPr="00B0618E">
        <w:t xml:space="preserve"> the vertical </w:t>
      </w:r>
      <w:r w:rsidR="001665FC" w:rsidRPr="00B0618E">
        <w:rPr>
          <w:i/>
        </w:rPr>
        <w:t xml:space="preserve">K </w:t>
      </w:r>
      <w:r w:rsidR="001665FC" w:rsidRPr="00B0618E">
        <w:t>of the upper aquitard sequence</w:t>
      </w:r>
      <w:r w:rsidR="0059013D">
        <w:t>,</w:t>
      </w:r>
      <w:r w:rsidR="001665FC" w:rsidRPr="00B0618E">
        <w:t xml:space="preserve"> </w:t>
      </w:r>
      <w:r w:rsidR="00EF358E" w:rsidRPr="00B0618E">
        <w:rPr>
          <w:i/>
        </w:rPr>
        <w:t>K</w:t>
      </w:r>
      <w:r w:rsidR="003B53CD" w:rsidRPr="00B0618E">
        <w:rPr>
          <w:i/>
          <w:vertAlign w:val="subscript"/>
        </w:rPr>
        <w:t>V</w:t>
      </w:r>
      <w:r w:rsidR="00EF358E" w:rsidRPr="00B0618E">
        <w:t>05</w:t>
      </w:r>
      <w:r w:rsidR="0059013D">
        <w:t xml:space="preserve"> (</w:t>
      </w:r>
      <w:r w:rsidR="0059013D">
        <w:fldChar w:fldCharType="begin"/>
      </w:r>
      <w:r w:rsidR="0059013D">
        <w:instrText xml:space="preserve"> REF _Ref477379940 \h </w:instrText>
      </w:r>
      <w:r w:rsidR="0059013D">
        <w:fldChar w:fldCharType="separate"/>
      </w:r>
      <w:r w:rsidR="000B6FA5" w:rsidRPr="00B0618E">
        <w:t xml:space="preserve">Figure </w:t>
      </w:r>
      <w:r w:rsidR="000B6FA5">
        <w:rPr>
          <w:noProof/>
        </w:rPr>
        <w:t>5</w:t>
      </w:r>
      <w:r w:rsidR="000B6FA5">
        <w:noBreakHyphen/>
      </w:r>
      <w:r w:rsidR="000B6FA5">
        <w:rPr>
          <w:noProof/>
        </w:rPr>
        <w:t>6</w:t>
      </w:r>
      <w:r w:rsidR="0059013D">
        <w:fldChar w:fldCharType="end"/>
      </w:r>
      <w:r w:rsidR="0059013D">
        <w:t>a)</w:t>
      </w:r>
      <w:r w:rsidR="000B1240">
        <w:t>.</w:t>
      </w:r>
      <w:r w:rsidR="0059013D">
        <w:t xml:space="preserve"> </w:t>
      </w:r>
      <w:r w:rsidR="000B1240">
        <w:t>Sobol’ analyses also indicated that that prediction was sensitive to</w:t>
      </w:r>
      <w:r w:rsidR="002252DA" w:rsidRPr="00B0618E">
        <w:t xml:space="preserve"> </w:t>
      </w:r>
      <w:r w:rsidR="001665FC" w:rsidRPr="00B0618E">
        <w:t xml:space="preserve">the horizontal </w:t>
      </w:r>
      <w:r w:rsidR="001665FC" w:rsidRPr="00B0618E">
        <w:rPr>
          <w:i/>
        </w:rPr>
        <w:t>K</w:t>
      </w:r>
      <w:r w:rsidR="0059013D">
        <w:t xml:space="preserve"> of the Namoi Alluvium aquifer </w:t>
      </w:r>
      <w:r w:rsidR="00EF358E" w:rsidRPr="00B0618E">
        <w:rPr>
          <w:i/>
        </w:rPr>
        <w:t>K</w:t>
      </w:r>
      <w:r w:rsidR="003B53CD" w:rsidRPr="00B0618E">
        <w:rPr>
          <w:i/>
          <w:vertAlign w:val="subscript"/>
        </w:rPr>
        <w:t>H</w:t>
      </w:r>
      <w:r w:rsidR="00EF358E" w:rsidRPr="00B0618E">
        <w:t>01</w:t>
      </w:r>
      <w:r w:rsidR="0059013D">
        <w:t xml:space="preserve"> </w:t>
      </w:r>
      <w:r w:rsidR="0059013D" w:rsidRPr="00B0618E">
        <w:t>(</w:t>
      </w:r>
      <w:r w:rsidR="0059013D" w:rsidRPr="00B0618E">
        <w:fldChar w:fldCharType="begin"/>
      </w:r>
      <w:r w:rsidR="0059013D" w:rsidRPr="00B0618E">
        <w:instrText xml:space="preserve"> REF _Ref477379940 \h </w:instrText>
      </w:r>
      <w:r w:rsidR="0059013D">
        <w:instrText xml:space="preserve"> \* MERGEFORMAT </w:instrText>
      </w:r>
      <w:r w:rsidR="0059013D" w:rsidRPr="00B0618E">
        <w:fldChar w:fldCharType="separate"/>
      </w:r>
      <w:r w:rsidR="000B6FA5" w:rsidRPr="00B0618E">
        <w:t xml:space="preserve">Figure </w:t>
      </w:r>
      <w:r w:rsidR="000B6FA5">
        <w:rPr>
          <w:noProof/>
        </w:rPr>
        <w:t>5</w:t>
      </w:r>
      <w:r w:rsidR="000B6FA5">
        <w:rPr>
          <w:noProof/>
        </w:rPr>
        <w:noBreakHyphen/>
        <w:t>6</w:t>
      </w:r>
      <w:r w:rsidR="0059013D" w:rsidRPr="00B0618E">
        <w:fldChar w:fldCharType="end"/>
      </w:r>
      <w:r w:rsidR="007A66AF">
        <w:t>b</w:t>
      </w:r>
      <w:r w:rsidR="0059013D" w:rsidRPr="00B0618E">
        <w:t>).</w:t>
      </w:r>
      <w:r w:rsidR="0059013D">
        <w:t xml:space="preserve"> These two model parameters have sensitivity metrics that are significantly larger than that of all the other parameters, i.e. </w:t>
      </w:r>
      <w:r w:rsidR="005C3666">
        <w:rPr>
          <w:i/>
        </w:rPr>
        <w:t>δ</w:t>
      </w:r>
      <w:r w:rsidR="0059013D" w:rsidRPr="00B0618E">
        <w:t>=0.199</w:t>
      </w:r>
      <w:r w:rsidR="0059013D">
        <w:t xml:space="preserve"> and</w:t>
      </w:r>
      <w:r w:rsidR="0059013D" w:rsidRPr="00B0618E">
        <w:t xml:space="preserve"> </w:t>
      </w:r>
      <w:r w:rsidR="0059013D" w:rsidRPr="00B0618E">
        <w:rPr>
          <w:i/>
        </w:rPr>
        <w:t>S</w:t>
      </w:r>
      <w:r w:rsidR="0059013D" w:rsidRPr="00B0618E">
        <w:rPr>
          <w:vertAlign w:val="subscript"/>
        </w:rPr>
        <w:t>1</w:t>
      </w:r>
      <w:r w:rsidR="0059013D" w:rsidRPr="00B0618E">
        <w:t>=0.240</w:t>
      </w:r>
      <w:r w:rsidR="0059013D">
        <w:t xml:space="preserve"> for </w:t>
      </w:r>
      <w:r w:rsidR="0059013D" w:rsidRPr="00B0618E">
        <w:rPr>
          <w:i/>
        </w:rPr>
        <w:t>K</w:t>
      </w:r>
      <w:r w:rsidR="0059013D" w:rsidRPr="00B0618E">
        <w:rPr>
          <w:i/>
          <w:vertAlign w:val="subscript"/>
        </w:rPr>
        <w:t>V</w:t>
      </w:r>
      <w:r w:rsidR="0059013D" w:rsidRPr="00B0618E">
        <w:t>05</w:t>
      </w:r>
      <w:r w:rsidR="0059013D">
        <w:t xml:space="preserve"> and</w:t>
      </w:r>
      <w:r w:rsidR="0059013D" w:rsidRPr="00B0618E">
        <w:t xml:space="preserve"> </w:t>
      </w:r>
      <w:r w:rsidR="005C3666">
        <w:rPr>
          <w:i/>
        </w:rPr>
        <w:t>δ</w:t>
      </w:r>
      <w:r w:rsidR="0059013D" w:rsidRPr="00B0618E">
        <w:t>=0.121</w:t>
      </w:r>
      <w:r w:rsidR="007A66AF">
        <w:t xml:space="preserve"> and</w:t>
      </w:r>
      <w:r w:rsidR="0059013D" w:rsidRPr="00B0618E">
        <w:t xml:space="preserve"> </w:t>
      </w:r>
      <w:r w:rsidR="0059013D" w:rsidRPr="00B0618E">
        <w:rPr>
          <w:i/>
        </w:rPr>
        <w:t>S</w:t>
      </w:r>
      <w:r w:rsidR="0059013D" w:rsidRPr="00B0618E">
        <w:rPr>
          <w:vertAlign w:val="subscript"/>
        </w:rPr>
        <w:t>1</w:t>
      </w:r>
      <w:r w:rsidR="0059013D" w:rsidRPr="00B0618E">
        <w:t>=0.090</w:t>
      </w:r>
      <w:r w:rsidR="007A66AF">
        <w:t xml:space="preserve"> for </w:t>
      </w:r>
      <w:r w:rsidR="007A66AF" w:rsidRPr="00B0618E">
        <w:rPr>
          <w:i/>
        </w:rPr>
        <w:t>K</w:t>
      </w:r>
      <w:r w:rsidR="007A66AF" w:rsidRPr="00B0618E">
        <w:rPr>
          <w:i/>
          <w:vertAlign w:val="subscript"/>
        </w:rPr>
        <w:t>H</w:t>
      </w:r>
      <w:r w:rsidR="007A66AF" w:rsidRPr="00B0618E">
        <w:t>01</w:t>
      </w:r>
      <w:r w:rsidR="007A66AF">
        <w:t xml:space="preserve"> (</w:t>
      </w:r>
      <w:r w:rsidR="007A66AF">
        <w:fldChar w:fldCharType="begin"/>
      </w:r>
      <w:r w:rsidR="007A66AF">
        <w:instrText xml:space="preserve"> REF _Ref479531762 \h </w:instrText>
      </w:r>
      <w:r w:rsidR="007A66AF">
        <w:fldChar w:fldCharType="separate"/>
      </w:r>
      <w:r w:rsidR="000B6FA5">
        <w:t xml:space="preserve">Figure </w:t>
      </w:r>
      <w:r w:rsidR="000B6FA5">
        <w:rPr>
          <w:noProof/>
        </w:rPr>
        <w:t>5</w:t>
      </w:r>
      <w:r w:rsidR="000B6FA5">
        <w:noBreakHyphen/>
      </w:r>
      <w:r w:rsidR="000B6FA5">
        <w:rPr>
          <w:noProof/>
        </w:rPr>
        <w:t>7</w:t>
      </w:r>
      <w:r w:rsidR="007A66AF">
        <w:fldChar w:fldCharType="end"/>
      </w:r>
      <w:r w:rsidR="007A66AF">
        <w:t>).</w:t>
      </w:r>
    </w:p>
    <w:p w14:paraId="4200351E" w14:textId="72ED837A" w:rsidR="008F34AF" w:rsidRPr="00B0618E" w:rsidRDefault="00DC4D6D" w:rsidP="00E17C09">
      <w:pPr>
        <w:pStyle w:val="BodyText"/>
        <w:keepNext/>
        <w:jc w:val="center"/>
        <w:rPr>
          <w:color w:val="FF0000"/>
        </w:rPr>
      </w:pPr>
      <w:r>
        <w:rPr>
          <w:noProof/>
          <w:color w:val="FF0000"/>
        </w:rPr>
        <w:drawing>
          <wp:inline distT="0" distB="0" distL="0" distR="0" wp14:anchorId="7CC0E9F9" wp14:editId="756F8AA8">
            <wp:extent cx="5106154" cy="2553077"/>
            <wp:effectExtent l="0" t="0" r="0" b="0"/>
            <wp:docPr id="138" name="Picture 138" descr="Charts of relative rankings of ten parameters used in the model" title="Fig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OWS_FAM\Models\Version7_analysis\Plot_bootstrap_outputs_v03_160217_ranks_tMXD.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25577" cy="2562788"/>
                    </a:xfrm>
                    <a:prstGeom prst="rect">
                      <a:avLst/>
                    </a:prstGeom>
                    <a:noFill/>
                    <a:ln>
                      <a:noFill/>
                    </a:ln>
                  </pic:spPr>
                </pic:pic>
              </a:graphicData>
            </a:graphic>
          </wp:inline>
        </w:drawing>
      </w:r>
    </w:p>
    <w:p w14:paraId="1D02A727" w14:textId="352EAA39" w:rsidR="008F34AF" w:rsidRDefault="008F34AF" w:rsidP="008F34AF">
      <w:pPr>
        <w:pStyle w:val="Caption"/>
      </w:pPr>
      <w:bookmarkStart w:id="130" w:name="_Ref477379940"/>
      <w:bookmarkStart w:id="131" w:name="_Toc482034926"/>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6</w:t>
      </w:r>
      <w:r w:rsidR="00A2085C">
        <w:rPr>
          <w:noProof/>
        </w:rPr>
        <w:fldChar w:fldCharType="end"/>
      </w:r>
      <w:bookmarkEnd w:id="130"/>
      <w:r w:rsidRPr="00B0618E">
        <w:t xml:space="preserve">. </w:t>
      </w:r>
      <w:r w:rsidR="00DD64D3" w:rsidRPr="00B0618E">
        <w:t>Relative rankings of ten parameters used by the revised Gunnedah</w:t>
      </w:r>
      <w:r w:rsidR="000B1240">
        <w:t>-Surat</w:t>
      </w:r>
      <w:r w:rsidR="00DD64D3" w:rsidRPr="00B0618E">
        <w:t xml:space="preserve"> </w:t>
      </w:r>
      <w:r w:rsidR="000B1240">
        <w:t>b</w:t>
      </w:r>
      <w:r w:rsidR="00DD64D3" w:rsidRPr="00B0618E">
        <w:t>asin</w:t>
      </w:r>
      <w:r w:rsidR="000B1240">
        <w:t>s</w:t>
      </w:r>
      <w:r w:rsidR="00DD64D3" w:rsidRPr="00B0618E">
        <w:t xml:space="preserve"> groundwater flow model (</w:t>
      </w:r>
      <w:r w:rsidR="00564555" w:rsidRPr="00B0618E">
        <w:t xml:space="preserve">most sensitive = </w:t>
      </w:r>
      <w:r w:rsidR="00DD64D3" w:rsidRPr="00B0618E">
        <w:t xml:space="preserve">red, </w:t>
      </w:r>
      <w:r w:rsidR="00564555" w:rsidRPr="00B0618E">
        <w:t xml:space="preserve">second most sensitive = </w:t>
      </w:r>
      <w:r w:rsidR="00DD64D3" w:rsidRPr="00B0618E">
        <w:t xml:space="preserve">blue, </w:t>
      </w:r>
      <w:r w:rsidR="00564555" w:rsidRPr="00B0618E">
        <w:t xml:space="preserve">third most sensitive = </w:t>
      </w:r>
      <w:r w:rsidR="00DD64D3" w:rsidRPr="00B0618E">
        <w:t xml:space="preserve">green; </w:t>
      </w:r>
      <w:r w:rsidR="00564555" w:rsidRPr="00B0618E">
        <w:t xml:space="preserve">less sensitive parameters are </w:t>
      </w:r>
      <w:r w:rsidR="00DD64D3" w:rsidRPr="00B0618E">
        <w:t>shown in grey) to which the prediction of the timing of maximum drawdown in the Pilliga Sandstone aquifer was most sensitive. Parameter rankings were based on two global sensitivity analysis metrics: (a) the Delta Moment-Independent Measure (</w:t>
      </w:r>
      <w:r w:rsidR="005C3666">
        <w:rPr>
          <w:i/>
        </w:rPr>
        <w:t>δ</w:t>
      </w:r>
      <w:r w:rsidR="00DD64D3" w:rsidRPr="00B0618E">
        <w:t xml:space="preserve">; </w:t>
      </w:r>
      <w:r w:rsidR="00C82F89" w:rsidRPr="00B0618E">
        <w:t>Plischke et al., 2013</w:t>
      </w:r>
      <w:r w:rsidR="00DD64D3" w:rsidRPr="00B0618E">
        <w:t>) and (b) the first order Sobol’ metric (</w:t>
      </w:r>
      <w:r w:rsidR="00DD64D3" w:rsidRPr="00B0618E">
        <w:rPr>
          <w:i/>
        </w:rPr>
        <w:t>S</w:t>
      </w:r>
      <w:r w:rsidR="00DD64D3" w:rsidRPr="00B0618E">
        <w:rPr>
          <w:vertAlign w:val="subscript"/>
        </w:rPr>
        <w:t>1</w:t>
      </w:r>
      <w:r w:rsidR="00DD64D3" w:rsidRPr="00B0618E">
        <w:t>; Sobol’, 2001).</w:t>
      </w:r>
      <w:bookmarkEnd w:id="131"/>
      <w:r w:rsidR="00DD64D3" w:rsidRPr="00B0618E">
        <w:t xml:space="preserve"> </w:t>
      </w:r>
    </w:p>
    <w:p w14:paraId="34DEFE3D" w14:textId="77777777" w:rsidR="00E17C09" w:rsidRPr="00E17C09" w:rsidRDefault="00E17C09" w:rsidP="00E17C09">
      <w:pPr>
        <w:pStyle w:val="BodyText"/>
      </w:pPr>
    </w:p>
    <w:p w14:paraId="0A522B50" w14:textId="38480A7D" w:rsidR="00E17C09" w:rsidRPr="00B0618E" w:rsidRDefault="00E17C09" w:rsidP="00E17C09">
      <w:pPr>
        <w:pStyle w:val="BodyText"/>
        <w:rPr>
          <w:color w:val="FF0000"/>
        </w:rPr>
      </w:pPr>
      <w:r w:rsidRPr="00B0618E">
        <w:rPr>
          <w:color w:val="auto"/>
        </w:rPr>
        <w:t>The uncertainty of this prediction did not vary significantly with increasing sample size (</w:t>
      </w:r>
      <w:r w:rsidRPr="00B0618E">
        <w:rPr>
          <w:color w:val="auto"/>
        </w:rPr>
        <w:fldChar w:fldCharType="begin"/>
      </w:r>
      <w:r w:rsidRPr="00B0618E">
        <w:rPr>
          <w:color w:val="auto"/>
        </w:rPr>
        <w:instrText xml:space="preserve"> REF _Ref467686734 \h </w:instrText>
      </w:r>
      <w:r>
        <w:rPr>
          <w:color w:val="auto"/>
        </w:rPr>
        <w:instrText xml:space="preserve"> \* MERGEFORMAT </w:instrText>
      </w:r>
      <w:r w:rsidRPr="00B0618E">
        <w:rPr>
          <w:color w:val="auto"/>
        </w:rPr>
      </w:r>
      <w:r w:rsidRPr="00B0618E">
        <w:rPr>
          <w:color w:val="auto"/>
        </w:rPr>
        <w:fldChar w:fldCharType="separate"/>
      </w:r>
      <w:r w:rsidR="000B6FA5" w:rsidRPr="00B0618E">
        <w:t xml:space="preserve">Figure </w:t>
      </w:r>
      <w:r w:rsidR="000B6FA5">
        <w:rPr>
          <w:noProof/>
        </w:rPr>
        <w:t>5</w:t>
      </w:r>
      <w:r w:rsidR="000B6FA5">
        <w:rPr>
          <w:noProof/>
        </w:rPr>
        <w:noBreakHyphen/>
        <w:t>3</w:t>
      </w:r>
      <w:r w:rsidRPr="00B0618E">
        <w:rPr>
          <w:color w:val="auto"/>
        </w:rPr>
        <w:fldChar w:fldCharType="end"/>
      </w:r>
      <w:r w:rsidRPr="00B0618E">
        <w:rPr>
          <w:color w:val="auto"/>
        </w:rPr>
        <w:t>). Predicted values ranged from 19</w:t>
      </w:r>
      <w:r>
        <w:rPr>
          <w:color w:val="auto"/>
        </w:rPr>
        <w:t xml:space="preserve"> years </w:t>
      </w:r>
      <w:r w:rsidRPr="00B0618E">
        <w:rPr>
          <w:color w:val="auto"/>
        </w:rPr>
        <w:t>to 261</w:t>
      </w:r>
      <w:r>
        <w:rPr>
          <w:color w:val="auto"/>
        </w:rPr>
        <w:t xml:space="preserve"> years.</w:t>
      </w:r>
      <w:r w:rsidRPr="00B0618E">
        <w:rPr>
          <w:color w:val="auto"/>
        </w:rPr>
        <w:t xml:space="preserve"> The 10</w:t>
      </w:r>
      <w:r w:rsidRPr="00B0618E">
        <w:rPr>
          <w:color w:val="auto"/>
          <w:vertAlign w:val="superscript"/>
        </w:rPr>
        <w:t>th</w:t>
      </w:r>
      <w:r w:rsidRPr="00B0618E">
        <w:rPr>
          <w:color w:val="auto"/>
        </w:rPr>
        <w:t xml:space="preserve"> percentile value ranged from 99</w:t>
      </w:r>
      <w:r>
        <w:rPr>
          <w:color w:val="auto"/>
        </w:rPr>
        <w:t xml:space="preserve"> years </w:t>
      </w:r>
      <w:r w:rsidRPr="00B0618E">
        <w:rPr>
          <w:color w:val="auto"/>
        </w:rPr>
        <w:t>to 114 y</w:t>
      </w:r>
      <w:r w:rsidR="005B5E98">
        <w:rPr>
          <w:color w:val="auto"/>
        </w:rPr>
        <w:t>ears</w:t>
      </w:r>
      <w:r w:rsidRPr="00B0618E">
        <w:rPr>
          <w:color w:val="auto"/>
        </w:rPr>
        <w:t>; the median value was consistently 255 y</w:t>
      </w:r>
      <w:r w:rsidR="005B5E98">
        <w:rPr>
          <w:color w:val="auto"/>
        </w:rPr>
        <w:t>ears</w:t>
      </w:r>
      <w:r w:rsidRPr="00B0618E">
        <w:rPr>
          <w:color w:val="auto"/>
        </w:rPr>
        <w:t>; and the 90</w:t>
      </w:r>
      <w:r w:rsidRPr="00B0618E">
        <w:rPr>
          <w:color w:val="auto"/>
          <w:vertAlign w:val="superscript"/>
        </w:rPr>
        <w:t>th</w:t>
      </w:r>
      <w:r w:rsidRPr="00B0618E">
        <w:rPr>
          <w:color w:val="auto"/>
        </w:rPr>
        <w:t xml:space="preserve"> percentile value was consistently 261</w:t>
      </w:r>
      <w:r>
        <w:rPr>
          <w:color w:val="auto"/>
        </w:rPr>
        <w:t xml:space="preserve"> years.</w:t>
      </w:r>
      <w:r w:rsidRPr="00B0618E">
        <w:rPr>
          <w:color w:val="FF0000"/>
        </w:rPr>
        <w:t xml:space="preserve"> </w:t>
      </w:r>
      <w:r w:rsidRPr="00C022CC">
        <w:t>When interpreting these results, and as stated previously, for</w:t>
      </w:r>
      <w:r>
        <w:rPr>
          <w:color w:val="auto"/>
        </w:rPr>
        <w:t xml:space="preserve"> </w:t>
      </w:r>
      <w:r w:rsidRPr="00C022CC">
        <w:t>a subset of model runs the model temporal extent specified was insufficient to capture peak</w:t>
      </w:r>
      <w:r w:rsidRPr="00B0618E">
        <w:rPr>
          <w:color w:val="auto"/>
        </w:rPr>
        <w:t xml:space="preserve"> drawdown conditions.</w:t>
      </w:r>
      <w:r>
        <w:rPr>
          <w:color w:val="auto"/>
        </w:rPr>
        <w:t xml:space="preserve"> Due to large model run times it was not feasible to repeat the sampling process</w:t>
      </w:r>
      <w:r w:rsidRPr="00DD6F16">
        <w:rPr>
          <w:color w:val="auto"/>
        </w:rPr>
        <w:t xml:space="preserve"> </w:t>
      </w:r>
      <w:r>
        <w:rPr>
          <w:color w:val="auto"/>
        </w:rPr>
        <w:t>using an extended model duration within the duration of the present study.</w:t>
      </w:r>
    </w:p>
    <w:p w14:paraId="32874440" w14:textId="77777777" w:rsidR="00E17C09" w:rsidRPr="00E17C09" w:rsidRDefault="00E17C09" w:rsidP="00E17C09">
      <w:pPr>
        <w:pStyle w:val="BodyText"/>
      </w:pPr>
    </w:p>
    <w:p w14:paraId="5A0F05F8" w14:textId="6A530C9A" w:rsidR="0063124F" w:rsidRDefault="004B2EBA" w:rsidP="0063124F">
      <w:pPr>
        <w:pStyle w:val="BodyText"/>
      </w:pPr>
      <w:r>
        <w:rPr>
          <w:noProof/>
        </w:rPr>
        <w:drawing>
          <wp:inline distT="0" distB="0" distL="0" distR="0" wp14:anchorId="58BFE000" wp14:editId="042F6882">
            <wp:extent cx="5758180" cy="2879090"/>
            <wp:effectExtent l="0" t="0" r="0" b="0"/>
            <wp:docPr id="147" name="Picture 147" descr="Chart of sensitivity analysis result for 20 model parameters" title="Fig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Y:\OWS_FAM\Models\Version7_analysis\Plot_GSA_metric_values_300_runs_070417_tMXD.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8180" cy="2879090"/>
                    </a:xfrm>
                    <a:prstGeom prst="rect">
                      <a:avLst/>
                    </a:prstGeom>
                    <a:noFill/>
                    <a:ln>
                      <a:noFill/>
                    </a:ln>
                  </pic:spPr>
                </pic:pic>
              </a:graphicData>
            </a:graphic>
          </wp:inline>
        </w:drawing>
      </w:r>
    </w:p>
    <w:p w14:paraId="0EA8BA45" w14:textId="34F51B25" w:rsidR="00797313" w:rsidRDefault="00797313" w:rsidP="00797313">
      <w:pPr>
        <w:pStyle w:val="Caption"/>
      </w:pPr>
      <w:bookmarkStart w:id="132" w:name="_Ref479531762"/>
      <w:bookmarkStart w:id="133" w:name="_Toc482034927"/>
      <w:r>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w:instrText>
      </w:r>
      <w:r w:rsidR="00A2085C">
        <w:instrText xml:space="preserve">Figure \* ARABIC \s 1 </w:instrText>
      </w:r>
      <w:r w:rsidR="00A2085C">
        <w:fldChar w:fldCharType="separate"/>
      </w:r>
      <w:r w:rsidR="000B6FA5">
        <w:rPr>
          <w:noProof/>
        </w:rPr>
        <w:t>7</w:t>
      </w:r>
      <w:r w:rsidR="00A2085C">
        <w:rPr>
          <w:noProof/>
        </w:rPr>
        <w:fldChar w:fldCharType="end"/>
      </w:r>
      <w:bookmarkEnd w:id="132"/>
      <w:r>
        <w:t xml:space="preserve"> G</w:t>
      </w:r>
      <w:r w:rsidRPr="00B0618E">
        <w:t>lobal sensitivity analysis metrics</w:t>
      </w:r>
      <w:r>
        <w:t xml:space="preserve"> of 20 model parameters in relation to time to maximum drawdown.</w:t>
      </w:r>
      <w:r w:rsidRPr="00B0618E">
        <w:t xml:space="preserve"> (a) Delta Moment-Independent Measure (</w:t>
      </w:r>
      <w:r w:rsidR="005C3666">
        <w:rPr>
          <w:i/>
        </w:rPr>
        <w:t>δ</w:t>
      </w:r>
      <w:r w:rsidRPr="00B0618E">
        <w:t>; Plischke et al., 2013) and (b) first order Sobol’ metric (</w:t>
      </w:r>
      <w:r w:rsidRPr="00B0618E">
        <w:rPr>
          <w:i/>
        </w:rPr>
        <w:t>S</w:t>
      </w:r>
      <w:r w:rsidRPr="00B0618E">
        <w:rPr>
          <w:vertAlign w:val="subscript"/>
        </w:rPr>
        <w:t>1</w:t>
      </w:r>
      <w:r w:rsidRPr="00B0618E">
        <w:t xml:space="preserve">; Sobol’, 2001). Sample size for metric computation </w:t>
      </w:r>
      <w:r>
        <w:t>is</w:t>
      </w:r>
      <w:r w:rsidRPr="00B0618E">
        <w:t xml:space="preserve"> 300 model runs.</w:t>
      </w:r>
      <w:bookmarkEnd w:id="133"/>
    </w:p>
    <w:p w14:paraId="1A74D1FE" w14:textId="77777777" w:rsidR="00797313" w:rsidRPr="0063124F" w:rsidRDefault="00797313" w:rsidP="0063124F">
      <w:pPr>
        <w:pStyle w:val="BodyText"/>
      </w:pPr>
    </w:p>
    <w:p w14:paraId="09D34230" w14:textId="6973CDB8" w:rsidR="004E5193" w:rsidRPr="00B0618E" w:rsidRDefault="004E5193" w:rsidP="00882D65">
      <w:pPr>
        <w:pStyle w:val="Heading3"/>
      </w:pPr>
      <w:r w:rsidRPr="00B0618E">
        <w:t xml:space="preserve">Prediction </w:t>
      </w:r>
      <w:r w:rsidR="007A66AF">
        <w:t xml:space="preserve">metric </w:t>
      </w:r>
      <w:r w:rsidRPr="00B0618E">
        <w:t xml:space="preserve">3: </w:t>
      </w:r>
      <w:r w:rsidR="00882D65" w:rsidRPr="00B0618E">
        <w:t>Spatial extent of drawdown</w:t>
      </w:r>
      <w:r w:rsidR="007163D7" w:rsidRPr="00B0618E">
        <w:t xml:space="preserve"> propagation</w:t>
      </w:r>
    </w:p>
    <w:p w14:paraId="089ED5B3" w14:textId="7DEAD4DD" w:rsidR="007659AE" w:rsidRPr="00B0618E" w:rsidRDefault="003C0F40" w:rsidP="003C0F40">
      <w:pPr>
        <w:pStyle w:val="BodyText"/>
        <w:rPr>
          <w:color w:val="auto"/>
        </w:rPr>
      </w:pPr>
      <w:r w:rsidRPr="00B0618E">
        <w:t xml:space="preserve">The prediction of drawdown propagation extent was found to be most sensitive to the </w:t>
      </w:r>
      <w:r w:rsidR="001665FC" w:rsidRPr="00B0618E">
        <w:t xml:space="preserve">horizontal </w:t>
      </w:r>
      <w:r w:rsidRPr="00B0618E">
        <w:rPr>
          <w:i/>
        </w:rPr>
        <w:t>K</w:t>
      </w:r>
      <w:r w:rsidRPr="00B0618E">
        <w:t xml:space="preserve"> of the </w:t>
      </w:r>
      <w:r w:rsidRPr="00B0618E">
        <w:rPr>
          <w:color w:val="auto"/>
        </w:rPr>
        <w:t>Namoi Alluvium aquifer</w:t>
      </w:r>
      <w:r w:rsidRPr="00B0618E">
        <w:t xml:space="preserve">, </w:t>
      </w:r>
      <w:r w:rsidR="007A66AF" w:rsidRPr="00B0618E">
        <w:rPr>
          <w:i/>
        </w:rPr>
        <w:t>K</w:t>
      </w:r>
      <w:r w:rsidR="000B1240">
        <w:rPr>
          <w:i/>
          <w:vertAlign w:val="subscript"/>
        </w:rPr>
        <w:t>H</w:t>
      </w:r>
      <w:r w:rsidR="007A66AF" w:rsidRPr="00B0618E">
        <w:t>01</w:t>
      </w:r>
      <w:r w:rsidR="007A66AF">
        <w:t xml:space="preserve">, </w:t>
      </w:r>
      <w:r w:rsidRPr="00B0618E">
        <w:t>which was consistently ranked as the most influential parameter with increasing sample size</w:t>
      </w:r>
      <w:r w:rsidR="007A66AF">
        <w:t xml:space="preserve"> </w:t>
      </w:r>
      <w:r w:rsidR="007A66AF" w:rsidRPr="00B0618E">
        <w:t>(</w:t>
      </w:r>
      <w:r w:rsidR="007A66AF" w:rsidRPr="00B0618E">
        <w:fldChar w:fldCharType="begin"/>
      </w:r>
      <w:r w:rsidR="007A66AF" w:rsidRPr="00B0618E">
        <w:instrText xml:space="preserve"> REF _Ref477380044 \h </w:instrText>
      </w:r>
      <w:r w:rsidR="007A66AF">
        <w:instrText xml:space="preserve"> \* MERGEFORMAT </w:instrText>
      </w:r>
      <w:r w:rsidR="007A66AF" w:rsidRPr="00B0618E">
        <w:fldChar w:fldCharType="separate"/>
      </w:r>
      <w:r w:rsidR="000B6FA5" w:rsidRPr="00B0618E">
        <w:t xml:space="preserve">Figure </w:t>
      </w:r>
      <w:r w:rsidR="000B6FA5">
        <w:rPr>
          <w:noProof/>
        </w:rPr>
        <w:t>5</w:t>
      </w:r>
      <w:r w:rsidR="000B6FA5">
        <w:rPr>
          <w:noProof/>
        </w:rPr>
        <w:noBreakHyphen/>
        <w:t>8</w:t>
      </w:r>
      <w:r w:rsidR="007A66AF" w:rsidRPr="00B0618E">
        <w:fldChar w:fldCharType="end"/>
      </w:r>
      <w:r w:rsidR="007A66AF" w:rsidRPr="00B0618E">
        <w:t xml:space="preserve">). </w:t>
      </w:r>
      <w:r w:rsidR="005567A1">
        <w:t xml:space="preserve">For interpretation of this result with regards to the structure of the groundwater flow model, see Section </w:t>
      </w:r>
      <w:r w:rsidR="005567A1">
        <w:fldChar w:fldCharType="begin"/>
      </w:r>
      <w:r w:rsidR="005567A1">
        <w:instrText xml:space="preserve"> REF _Ref476231200 \r \h </w:instrText>
      </w:r>
      <w:r w:rsidR="005567A1">
        <w:fldChar w:fldCharType="separate"/>
      </w:r>
      <w:r w:rsidR="000B6FA5">
        <w:t>3.5.1</w:t>
      </w:r>
      <w:r w:rsidR="005567A1">
        <w:fldChar w:fldCharType="end"/>
      </w:r>
      <w:r w:rsidR="005567A1">
        <w:t xml:space="preserve">. </w:t>
      </w:r>
      <w:r w:rsidRPr="00B0618E">
        <w:rPr>
          <w:color w:val="auto"/>
        </w:rPr>
        <w:t xml:space="preserve">This prediction was also found to be sensitive to </w:t>
      </w:r>
      <w:r w:rsidR="001665FC" w:rsidRPr="00B0618E">
        <w:rPr>
          <w:color w:val="auto"/>
        </w:rPr>
        <w:t xml:space="preserve">the horizontal </w:t>
      </w:r>
      <w:r w:rsidR="001665FC" w:rsidRPr="00B0618E">
        <w:rPr>
          <w:i/>
          <w:color w:val="auto"/>
        </w:rPr>
        <w:t>K</w:t>
      </w:r>
      <w:r w:rsidR="001665FC" w:rsidRPr="00B0618E">
        <w:rPr>
          <w:color w:val="auto"/>
        </w:rPr>
        <w:t xml:space="preserve"> of the Blythesdale Group aquitard</w:t>
      </w:r>
      <w:r w:rsidR="00CA2025" w:rsidRPr="00B0618E">
        <w:rPr>
          <w:color w:val="auto"/>
        </w:rPr>
        <w:t xml:space="preserve"> </w:t>
      </w:r>
      <w:r w:rsidR="007A66AF" w:rsidRPr="00B0618E">
        <w:rPr>
          <w:i/>
          <w:color w:val="auto"/>
        </w:rPr>
        <w:t>K</w:t>
      </w:r>
      <w:r w:rsidR="000B1240">
        <w:rPr>
          <w:i/>
          <w:color w:val="auto"/>
          <w:vertAlign w:val="subscript"/>
        </w:rPr>
        <w:t>H</w:t>
      </w:r>
      <w:r w:rsidR="007A66AF" w:rsidRPr="00B0618E">
        <w:rPr>
          <w:color w:val="auto"/>
        </w:rPr>
        <w:t xml:space="preserve">03 </w:t>
      </w:r>
      <w:r w:rsidR="00AC4590" w:rsidRPr="00B0618E">
        <w:rPr>
          <w:color w:val="auto"/>
        </w:rPr>
        <w:t>(</w:t>
      </w:r>
      <w:r w:rsidR="00AC4590" w:rsidRPr="00B0618E">
        <w:rPr>
          <w:color w:val="auto"/>
        </w:rPr>
        <w:fldChar w:fldCharType="begin"/>
      </w:r>
      <w:r w:rsidR="00AC4590" w:rsidRPr="00B0618E">
        <w:rPr>
          <w:color w:val="auto"/>
        </w:rPr>
        <w:instrText xml:space="preserve"> REF _Ref477380044 \h </w:instrText>
      </w:r>
      <w:r w:rsidR="00B0618E">
        <w:rPr>
          <w:color w:val="auto"/>
        </w:rPr>
        <w:instrText xml:space="preserve"> \* MERGEFORMAT </w:instrText>
      </w:r>
      <w:r w:rsidR="00AC4590" w:rsidRPr="00B0618E">
        <w:rPr>
          <w:color w:val="auto"/>
        </w:rPr>
      </w:r>
      <w:r w:rsidR="00AC4590" w:rsidRPr="00B0618E">
        <w:rPr>
          <w:color w:val="auto"/>
        </w:rPr>
        <w:fldChar w:fldCharType="separate"/>
      </w:r>
      <w:r w:rsidR="000B6FA5" w:rsidRPr="00B0618E">
        <w:t xml:space="preserve">Figure </w:t>
      </w:r>
      <w:r w:rsidR="000B6FA5">
        <w:rPr>
          <w:noProof/>
        </w:rPr>
        <w:t>5</w:t>
      </w:r>
      <w:r w:rsidR="000B6FA5">
        <w:rPr>
          <w:noProof/>
        </w:rPr>
        <w:noBreakHyphen/>
        <w:t>8</w:t>
      </w:r>
      <w:r w:rsidR="00AC4590" w:rsidRPr="00B0618E">
        <w:rPr>
          <w:color w:val="auto"/>
        </w:rPr>
        <w:fldChar w:fldCharType="end"/>
      </w:r>
      <w:r w:rsidR="007A66AF">
        <w:rPr>
          <w:color w:val="auto"/>
        </w:rPr>
        <w:t>b</w:t>
      </w:r>
      <w:r w:rsidR="00AC4590" w:rsidRPr="00B0618E">
        <w:rPr>
          <w:color w:val="auto"/>
        </w:rPr>
        <w:t>)</w:t>
      </w:r>
      <w:r w:rsidRPr="00B0618E">
        <w:rPr>
          <w:color w:val="auto"/>
        </w:rPr>
        <w:t xml:space="preserve">. </w:t>
      </w:r>
      <w:r w:rsidR="007A66AF">
        <w:rPr>
          <w:color w:val="auto"/>
        </w:rPr>
        <w:fldChar w:fldCharType="begin"/>
      </w:r>
      <w:r w:rsidR="007A66AF">
        <w:rPr>
          <w:color w:val="auto"/>
        </w:rPr>
        <w:instrText xml:space="preserve"> REF _Ref479532142 \h </w:instrText>
      </w:r>
      <w:r w:rsidR="007A66AF">
        <w:rPr>
          <w:color w:val="auto"/>
        </w:rPr>
      </w:r>
      <w:r w:rsidR="007A66AF">
        <w:rPr>
          <w:color w:val="auto"/>
        </w:rPr>
        <w:fldChar w:fldCharType="separate"/>
      </w:r>
      <w:r w:rsidR="000B6FA5">
        <w:t xml:space="preserve">Figure </w:t>
      </w:r>
      <w:r w:rsidR="000B6FA5">
        <w:rPr>
          <w:noProof/>
        </w:rPr>
        <w:t>5</w:t>
      </w:r>
      <w:r w:rsidR="000B6FA5">
        <w:noBreakHyphen/>
      </w:r>
      <w:r w:rsidR="000B6FA5">
        <w:rPr>
          <w:noProof/>
        </w:rPr>
        <w:t>9</w:t>
      </w:r>
      <w:r w:rsidR="007A66AF">
        <w:rPr>
          <w:color w:val="auto"/>
        </w:rPr>
        <w:fldChar w:fldCharType="end"/>
      </w:r>
      <w:r w:rsidR="007A66AF">
        <w:rPr>
          <w:color w:val="auto"/>
        </w:rPr>
        <w:t xml:space="preserve"> confirms that model parameter </w:t>
      </w:r>
      <w:r w:rsidR="007A66AF" w:rsidRPr="00B0618E">
        <w:rPr>
          <w:i/>
        </w:rPr>
        <w:t>K</w:t>
      </w:r>
      <w:r w:rsidR="000B1240">
        <w:rPr>
          <w:i/>
          <w:vertAlign w:val="subscript"/>
        </w:rPr>
        <w:t>H</w:t>
      </w:r>
      <w:r w:rsidR="007A66AF" w:rsidRPr="00B0618E">
        <w:t>01</w:t>
      </w:r>
      <w:r w:rsidR="007A66AF">
        <w:t xml:space="preserve"> is the </w:t>
      </w:r>
      <w:r w:rsidR="00104D2B">
        <w:t xml:space="preserve">only </w:t>
      </w:r>
      <w:r w:rsidR="007A66AF">
        <w:t>signi</w:t>
      </w:r>
      <w:r w:rsidR="00104D2B">
        <w:t>ficant model parameter with</w:t>
      </w:r>
      <w:r w:rsidR="007A66AF" w:rsidRPr="00B0618E">
        <w:t xml:space="preserve"> </w:t>
      </w:r>
      <w:r w:rsidR="005C3666">
        <w:rPr>
          <w:i/>
        </w:rPr>
        <w:t>δ</w:t>
      </w:r>
      <w:r w:rsidR="007A66AF" w:rsidRPr="00B0618E">
        <w:t>=0.287</w:t>
      </w:r>
      <w:r w:rsidR="00104D2B">
        <w:t xml:space="preserve"> and</w:t>
      </w:r>
      <w:r w:rsidR="007A66AF" w:rsidRPr="00B0618E">
        <w:t xml:space="preserve"> </w:t>
      </w:r>
      <w:r w:rsidR="007A66AF" w:rsidRPr="00B0618E">
        <w:rPr>
          <w:i/>
        </w:rPr>
        <w:t>S</w:t>
      </w:r>
      <w:r w:rsidR="007A66AF" w:rsidRPr="00B0618E">
        <w:rPr>
          <w:vertAlign w:val="subscript"/>
        </w:rPr>
        <w:t>1</w:t>
      </w:r>
      <w:r w:rsidR="007A66AF" w:rsidRPr="00B0618E">
        <w:t>=0.644</w:t>
      </w:r>
      <w:r w:rsidR="007A66AF" w:rsidRPr="00B0618E">
        <w:rPr>
          <w:color w:val="auto"/>
        </w:rPr>
        <w:t xml:space="preserve">; </w:t>
      </w:r>
      <w:r w:rsidR="00104D2B">
        <w:rPr>
          <w:color w:val="auto"/>
        </w:rPr>
        <w:t xml:space="preserve">although </w:t>
      </w:r>
      <w:r w:rsidR="00104D2B">
        <w:rPr>
          <w:color w:val="auto"/>
        </w:rPr>
        <w:fldChar w:fldCharType="begin"/>
      </w:r>
      <w:r w:rsidR="00104D2B">
        <w:rPr>
          <w:color w:val="auto"/>
        </w:rPr>
        <w:instrText xml:space="preserve"> REF _Ref477380044 \h </w:instrText>
      </w:r>
      <w:r w:rsidR="00104D2B">
        <w:rPr>
          <w:color w:val="auto"/>
        </w:rPr>
      </w:r>
      <w:r w:rsidR="00104D2B">
        <w:rPr>
          <w:color w:val="auto"/>
        </w:rPr>
        <w:fldChar w:fldCharType="separate"/>
      </w:r>
      <w:r w:rsidR="000B6FA5" w:rsidRPr="00B0618E">
        <w:t xml:space="preserve">Figure </w:t>
      </w:r>
      <w:r w:rsidR="000B6FA5">
        <w:rPr>
          <w:noProof/>
        </w:rPr>
        <w:t>5</w:t>
      </w:r>
      <w:r w:rsidR="000B6FA5">
        <w:noBreakHyphen/>
      </w:r>
      <w:r w:rsidR="000B6FA5">
        <w:rPr>
          <w:noProof/>
        </w:rPr>
        <w:t>8</w:t>
      </w:r>
      <w:r w:rsidR="00104D2B">
        <w:rPr>
          <w:color w:val="auto"/>
        </w:rPr>
        <w:fldChar w:fldCharType="end"/>
      </w:r>
      <w:r w:rsidR="00104D2B">
        <w:rPr>
          <w:color w:val="auto"/>
        </w:rPr>
        <w:t xml:space="preserve"> suggests that parameter </w:t>
      </w:r>
      <w:r w:rsidR="00104D2B" w:rsidRPr="00B0618E">
        <w:rPr>
          <w:i/>
          <w:color w:val="auto"/>
        </w:rPr>
        <w:t>K</w:t>
      </w:r>
      <w:r w:rsidR="000B1240">
        <w:rPr>
          <w:i/>
          <w:color w:val="auto"/>
          <w:vertAlign w:val="subscript"/>
        </w:rPr>
        <w:t>H</w:t>
      </w:r>
      <w:r w:rsidR="00104D2B" w:rsidRPr="00B0618E">
        <w:rPr>
          <w:color w:val="auto"/>
        </w:rPr>
        <w:t>03</w:t>
      </w:r>
      <w:r w:rsidR="00104D2B">
        <w:rPr>
          <w:color w:val="auto"/>
        </w:rPr>
        <w:t xml:space="preserve"> is also a sensitive parameter, this is not confirmed when considering the magnitude of the sensitivity metrics (</w:t>
      </w:r>
      <w:r w:rsidR="005C3666">
        <w:rPr>
          <w:i/>
          <w:color w:val="auto"/>
        </w:rPr>
        <w:t>δ</w:t>
      </w:r>
      <w:r w:rsidR="007A66AF" w:rsidRPr="00B0618E">
        <w:rPr>
          <w:color w:val="auto"/>
        </w:rPr>
        <w:t xml:space="preserve">=0.100, </w:t>
      </w:r>
      <w:r w:rsidR="007A66AF" w:rsidRPr="00B0618E">
        <w:rPr>
          <w:i/>
          <w:color w:val="auto"/>
        </w:rPr>
        <w:t>S</w:t>
      </w:r>
      <w:r w:rsidR="007A66AF" w:rsidRPr="00B0618E">
        <w:rPr>
          <w:color w:val="auto"/>
          <w:vertAlign w:val="subscript"/>
        </w:rPr>
        <w:t>1</w:t>
      </w:r>
      <w:r w:rsidR="007A66AF" w:rsidRPr="00B0618E">
        <w:rPr>
          <w:color w:val="auto"/>
        </w:rPr>
        <w:t>=0.049)</w:t>
      </w:r>
      <w:r w:rsidR="00104D2B">
        <w:rPr>
          <w:color w:val="auto"/>
        </w:rPr>
        <w:t>.</w:t>
      </w:r>
    </w:p>
    <w:p w14:paraId="5078F896" w14:textId="150D56C0" w:rsidR="003C0F40" w:rsidRPr="00B0618E" w:rsidRDefault="003C0F40" w:rsidP="003C0F40">
      <w:pPr>
        <w:pStyle w:val="BodyText"/>
        <w:rPr>
          <w:color w:val="auto"/>
        </w:rPr>
      </w:pPr>
      <w:r w:rsidRPr="00B0618E">
        <w:rPr>
          <w:color w:val="auto"/>
        </w:rPr>
        <w:t xml:space="preserve">The uncertainty of this </w:t>
      </w:r>
      <w:r w:rsidR="004A1AED" w:rsidRPr="00B0618E">
        <w:rPr>
          <w:color w:val="auto"/>
        </w:rPr>
        <w:t xml:space="preserve">metric </w:t>
      </w:r>
      <w:r w:rsidRPr="00B0618E">
        <w:rPr>
          <w:color w:val="auto"/>
        </w:rPr>
        <w:t>did not vary significantly with increasing sample size</w:t>
      </w:r>
      <w:r w:rsidR="004A1AED" w:rsidRPr="00B0618E">
        <w:rPr>
          <w:color w:val="auto"/>
        </w:rPr>
        <w:t xml:space="preserve"> (</w:t>
      </w:r>
      <w:r w:rsidR="004A1AED" w:rsidRPr="00B0618E">
        <w:rPr>
          <w:color w:val="auto"/>
        </w:rPr>
        <w:fldChar w:fldCharType="begin"/>
      </w:r>
      <w:r w:rsidR="004A1AED" w:rsidRPr="00B0618E">
        <w:rPr>
          <w:color w:val="auto"/>
        </w:rPr>
        <w:instrText xml:space="preserve"> REF _Ref467686734 \h </w:instrText>
      </w:r>
      <w:r w:rsidR="00B0618E">
        <w:rPr>
          <w:color w:val="auto"/>
        </w:rPr>
        <w:instrText xml:space="preserve"> \* MERGEFORMAT </w:instrText>
      </w:r>
      <w:r w:rsidR="004A1AED" w:rsidRPr="00B0618E">
        <w:rPr>
          <w:color w:val="auto"/>
        </w:rPr>
      </w:r>
      <w:r w:rsidR="004A1AED" w:rsidRPr="00B0618E">
        <w:rPr>
          <w:color w:val="auto"/>
        </w:rPr>
        <w:fldChar w:fldCharType="separate"/>
      </w:r>
      <w:r w:rsidR="000B6FA5" w:rsidRPr="00B0618E">
        <w:t xml:space="preserve">Figure </w:t>
      </w:r>
      <w:r w:rsidR="000B6FA5">
        <w:rPr>
          <w:noProof/>
        </w:rPr>
        <w:t>5</w:t>
      </w:r>
      <w:r w:rsidR="000B6FA5">
        <w:rPr>
          <w:noProof/>
        </w:rPr>
        <w:noBreakHyphen/>
        <w:t>3</w:t>
      </w:r>
      <w:r w:rsidR="004A1AED" w:rsidRPr="00B0618E">
        <w:rPr>
          <w:color w:val="auto"/>
        </w:rPr>
        <w:fldChar w:fldCharType="end"/>
      </w:r>
      <w:r w:rsidR="004A1AED" w:rsidRPr="00B0618E">
        <w:rPr>
          <w:color w:val="auto"/>
        </w:rPr>
        <w:t>)</w:t>
      </w:r>
      <w:r w:rsidRPr="00B0618E">
        <w:rPr>
          <w:color w:val="auto"/>
        </w:rPr>
        <w:t xml:space="preserve">. </w:t>
      </w:r>
      <w:r w:rsidR="001532B1" w:rsidRPr="00B0618E">
        <w:rPr>
          <w:color w:val="auto"/>
        </w:rPr>
        <w:t xml:space="preserve">Predicted values ranged from zero to 100 cells. </w:t>
      </w:r>
      <w:r w:rsidRPr="00B0618E">
        <w:rPr>
          <w:color w:val="auto"/>
        </w:rPr>
        <w:t>Th</w:t>
      </w:r>
      <w:r w:rsidR="00513469" w:rsidRPr="00B0618E">
        <w:rPr>
          <w:color w:val="auto"/>
        </w:rPr>
        <w:t>e 10</w:t>
      </w:r>
      <w:r w:rsidRPr="00B0618E">
        <w:rPr>
          <w:color w:val="auto"/>
          <w:vertAlign w:val="superscript"/>
        </w:rPr>
        <w:t>th</w:t>
      </w:r>
      <w:r w:rsidRPr="00B0618E">
        <w:rPr>
          <w:color w:val="auto"/>
        </w:rPr>
        <w:t xml:space="preserve"> percentile and median values were consistently zeros cells and th</w:t>
      </w:r>
      <w:r w:rsidR="00513469" w:rsidRPr="00B0618E">
        <w:rPr>
          <w:color w:val="auto"/>
        </w:rPr>
        <w:t>e 90</w:t>
      </w:r>
      <w:r w:rsidRPr="00B0618E">
        <w:rPr>
          <w:color w:val="auto"/>
          <w:vertAlign w:val="superscript"/>
        </w:rPr>
        <w:t>th</w:t>
      </w:r>
      <w:r w:rsidRPr="00B0618E">
        <w:rPr>
          <w:color w:val="auto"/>
        </w:rPr>
        <w:t xml:space="preserve"> percentile value was consistently 6</w:t>
      </w:r>
      <w:r w:rsidR="00EF358E" w:rsidRPr="00B0618E">
        <w:rPr>
          <w:color w:val="auto"/>
        </w:rPr>
        <w:t>4</w:t>
      </w:r>
      <w:r w:rsidRPr="00B0618E">
        <w:rPr>
          <w:color w:val="auto"/>
        </w:rPr>
        <w:t xml:space="preserve"> cells.</w:t>
      </w:r>
    </w:p>
    <w:p w14:paraId="4BE5740C" w14:textId="20440CE1" w:rsidR="008F34AF" w:rsidRPr="00B0618E" w:rsidRDefault="00DC4D6D" w:rsidP="00104D2B">
      <w:pPr>
        <w:pStyle w:val="BodyText"/>
        <w:keepNext/>
        <w:jc w:val="center"/>
        <w:rPr>
          <w:color w:val="FF0000"/>
        </w:rPr>
      </w:pPr>
      <w:r>
        <w:rPr>
          <w:noProof/>
          <w:color w:val="FF0000"/>
        </w:rPr>
        <w:drawing>
          <wp:inline distT="0" distB="0" distL="0" distR="0" wp14:anchorId="0930140E" wp14:editId="53008EBF">
            <wp:extent cx="6101861" cy="3050931"/>
            <wp:effectExtent l="0" t="0" r="0" b="0"/>
            <wp:docPr id="139" name="Picture 139" descr="Charts of relative rankings of ten parameters used in the model" title="Fig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OWS_FAM\Models\Version7_analysis\Plot_bootstrap_outputs_v03_160217_ranks_NDD.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15895" cy="3057948"/>
                    </a:xfrm>
                    <a:prstGeom prst="rect">
                      <a:avLst/>
                    </a:prstGeom>
                    <a:noFill/>
                    <a:ln>
                      <a:noFill/>
                    </a:ln>
                  </pic:spPr>
                </pic:pic>
              </a:graphicData>
            </a:graphic>
          </wp:inline>
        </w:drawing>
      </w:r>
    </w:p>
    <w:p w14:paraId="3CA1DD3B" w14:textId="3A1F33D5" w:rsidR="008F34AF" w:rsidRDefault="008F34AF" w:rsidP="008F34AF">
      <w:pPr>
        <w:pStyle w:val="Caption"/>
      </w:pPr>
      <w:bookmarkStart w:id="134" w:name="_Ref477380044"/>
      <w:bookmarkStart w:id="135" w:name="_Toc482034928"/>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8</w:t>
      </w:r>
      <w:r w:rsidR="00A2085C">
        <w:rPr>
          <w:noProof/>
        </w:rPr>
        <w:fldChar w:fldCharType="end"/>
      </w:r>
      <w:bookmarkEnd w:id="134"/>
      <w:r w:rsidRPr="00B0618E">
        <w:t xml:space="preserve">. </w:t>
      </w:r>
      <w:r w:rsidR="00DD64D3" w:rsidRPr="00B0618E">
        <w:t>Relative rankings of ten parameters used by the revised Gunnedah</w:t>
      </w:r>
      <w:r w:rsidR="000B1240">
        <w:t>-Surat</w:t>
      </w:r>
      <w:r w:rsidR="00DD64D3" w:rsidRPr="00B0618E">
        <w:t xml:space="preserve"> </w:t>
      </w:r>
      <w:r w:rsidR="000B1240">
        <w:t>b</w:t>
      </w:r>
      <w:r w:rsidR="00DD64D3" w:rsidRPr="00B0618E">
        <w:t>asin</w:t>
      </w:r>
      <w:r w:rsidR="000B1240">
        <w:t>s</w:t>
      </w:r>
      <w:r w:rsidR="00DD64D3" w:rsidRPr="00B0618E">
        <w:t xml:space="preserve"> groundwater flow model (</w:t>
      </w:r>
      <w:r w:rsidR="004A1AED" w:rsidRPr="00B0618E">
        <w:t xml:space="preserve">most sensitive = </w:t>
      </w:r>
      <w:r w:rsidR="00DD64D3" w:rsidRPr="00B0618E">
        <w:t xml:space="preserve">red, </w:t>
      </w:r>
      <w:r w:rsidR="004A1AED" w:rsidRPr="00B0618E">
        <w:t xml:space="preserve">second most sensitive = </w:t>
      </w:r>
      <w:r w:rsidR="00DD64D3" w:rsidRPr="00B0618E">
        <w:t xml:space="preserve">blue, </w:t>
      </w:r>
      <w:r w:rsidR="004A1AED" w:rsidRPr="00B0618E">
        <w:t xml:space="preserve">third most sensitive = </w:t>
      </w:r>
      <w:r w:rsidR="00DD64D3" w:rsidRPr="00B0618E">
        <w:t xml:space="preserve">green; </w:t>
      </w:r>
      <w:r w:rsidR="004A1AED" w:rsidRPr="00B0618E">
        <w:t>less sensitive parameters are</w:t>
      </w:r>
      <w:r w:rsidR="00DD64D3" w:rsidRPr="00B0618E">
        <w:t xml:space="preserve"> shown in grey) to which the prediction of drawdown spatial extent in the Pilliga Sandstone aquifer was most sensitive.</w:t>
      </w:r>
      <w:r w:rsidR="00104D2B" w:rsidRPr="00104D2B">
        <w:t xml:space="preserve"> </w:t>
      </w:r>
      <w:r w:rsidR="00104D2B" w:rsidRPr="00B0618E">
        <w:t>Parameter rankings were based on two global sensitivity analysis metrics: (a) the Delta Moment-Independent Measure (</w:t>
      </w:r>
      <w:r w:rsidR="005C3666">
        <w:rPr>
          <w:i/>
        </w:rPr>
        <w:t>δ</w:t>
      </w:r>
      <w:r w:rsidR="00104D2B" w:rsidRPr="00B0618E">
        <w:t>; Plischke et al., 2013) and (b) the first order Sobol’ metric (</w:t>
      </w:r>
      <w:r w:rsidR="00104D2B" w:rsidRPr="00B0618E">
        <w:rPr>
          <w:i/>
        </w:rPr>
        <w:t>S</w:t>
      </w:r>
      <w:r w:rsidR="00104D2B" w:rsidRPr="00B0618E">
        <w:rPr>
          <w:vertAlign w:val="subscript"/>
        </w:rPr>
        <w:t>1</w:t>
      </w:r>
      <w:r w:rsidR="00104D2B" w:rsidRPr="00B0618E">
        <w:t>; Sobol’, 2001).</w:t>
      </w:r>
      <w:bookmarkEnd w:id="135"/>
    </w:p>
    <w:p w14:paraId="170C2B3D" w14:textId="77777777" w:rsidR="00C67EEA" w:rsidRDefault="00C67EEA" w:rsidP="00C67EEA">
      <w:pPr>
        <w:pStyle w:val="BodyText"/>
      </w:pPr>
    </w:p>
    <w:p w14:paraId="134930A1" w14:textId="77777777" w:rsidR="009E61C4" w:rsidRPr="00C67EEA" w:rsidRDefault="009E61C4" w:rsidP="00C67EEA">
      <w:pPr>
        <w:pStyle w:val="BodyText"/>
      </w:pPr>
    </w:p>
    <w:p w14:paraId="1DDD9CE3" w14:textId="6736E277" w:rsidR="0063124F" w:rsidRDefault="004B2EBA" w:rsidP="0063124F">
      <w:pPr>
        <w:pStyle w:val="BodyText"/>
      </w:pPr>
      <w:r>
        <w:rPr>
          <w:noProof/>
        </w:rPr>
        <w:drawing>
          <wp:inline distT="0" distB="0" distL="0" distR="0" wp14:anchorId="5AEF4E65" wp14:editId="4CBCAE29">
            <wp:extent cx="6242540" cy="3121270"/>
            <wp:effectExtent l="0" t="0" r="6350" b="3175"/>
            <wp:docPr id="148" name="Picture 148" descr="Chart of sensitivity analysis result for 20 model parameters" title="Fig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Y:\OWS_FAM\Models\Version7_analysis\Plot_GSA_metric_values_300_runs_070417_NDD.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45034" cy="3122517"/>
                    </a:xfrm>
                    <a:prstGeom prst="rect">
                      <a:avLst/>
                    </a:prstGeom>
                    <a:noFill/>
                    <a:ln>
                      <a:noFill/>
                    </a:ln>
                  </pic:spPr>
                </pic:pic>
              </a:graphicData>
            </a:graphic>
          </wp:inline>
        </w:drawing>
      </w:r>
    </w:p>
    <w:p w14:paraId="3AAA791A" w14:textId="5A14409A" w:rsidR="00797313" w:rsidRDefault="00797313" w:rsidP="00797313">
      <w:pPr>
        <w:pStyle w:val="Caption"/>
      </w:pPr>
      <w:bookmarkStart w:id="136" w:name="_Ref479532142"/>
      <w:bookmarkStart w:id="137" w:name="_Toc482034929"/>
      <w:r>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9</w:t>
      </w:r>
      <w:r w:rsidR="00A2085C">
        <w:rPr>
          <w:noProof/>
        </w:rPr>
        <w:fldChar w:fldCharType="end"/>
      </w:r>
      <w:bookmarkEnd w:id="136"/>
      <w:r>
        <w:t xml:space="preserve"> G</w:t>
      </w:r>
      <w:r w:rsidRPr="00B0618E">
        <w:t>lobal sensitivity analysis metrics</w:t>
      </w:r>
      <w:r>
        <w:t xml:space="preserve"> of 20 model parameters in relation to spatial extent of maximum drawdown.</w:t>
      </w:r>
      <w:r w:rsidRPr="00B0618E">
        <w:t xml:space="preserve"> (a) Delta Moment-Independent Measure (</w:t>
      </w:r>
      <w:r w:rsidR="005C3666">
        <w:rPr>
          <w:i/>
        </w:rPr>
        <w:t>δ</w:t>
      </w:r>
      <w:r w:rsidRPr="00B0618E">
        <w:t>; Plischke et al., 2013) and (b) first order Sobol’ metric (</w:t>
      </w:r>
      <w:r w:rsidRPr="00B0618E">
        <w:rPr>
          <w:i/>
        </w:rPr>
        <w:t>S</w:t>
      </w:r>
      <w:r w:rsidRPr="00B0618E">
        <w:rPr>
          <w:vertAlign w:val="subscript"/>
        </w:rPr>
        <w:t>1</w:t>
      </w:r>
      <w:r w:rsidRPr="00B0618E">
        <w:t xml:space="preserve">; Sobol’, 2001). Sample size for metric computation </w:t>
      </w:r>
      <w:r>
        <w:t>is</w:t>
      </w:r>
      <w:r w:rsidRPr="00B0618E">
        <w:t xml:space="preserve"> 300 model runs.</w:t>
      </w:r>
      <w:bookmarkEnd w:id="137"/>
    </w:p>
    <w:p w14:paraId="3C47529C" w14:textId="77777777" w:rsidR="009E61C4" w:rsidRPr="009E61C4" w:rsidRDefault="009E61C4" w:rsidP="009E61C4">
      <w:pPr>
        <w:pStyle w:val="BodyText"/>
      </w:pPr>
    </w:p>
    <w:p w14:paraId="28B0F75A" w14:textId="48E38D1D" w:rsidR="004E5193" w:rsidRPr="00B0618E" w:rsidRDefault="004E5193" w:rsidP="004E5193">
      <w:pPr>
        <w:pStyle w:val="Heading3"/>
      </w:pPr>
      <w:r w:rsidRPr="00B0618E">
        <w:t xml:space="preserve">Prediction </w:t>
      </w:r>
      <w:r w:rsidR="00C67EEA">
        <w:t xml:space="preserve">metric </w:t>
      </w:r>
      <w:r w:rsidRPr="00B0618E">
        <w:t>4: Maximum vertical flux</w:t>
      </w:r>
    </w:p>
    <w:p w14:paraId="280E0626" w14:textId="1C275B0C" w:rsidR="007659AE" w:rsidRPr="00B0618E" w:rsidRDefault="003C0F40" w:rsidP="003C0F40">
      <w:pPr>
        <w:pStyle w:val="BodyText"/>
        <w:rPr>
          <w:color w:val="auto"/>
        </w:rPr>
      </w:pPr>
      <w:r w:rsidRPr="00B0618E">
        <w:t xml:space="preserve">The prediction of maximum flux </w:t>
      </w:r>
      <w:r w:rsidR="004A1AED" w:rsidRPr="00B0618E">
        <w:t>w</w:t>
      </w:r>
      <w:r w:rsidRPr="00B0618E">
        <w:t xml:space="preserve">as found to be most sensitive to the </w:t>
      </w:r>
      <w:r w:rsidR="001665FC" w:rsidRPr="00B0618E">
        <w:t xml:space="preserve">vertical </w:t>
      </w:r>
      <w:r w:rsidRPr="00B0618E">
        <w:rPr>
          <w:i/>
        </w:rPr>
        <w:t>K</w:t>
      </w:r>
      <w:r w:rsidRPr="00B0618E">
        <w:t xml:space="preserve"> of the </w:t>
      </w:r>
      <w:r w:rsidR="001665FC" w:rsidRPr="00B0618E">
        <w:t xml:space="preserve">upper </w:t>
      </w:r>
      <w:r w:rsidRPr="00B0618E">
        <w:t xml:space="preserve">aquitard sequence </w:t>
      </w:r>
      <w:r w:rsidR="001665FC" w:rsidRPr="00B0618E">
        <w:rPr>
          <w:i/>
        </w:rPr>
        <w:t>K</w:t>
      </w:r>
      <w:r w:rsidR="003B53CD" w:rsidRPr="00B0618E">
        <w:rPr>
          <w:i/>
          <w:vertAlign w:val="subscript"/>
        </w:rPr>
        <w:t>V</w:t>
      </w:r>
      <w:r w:rsidR="001665FC" w:rsidRPr="00B0618E">
        <w:t>05</w:t>
      </w:r>
      <w:r w:rsidR="00C67EEA">
        <w:t xml:space="preserve"> </w:t>
      </w:r>
      <w:r w:rsidR="00C67EEA" w:rsidRPr="00B0618E">
        <w:t>(</w:t>
      </w:r>
      <w:r w:rsidR="00C67EEA" w:rsidRPr="00B0618E">
        <w:fldChar w:fldCharType="begin"/>
      </w:r>
      <w:r w:rsidR="00C67EEA" w:rsidRPr="00B0618E">
        <w:instrText xml:space="preserve"> REF _Ref477380198 \h </w:instrText>
      </w:r>
      <w:r w:rsidR="00C67EEA">
        <w:instrText xml:space="preserve"> \* MERGEFORMAT </w:instrText>
      </w:r>
      <w:r w:rsidR="00C67EEA" w:rsidRPr="00B0618E">
        <w:fldChar w:fldCharType="separate"/>
      </w:r>
      <w:r w:rsidR="000B6FA5" w:rsidRPr="00B0618E">
        <w:t xml:space="preserve">Figure </w:t>
      </w:r>
      <w:r w:rsidR="000B6FA5">
        <w:rPr>
          <w:noProof/>
        </w:rPr>
        <w:t>5</w:t>
      </w:r>
      <w:r w:rsidR="000B6FA5">
        <w:rPr>
          <w:noProof/>
        </w:rPr>
        <w:noBreakHyphen/>
        <w:t>10</w:t>
      </w:r>
      <w:r w:rsidR="00C67EEA" w:rsidRPr="00B0618E">
        <w:fldChar w:fldCharType="end"/>
      </w:r>
      <w:r w:rsidR="00C67EEA" w:rsidRPr="00B0618E">
        <w:t>)</w:t>
      </w:r>
      <w:r w:rsidR="00C67EEA">
        <w:t>.</w:t>
      </w:r>
      <w:r w:rsidR="001665FC" w:rsidRPr="00B0618E">
        <w:t xml:space="preserve"> </w:t>
      </w:r>
      <w:r w:rsidR="00C67EEA">
        <w:t xml:space="preserve">Other model parameters such as </w:t>
      </w:r>
      <w:r w:rsidR="001665FC" w:rsidRPr="00B0618E">
        <w:rPr>
          <w:color w:val="auto"/>
        </w:rPr>
        <w:t xml:space="preserve">the </w:t>
      </w:r>
      <w:r w:rsidR="00737D7F" w:rsidRPr="00B0618E">
        <w:rPr>
          <w:color w:val="auto"/>
        </w:rPr>
        <w:t>vertical</w:t>
      </w:r>
      <w:r w:rsidR="001665FC" w:rsidRPr="00B0618E">
        <w:rPr>
          <w:color w:val="auto"/>
        </w:rPr>
        <w:t xml:space="preserve"> </w:t>
      </w:r>
      <w:r w:rsidR="001665FC" w:rsidRPr="00B0618E">
        <w:rPr>
          <w:i/>
          <w:color w:val="auto"/>
        </w:rPr>
        <w:t>K</w:t>
      </w:r>
      <w:r w:rsidR="001665FC" w:rsidRPr="00B0618E">
        <w:rPr>
          <w:color w:val="auto"/>
        </w:rPr>
        <w:t xml:space="preserve"> </w:t>
      </w:r>
      <w:r w:rsidR="007659AE" w:rsidRPr="00B0618E">
        <w:rPr>
          <w:color w:val="auto"/>
        </w:rPr>
        <w:t>of the Pilliga Sandstone aquifer</w:t>
      </w:r>
      <w:r w:rsidR="00C67EEA">
        <w:rPr>
          <w:color w:val="auto"/>
        </w:rPr>
        <w:t>,</w:t>
      </w:r>
      <w:r w:rsidR="007659AE" w:rsidRPr="00B0618E">
        <w:rPr>
          <w:color w:val="auto"/>
        </w:rPr>
        <w:t xml:space="preserve"> </w:t>
      </w:r>
      <w:r w:rsidR="00737D7F" w:rsidRPr="00B0618E">
        <w:rPr>
          <w:i/>
          <w:color w:val="auto"/>
        </w:rPr>
        <w:t>K</w:t>
      </w:r>
      <w:r w:rsidR="00381465">
        <w:rPr>
          <w:i/>
          <w:color w:val="auto"/>
          <w:vertAlign w:val="subscript"/>
        </w:rPr>
        <w:t>V</w:t>
      </w:r>
      <w:r w:rsidR="00737D7F" w:rsidRPr="00B0618E">
        <w:rPr>
          <w:color w:val="auto"/>
        </w:rPr>
        <w:t>04</w:t>
      </w:r>
      <w:r w:rsidR="00C67EEA">
        <w:rPr>
          <w:color w:val="auto"/>
        </w:rPr>
        <w:t xml:space="preserve">, and </w:t>
      </w:r>
      <w:r w:rsidR="007659AE" w:rsidRPr="00B0618E">
        <w:rPr>
          <w:color w:val="auto"/>
        </w:rPr>
        <w:t xml:space="preserve">the </w:t>
      </w:r>
      <w:r w:rsidR="00737D7F" w:rsidRPr="00B0618E">
        <w:rPr>
          <w:color w:val="auto"/>
        </w:rPr>
        <w:t xml:space="preserve">horizontal </w:t>
      </w:r>
      <w:r w:rsidR="001665FC" w:rsidRPr="00B0618E">
        <w:rPr>
          <w:i/>
          <w:color w:val="auto"/>
        </w:rPr>
        <w:t>K</w:t>
      </w:r>
      <w:r w:rsidR="001665FC" w:rsidRPr="00B0618E">
        <w:rPr>
          <w:color w:val="auto"/>
        </w:rPr>
        <w:t xml:space="preserve"> </w:t>
      </w:r>
      <w:r w:rsidR="007659AE" w:rsidRPr="00B0618E">
        <w:rPr>
          <w:color w:val="auto"/>
        </w:rPr>
        <w:t xml:space="preserve">of the Namoi Alluvium aquifer </w:t>
      </w:r>
      <w:r w:rsidR="00C67EEA" w:rsidRPr="00B0618E">
        <w:rPr>
          <w:i/>
          <w:color w:val="auto"/>
        </w:rPr>
        <w:t>K</w:t>
      </w:r>
      <w:r w:rsidR="00381465">
        <w:rPr>
          <w:i/>
          <w:color w:val="auto"/>
          <w:vertAlign w:val="subscript"/>
        </w:rPr>
        <w:t>H</w:t>
      </w:r>
      <w:r w:rsidR="00C67EEA" w:rsidRPr="00B0618E">
        <w:rPr>
          <w:color w:val="auto"/>
        </w:rPr>
        <w:t xml:space="preserve">01 </w:t>
      </w:r>
      <w:r w:rsidR="00C67EEA">
        <w:rPr>
          <w:color w:val="auto"/>
        </w:rPr>
        <w:t xml:space="preserve">are not significant </w:t>
      </w:r>
      <w:r w:rsidR="004A1AED" w:rsidRPr="00B0618E">
        <w:rPr>
          <w:color w:val="auto"/>
        </w:rPr>
        <w:t>(</w:t>
      </w:r>
      <w:r w:rsidR="004A1AED" w:rsidRPr="00B0618E">
        <w:rPr>
          <w:color w:val="auto"/>
        </w:rPr>
        <w:fldChar w:fldCharType="begin"/>
      </w:r>
      <w:r w:rsidR="004A1AED" w:rsidRPr="00B0618E">
        <w:rPr>
          <w:color w:val="auto"/>
        </w:rPr>
        <w:instrText xml:space="preserve"> REF _Ref477380198 \h </w:instrText>
      </w:r>
      <w:r w:rsidR="00B0618E">
        <w:rPr>
          <w:color w:val="auto"/>
        </w:rPr>
        <w:instrText xml:space="preserve"> \* MERGEFORMAT </w:instrText>
      </w:r>
      <w:r w:rsidR="004A1AED" w:rsidRPr="00B0618E">
        <w:rPr>
          <w:color w:val="auto"/>
        </w:rPr>
      </w:r>
      <w:r w:rsidR="004A1AED" w:rsidRPr="00B0618E">
        <w:rPr>
          <w:color w:val="auto"/>
        </w:rPr>
        <w:fldChar w:fldCharType="separate"/>
      </w:r>
      <w:r w:rsidR="000B6FA5" w:rsidRPr="00B0618E">
        <w:t xml:space="preserve">Figure </w:t>
      </w:r>
      <w:r w:rsidR="000B6FA5">
        <w:rPr>
          <w:noProof/>
        </w:rPr>
        <w:t>5</w:t>
      </w:r>
      <w:r w:rsidR="000B6FA5">
        <w:rPr>
          <w:noProof/>
        </w:rPr>
        <w:noBreakHyphen/>
        <w:t>10</w:t>
      </w:r>
      <w:r w:rsidR="004A1AED" w:rsidRPr="00B0618E">
        <w:rPr>
          <w:color w:val="auto"/>
        </w:rPr>
        <w:fldChar w:fldCharType="end"/>
      </w:r>
      <w:r w:rsidR="004A1AED" w:rsidRPr="00B0618E">
        <w:rPr>
          <w:color w:val="auto"/>
        </w:rPr>
        <w:t>)</w:t>
      </w:r>
      <w:r w:rsidR="00513469" w:rsidRPr="00B0618E">
        <w:rPr>
          <w:color w:val="auto"/>
        </w:rPr>
        <w:t xml:space="preserve">. </w:t>
      </w:r>
      <w:r w:rsidR="00C67EEA">
        <w:rPr>
          <w:color w:val="auto"/>
        </w:rPr>
        <w:t>Indeed, only</w:t>
      </w:r>
      <w:r w:rsidR="00C67EEA" w:rsidRPr="00C67EEA">
        <w:rPr>
          <w:i/>
        </w:rPr>
        <w:t xml:space="preserve"> </w:t>
      </w:r>
      <w:r w:rsidR="00C67EEA" w:rsidRPr="00B0618E">
        <w:rPr>
          <w:i/>
        </w:rPr>
        <w:t>K</w:t>
      </w:r>
      <w:r w:rsidR="00C67EEA" w:rsidRPr="00B0618E">
        <w:rPr>
          <w:i/>
          <w:vertAlign w:val="subscript"/>
        </w:rPr>
        <w:t>V</w:t>
      </w:r>
      <w:r w:rsidR="00C67EEA" w:rsidRPr="00B0618E">
        <w:t>05</w:t>
      </w:r>
      <w:r w:rsidR="00C67EEA">
        <w:t xml:space="preserve"> shows sensitivity metrics significantly larger than all the other parameters, i.e.</w:t>
      </w:r>
      <w:r w:rsidR="00C67EEA">
        <w:rPr>
          <w:color w:val="auto"/>
        </w:rPr>
        <w:t xml:space="preserve"> </w:t>
      </w:r>
      <w:r w:rsidR="005C3666">
        <w:rPr>
          <w:i/>
        </w:rPr>
        <w:t>δ</w:t>
      </w:r>
      <w:r w:rsidR="00C67EEA" w:rsidRPr="00B0618E">
        <w:t>=0.414</w:t>
      </w:r>
      <w:r w:rsidR="00C67EEA">
        <w:t xml:space="preserve"> and</w:t>
      </w:r>
      <w:r w:rsidR="00C67EEA" w:rsidRPr="00B0618E">
        <w:t xml:space="preserve"> </w:t>
      </w:r>
      <w:r w:rsidR="00C67EEA" w:rsidRPr="00B0618E">
        <w:rPr>
          <w:i/>
        </w:rPr>
        <w:t>S</w:t>
      </w:r>
      <w:r w:rsidR="00C67EEA" w:rsidRPr="00B0618E">
        <w:rPr>
          <w:vertAlign w:val="subscript"/>
        </w:rPr>
        <w:t>1</w:t>
      </w:r>
      <w:r w:rsidR="00C67EEA" w:rsidRPr="00B0618E">
        <w:t>=0.651</w:t>
      </w:r>
      <w:r w:rsidR="00C67EEA">
        <w:t xml:space="preserve"> (</w:t>
      </w:r>
      <w:r w:rsidR="00C67EEA">
        <w:fldChar w:fldCharType="begin"/>
      </w:r>
      <w:r w:rsidR="00C67EEA">
        <w:instrText xml:space="preserve"> REF _Ref479533466 \h </w:instrText>
      </w:r>
      <w:r w:rsidR="00C67EEA">
        <w:fldChar w:fldCharType="separate"/>
      </w:r>
      <w:r w:rsidR="000B6FA5">
        <w:t xml:space="preserve">Figure </w:t>
      </w:r>
      <w:r w:rsidR="000B6FA5">
        <w:rPr>
          <w:noProof/>
        </w:rPr>
        <w:t>5</w:t>
      </w:r>
      <w:r w:rsidR="000B6FA5">
        <w:noBreakHyphen/>
      </w:r>
      <w:r w:rsidR="000B6FA5">
        <w:rPr>
          <w:noProof/>
        </w:rPr>
        <w:t>11</w:t>
      </w:r>
      <w:r w:rsidR="00C67EEA">
        <w:fldChar w:fldCharType="end"/>
      </w:r>
      <w:r w:rsidR="00C67EEA" w:rsidRPr="00B0618E">
        <w:t>).</w:t>
      </w:r>
      <w:r w:rsidR="00C67EEA">
        <w:t xml:space="preserve"> For parameters </w:t>
      </w:r>
      <w:r w:rsidR="00C67EEA" w:rsidRPr="00B0618E">
        <w:rPr>
          <w:i/>
          <w:color w:val="auto"/>
        </w:rPr>
        <w:t>K</w:t>
      </w:r>
      <w:r w:rsidR="00381465">
        <w:rPr>
          <w:i/>
          <w:color w:val="auto"/>
          <w:vertAlign w:val="subscript"/>
        </w:rPr>
        <w:t>V</w:t>
      </w:r>
      <w:r w:rsidR="00C67EEA" w:rsidRPr="00B0618E">
        <w:rPr>
          <w:color w:val="auto"/>
        </w:rPr>
        <w:t>04</w:t>
      </w:r>
      <w:r w:rsidR="00C67EEA">
        <w:rPr>
          <w:color w:val="auto"/>
        </w:rPr>
        <w:t xml:space="preserve"> and </w:t>
      </w:r>
      <w:r w:rsidR="00C67EEA" w:rsidRPr="00B0618E">
        <w:rPr>
          <w:i/>
          <w:color w:val="auto"/>
        </w:rPr>
        <w:t>K</w:t>
      </w:r>
      <w:r w:rsidR="00381465">
        <w:rPr>
          <w:i/>
          <w:color w:val="auto"/>
          <w:vertAlign w:val="subscript"/>
        </w:rPr>
        <w:t>H</w:t>
      </w:r>
      <w:r w:rsidR="00C67EEA" w:rsidRPr="00B0618E">
        <w:rPr>
          <w:color w:val="auto"/>
        </w:rPr>
        <w:t>01</w:t>
      </w:r>
      <w:r w:rsidR="00C67EEA">
        <w:rPr>
          <w:color w:val="auto"/>
        </w:rPr>
        <w:t>, the sensitivity metrics are not significant (i.e.</w:t>
      </w:r>
      <w:r w:rsidR="00C67EEA" w:rsidRPr="00B0618E">
        <w:rPr>
          <w:color w:val="auto"/>
        </w:rPr>
        <w:t xml:space="preserve"> </w:t>
      </w:r>
      <w:r w:rsidR="005C3666">
        <w:rPr>
          <w:i/>
          <w:color w:val="auto"/>
        </w:rPr>
        <w:t>δ</w:t>
      </w:r>
      <w:r w:rsidR="00C67EEA" w:rsidRPr="00B0618E">
        <w:rPr>
          <w:color w:val="auto"/>
        </w:rPr>
        <w:t>=0.112</w:t>
      </w:r>
      <w:r w:rsidR="00C67EEA">
        <w:rPr>
          <w:color w:val="auto"/>
        </w:rPr>
        <w:t xml:space="preserve"> and</w:t>
      </w:r>
      <w:r w:rsidR="00C67EEA" w:rsidRPr="00B0618E">
        <w:rPr>
          <w:color w:val="auto"/>
        </w:rPr>
        <w:t xml:space="preserve"> </w:t>
      </w:r>
      <w:r w:rsidR="00C67EEA" w:rsidRPr="00B0618E">
        <w:rPr>
          <w:i/>
          <w:color w:val="auto"/>
        </w:rPr>
        <w:t>S</w:t>
      </w:r>
      <w:r w:rsidR="00C67EEA" w:rsidRPr="00B0618E">
        <w:rPr>
          <w:color w:val="auto"/>
          <w:vertAlign w:val="subscript"/>
        </w:rPr>
        <w:t>1</w:t>
      </w:r>
      <w:r w:rsidR="00C67EEA" w:rsidRPr="00B0618E">
        <w:rPr>
          <w:color w:val="auto"/>
        </w:rPr>
        <w:t>=0.033</w:t>
      </w:r>
      <w:r w:rsidR="00C67EEA">
        <w:rPr>
          <w:color w:val="auto"/>
        </w:rPr>
        <w:t xml:space="preserve"> for </w:t>
      </w:r>
      <w:r w:rsidR="00C67EEA" w:rsidRPr="00B0618E">
        <w:rPr>
          <w:i/>
          <w:color w:val="auto"/>
        </w:rPr>
        <w:t>K</w:t>
      </w:r>
      <w:r w:rsidR="00381465">
        <w:rPr>
          <w:i/>
          <w:color w:val="auto"/>
          <w:vertAlign w:val="subscript"/>
        </w:rPr>
        <w:t>V</w:t>
      </w:r>
      <w:r w:rsidR="00C67EEA" w:rsidRPr="00B0618E">
        <w:rPr>
          <w:color w:val="auto"/>
        </w:rPr>
        <w:t>04</w:t>
      </w:r>
      <w:r w:rsidR="00C67EEA">
        <w:rPr>
          <w:color w:val="auto"/>
        </w:rPr>
        <w:t xml:space="preserve"> and </w:t>
      </w:r>
      <w:r w:rsidR="005C3666">
        <w:rPr>
          <w:i/>
          <w:color w:val="auto"/>
        </w:rPr>
        <w:t>δ</w:t>
      </w:r>
      <w:r w:rsidR="00C67EEA" w:rsidRPr="00B0618E">
        <w:rPr>
          <w:color w:val="auto"/>
        </w:rPr>
        <w:t>=0.108</w:t>
      </w:r>
      <w:r w:rsidR="00C67EEA">
        <w:rPr>
          <w:color w:val="auto"/>
        </w:rPr>
        <w:t xml:space="preserve"> and</w:t>
      </w:r>
      <w:r w:rsidR="00C67EEA" w:rsidRPr="00B0618E">
        <w:rPr>
          <w:color w:val="auto"/>
        </w:rPr>
        <w:t xml:space="preserve"> </w:t>
      </w:r>
      <w:r w:rsidR="00C67EEA" w:rsidRPr="00B0618E">
        <w:rPr>
          <w:i/>
          <w:color w:val="auto"/>
        </w:rPr>
        <w:t>S</w:t>
      </w:r>
      <w:r w:rsidR="00C67EEA" w:rsidRPr="00B0618E">
        <w:rPr>
          <w:color w:val="auto"/>
          <w:vertAlign w:val="subscript"/>
        </w:rPr>
        <w:t>1</w:t>
      </w:r>
      <w:r w:rsidR="00C67EEA" w:rsidRPr="00B0618E">
        <w:rPr>
          <w:color w:val="auto"/>
        </w:rPr>
        <w:t>=0.066</w:t>
      </w:r>
      <w:r w:rsidR="00C67EEA">
        <w:rPr>
          <w:color w:val="auto"/>
        </w:rPr>
        <w:t xml:space="preserve"> for </w:t>
      </w:r>
      <w:r w:rsidR="00C67EEA" w:rsidRPr="00B0618E">
        <w:rPr>
          <w:i/>
          <w:color w:val="auto"/>
        </w:rPr>
        <w:t>K</w:t>
      </w:r>
      <w:r w:rsidR="00381465">
        <w:rPr>
          <w:i/>
          <w:color w:val="auto"/>
          <w:vertAlign w:val="subscript"/>
        </w:rPr>
        <w:t>H</w:t>
      </w:r>
      <w:r w:rsidR="00C67EEA" w:rsidRPr="00B0618E">
        <w:rPr>
          <w:color w:val="auto"/>
        </w:rPr>
        <w:t>01)</w:t>
      </w:r>
      <w:r w:rsidR="00C67EEA">
        <w:rPr>
          <w:color w:val="auto"/>
        </w:rPr>
        <w:t>.</w:t>
      </w:r>
    </w:p>
    <w:p w14:paraId="743A970E" w14:textId="261D6105" w:rsidR="008F34AF" w:rsidRPr="00B0618E" w:rsidRDefault="00DC4D6D" w:rsidP="008E5D3E">
      <w:pPr>
        <w:pStyle w:val="BodyText"/>
        <w:keepNext/>
        <w:rPr>
          <w:color w:val="FF0000"/>
        </w:rPr>
      </w:pPr>
      <w:r>
        <w:rPr>
          <w:noProof/>
          <w:color w:val="FF0000"/>
        </w:rPr>
        <w:drawing>
          <wp:inline distT="0" distB="0" distL="0" distR="0" wp14:anchorId="48AA5182" wp14:editId="1146C7B4">
            <wp:extent cx="6242540" cy="3121270"/>
            <wp:effectExtent l="0" t="0" r="6350" b="3175"/>
            <wp:docPr id="140" name="Picture 140" descr="Charts of relative rankings of ten parameters used in the model" title="Fig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Y:\OWS_FAM\Models\Version7_analysis\Plot_bootstrap_outputs_v03_160217_ranks_MXQ.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47350" cy="3123675"/>
                    </a:xfrm>
                    <a:prstGeom prst="rect">
                      <a:avLst/>
                    </a:prstGeom>
                    <a:noFill/>
                    <a:ln>
                      <a:noFill/>
                    </a:ln>
                  </pic:spPr>
                </pic:pic>
              </a:graphicData>
            </a:graphic>
          </wp:inline>
        </w:drawing>
      </w:r>
    </w:p>
    <w:p w14:paraId="06C1FC76" w14:textId="508F605B" w:rsidR="008F34AF" w:rsidRDefault="008F34AF" w:rsidP="008F34AF">
      <w:pPr>
        <w:pStyle w:val="Caption"/>
      </w:pPr>
      <w:bookmarkStart w:id="138" w:name="_Ref477380198"/>
      <w:bookmarkStart w:id="139" w:name="_Toc482034930"/>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10</w:t>
      </w:r>
      <w:r w:rsidR="00A2085C">
        <w:rPr>
          <w:noProof/>
        </w:rPr>
        <w:fldChar w:fldCharType="end"/>
      </w:r>
      <w:bookmarkEnd w:id="138"/>
      <w:r w:rsidRPr="00B0618E">
        <w:t xml:space="preserve">. </w:t>
      </w:r>
      <w:r w:rsidR="00DD64D3" w:rsidRPr="00B0618E">
        <w:t>Relative rankings of ten parameters used by the revised Gunnedah</w:t>
      </w:r>
      <w:r w:rsidR="00381465">
        <w:t>-Surat</w:t>
      </w:r>
      <w:r w:rsidR="00DD64D3" w:rsidRPr="00B0618E">
        <w:t xml:space="preserve"> </w:t>
      </w:r>
      <w:r w:rsidR="00381465">
        <w:t>b</w:t>
      </w:r>
      <w:r w:rsidR="00DD64D3" w:rsidRPr="00B0618E">
        <w:t>asin</w:t>
      </w:r>
      <w:r w:rsidR="00381465">
        <w:t>s</w:t>
      </w:r>
      <w:r w:rsidR="00DD64D3" w:rsidRPr="00B0618E">
        <w:t xml:space="preserve"> groundwater flow model (</w:t>
      </w:r>
      <w:r w:rsidR="004A1AED" w:rsidRPr="00B0618E">
        <w:t xml:space="preserve">most sensitive = </w:t>
      </w:r>
      <w:r w:rsidR="00DD64D3" w:rsidRPr="00B0618E">
        <w:t xml:space="preserve">red, </w:t>
      </w:r>
      <w:r w:rsidR="004A1AED" w:rsidRPr="00B0618E">
        <w:t xml:space="preserve">second most sensitive = </w:t>
      </w:r>
      <w:r w:rsidR="00DD64D3" w:rsidRPr="00B0618E">
        <w:t xml:space="preserve">blue, </w:t>
      </w:r>
      <w:r w:rsidR="004A1AED" w:rsidRPr="00B0618E">
        <w:t xml:space="preserve">third most sensitive = </w:t>
      </w:r>
      <w:r w:rsidR="00DD64D3" w:rsidRPr="00B0618E">
        <w:t xml:space="preserve">green; </w:t>
      </w:r>
      <w:r w:rsidR="004A1AED" w:rsidRPr="00B0618E">
        <w:t>less sensitive parameters are</w:t>
      </w:r>
      <w:r w:rsidR="00DD64D3" w:rsidRPr="00B0618E">
        <w:t xml:space="preserve"> shown in grey) to which the prediction of the maximum change in vertical flux in the Pilliga Sandstone aquifer was most sensitive. Parameter rankings were based on two global sensitivity analysis metrics: (a) the Delta Moment-Independent Measure (</w:t>
      </w:r>
      <w:r w:rsidR="005C3666">
        <w:rPr>
          <w:i/>
        </w:rPr>
        <w:t>δ</w:t>
      </w:r>
      <w:r w:rsidR="00DD64D3" w:rsidRPr="00B0618E">
        <w:t xml:space="preserve">; </w:t>
      </w:r>
      <w:r w:rsidR="00C82F89" w:rsidRPr="00B0618E">
        <w:t>Plischke et al., 2013</w:t>
      </w:r>
      <w:r w:rsidR="00DD64D3" w:rsidRPr="00B0618E">
        <w:t>) and (b) the first order Sobol’ metric (</w:t>
      </w:r>
      <w:r w:rsidR="00DD64D3" w:rsidRPr="00B0618E">
        <w:rPr>
          <w:i/>
        </w:rPr>
        <w:t>S</w:t>
      </w:r>
      <w:r w:rsidR="00DD64D3" w:rsidRPr="00B0618E">
        <w:rPr>
          <w:vertAlign w:val="subscript"/>
        </w:rPr>
        <w:t>1</w:t>
      </w:r>
      <w:r w:rsidR="00DD64D3" w:rsidRPr="00B0618E">
        <w:t>; Sobol’, 2001).</w:t>
      </w:r>
      <w:bookmarkEnd w:id="139"/>
      <w:r w:rsidR="00DD64D3" w:rsidRPr="00B0618E">
        <w:t xml:space="preserve"> </w:t>
      </w:r>
    </w:p>
    <w:p w14:paraId="53EDA4FD" w14:textId="77777777" w:rsidR="009E61C4" w:rsidRDefault="009E61C4" w:rsidP="009E61C4">
      <w:pPr>
        <w:pStyle w:val="BodyText"/>
      </w:pPr>
    </w:p>
    <w:p w14:paraId="3D2CE4C5" w14:textId="070C3F7E" w:rsidR="009E61C4" w:rsidRPr="00B0618E" w:rsidRDefault="009E61C4" w:rsidP="009E61C4">
      <w:pPr>
        <w:pStyle w:val="BodyText"/>
        <w:rPr>
          <w:color w:val="auto"/>
        </w:rPr>
      </w:pPr>
      <w:r w:rsidRPr="00B0618E">
        <w:rPr>
          <w:color w:val="auto"/>
        </w:rPr>
        <w:t>The uncertainty of this prediction did not vary significantly with increasing sample size (</w:t>
      </w:r>
      <w:r w:rsidRPr="00B0618E">
        <w:rPr>
          <w:color w:val="auto"/>
        </w:rPr>
        <w:fldChar w:fldCharType="begin"/>
      </w:r>
      <w:r w:rsidRPr="00B0618E">
        <w:rPr>
          <w:color w:val="auto"/>
        </w:rPr>
        <w:instrText xml:space="preserve"> REF _Ref467686734 \h </w:instrText>
      </w:r>
      <w:r>
        <w:rPr>
          <w:color w:val="auto"/>
        </w:rPr>
        <w:instrText xml:space="preserve"> \* MERGEFORMAT </w:instrText>
      </w:r>
      <w:r w:rsidRPr="00B0618E">
        <w:rPr>
          <w:color w:val="auto"/>
        </w:rPr>
      </w:r>
      <w:r w:rsidRPr="00B0618E">
        <w:rPr>
          <w:color w:val="auto"/>
        </w:rPr>
        <w:fldChar w:fldCharType="separate"/>
      </w:r>
      <w:r w:rsidR="000B6FA5" w:rsidRPr="00B0618E">
        <w:t xml:space="preserve">Figure </w:t>
      </w:r>
      <w:r w:rsidR="000B6FA5">
        <w:rPr>
          <w:noProof/>
        </w:rPr>
        <w:t>5</w:t>
      </w:r>
      <w:r w:rsidR="000B6FA5">
        <w:rPr>
          <w:noProof/>
        </w:rPr>
        <w:noBreakHyphen/>
        <w:t>3</w:t>
      </w:r>
      <w:r w:rsidRPr="00B0618E">
        <w:rPr>
          <w:color w:val="auto"/>
        </w:rPr>
        <w:fldChar w:fldCharType="end"/>
      </w:r>
      <w:r w:rsidRPr="00B0618E">
        <w:rPr>
          <w:color w:val="auto"/>
        </w:rPr>
        <w:t>). Predicted values ranged from 18 m</w:t>
      </w:r>
      <w:r w:rsidRPr="00B0618E">
        <w:rPr>
          <w:color w:val="auto"/>
          <w:vertAlign w:val="superscript"/>
        </w:rPr>
        <w:t>3</w:t>
      </w:r>
      <w:r w:rsidRPr="00B0618E">
        <w:rPr>
          <w:color w:val="auto"/>
        </w:rPr>
        <w:t>/d to 38 m</w:t>
      </w:r>
      <w:r w:rsidRPr="00B0618E">
        <w:rPr>
          <w:color w:val="auto"/>
          <w:vertAlign w:val="superscript"/>
        </w:rPr>
        <w:t>3</w:t>
      </w:r>
      <w:r w:rsidRPr="00B0618E">
        <w:rPr>
          <w:color w:val="auto"/>
        </w:rPr>
        <w:t>/d. The 10</w:t>
      </w:r>
      <w:r w:rsidRPr="00B0618E">
        <w:rPr>
          <w:color w:val="auto"/>
          <w:vertAlign w:val="superscript"/>
        </w:rPr>
        <w:t>th</w:t>
      </w:r>
      <w:r w:rsidRPr="00B0618E">
        <w:rPr>
          <w:color w:val="auto"/>
        </w:rPr>
        <w:t xml:space="preserve"> percentile value was consistently 23 m</w:t>
      </w:r>
      <w:r w:rsidRPr="00B0618E">
        <w:rPr>
          <w:color w:val="auto"/>
          <w:vertAlign w:val="superscript"/>
        </w:rPr>
        <w:t>3</w:t>
      </w:r>
      <w:r w:rsidRPr="00B0618E">
        <w:rPr>
          <w:color w:val="auto"/>
        </w:rPr>
        <w:t>/d; the median value ranged from 25 m</w:t>
      </w:r>
      <w:r w:rsidRPr="00B0618E">
        <w:rPr>
          <w:color w:val="auto"/>
          <w:vertAlign w:val="superscript"/>
        </w:rPr>
        <w:t>3</w:t>
      </w:r>
      <w:r w:rsidRPr="00B0618E">
        <w:rPr>
          <w:color w:val="auto"/>
        </w:rPr>
        <w:t>/d to 26 m</w:t>
      </w:r>
      <w:r w:rsidRPr="00B0618E">
        <w:rPr>
          <w:color w:val="auto"/>
          <w:vertAlign w:val="superscript"/>
        </w:rPr>
        <w:t>3</w:t>
      </w:r>
      <w:r w:rsidRPr="00B0618E">
        <w:rPr>
          <w:color w:val="auto"/>
        </w:rPr>
        <w:t>/d; and the 90</w:t>
      </w:r>
      <w:r w:rsidRPr="00B0618E">
        <w:rPr>
          <w:color w:val="auto"/>
          <w:vertAlign w:val="superscript"/>
        </w:rPr>
        <w:t>th</w:t>
      </w:r>
      <w:r w:rsidRPr="00B0618E">
        <w:rPr>
          <w:color w:val="auto"/>
        </w:rPr>
        <w:t xml:space="preserve"> percentile value ranged from 33 m</w:t>
      </w:r>
      <w:r w:rsidRPr="00B0618E">
        <w:rPr>
          <w:color w:val="auto"/>
          <w:vertAlign w:val="superscript"/>
        </w:rPr>
        <w:t>3</w:t>
      </w:r>
      <w:r w:rsidRPr="00B0618E">
        <w:rPr>
          <w:color w:val="auto"/>
        </w:rPr>
        <w:t>/d to 34 m</w:t>
      </w:r>
      <w:r w:rsidRPr="00B0618E">
        <w:rPr>
          <w:color w:val="auto"/>
          <w:vertAlign w:val="superscript"/>
        </w:rPr>
        <w:t>3</w:t>
      </w:r>
      <w:r w:rsidRPr="00B0618E">
        <w:rPr>
          <w:color w:val="auto"/>
        </w:rPr>
        <w:t>/d.</w:t>
      </w:r>
    </w:p>
    <w:p w14:paraId="5EDF7233" w14:textId="77777777" w:rsidR="009E61C4" w:rsidRPr="009E61C4" w:rsidRDefault="009E61C4" w:rsidP="009E61C4">
      <w:pPr>
        <w:pStyle w:val="BodyText"/>
      </w:pPr>
    </w:p>
    <w:p w14:paraId="7C6EA562" w14:textId="6FA8E624" w:rsidR="0063124F" w:rsidRDefault="004B2EBA" w:rsidP="0063124F">
      <w:pPr>
        <w:pStyle w:val="BodyText"/>
      </w:pPr>
      <w:r>
        <w:rPr>
          <w:noProof/>
        </w:rPr>
        <w:drawing>
          <wp:inline distT="0" distB="0" distL="0" distR="0" wp14:anchorId="3988A73D" wp14:editId="24C8580F">
            <wp:extent cx="5996354" cy="2998177"/>
            <wp:effectExtent l="0" t="0" r="4445" b="0"/>
            <wp:docPr id="149" name="Picture 149" descr="Chart of sensitivity analysis result for 20 model parameters" title="Fig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Y:\OWS_FAM\Models\Version7_analysis\Plot_GSA_metric_values_300_runs_070417_MXQ.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01427" cy="3000713"/>
                    </a:xfrm>
                    <a:prstGeom prst="rect">
                      <a:avLst/>
                    </a:prstGeom>
                    <a:noFill/>
                    <a:ln>
                      <a:noFill/>
                    </a:ln>
                  </pic:spPr>
                </pic:pic>
              </a:graphicData>
            </a:graphic>
          </wp:inline>
        </w:drawing>
      </w:r>
    </w:p>
    <w:p w14:paraId="0E5194F8" w14:textId="2CDCAE62" w:rsidR="00797313" w:rsidRDefault="00797313" w:rsidP="00797313">
      <w:pPr>
        <w:pStyle w:val="Caption"/>
      </w:pPr>
      <w:bookmarkStart w:id="140" w:name="_Ref479533466"/>
      <w:bookmarkStart w:id="141" w:name="_Toc482034931"/>
      <w:r>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11</w:t>
      </w:r>
      <w:r w:rsidR="00A2085C">
        <w:rPr>
          <w:noProof/>
        </w:rPr>
        <w:fldChar w:fldCharType="end"/>
      </w:r>
      <w:bookmarkEnd w:id="140"/>
      <w:r>
        <w:t xml:space="preserve"> G</w:t>
      </w:r>
      <w:r w:rsidRPr="00B0618E">
        <w:t>lobal sensitivity analysis metrics</w:t>
      </w:r>
      <w:r>
        <w:t xml:space="preserve"> of 20 model parameters in relation to maximum </w:t>
      </w:r>
      <w:r w:rsidR="00F83DDF">
        <w:t>vertical flux</w:t>
      </w:r>
      <w:r>
        <w:t>.</w:t>
      </w:r>
      <w:r w:rsidRPr="00B0618E">
        <w:t xml:space="preserve"> (a) Delta Moment-Independent Measure (</w:t>
      </w:r>
      <w:r w:rsidR="005C3666">
        <w:rPr>
          <w:i/>
        </w:rPr>
        <w:t>δ</w:t>
      </w:r>
      <w:r w:rsidRPr="00B0618E">
        <w:t>; Plischke et al., 2013) and (b) first order Sobol’ metric (</w:t>
      </w:r>
      <w:r w:rsidRPr="00B0618E">
        <w:rPr>
          <w:i/>
        </w:rPr>
        <w:t>S</w:t>
      </w:r>
      <w:r w:rsidRPr="00B0618E">
        <w:rPr>
          <w:vertAlign w:val="subscript"/>
        </w:rPr>
        <w:t>1</w:t>
      </w:r>
      <w:r w:rsidRPr="00B0618E">
        <w:t xml:space="preserve">; Sobol’, 2001). Sample size for metric computation </w:t>
      </w:r>
      <w:r>
        <w:t>is</w:t>
      </w:r>
      <w:r w:rsidRPr="00B0618E">
        <w:t xml:space="preserve"> 300 model runs.</w:t>
      </w:r>
      <w:bookmarkEnd w:id="141"/>
    </w:p>
    <w:p w14:paraId="2E870EDA" w14:textId="77777777" w:rsidR="00797313" w:rsidRPr="0063124F" w:rsidRDefault="00797313" w:rsidP="0063124F">
      <w:pPr>
        <w:pStyle w:val="BodyText"/>
      </w:pPr>
    </w:p>
    <w:p w14:paraId="374CF726" w14:textId="1BC906F5" w:rsidR="00AC6111" w:rsidRPr="00B0618E" w:rsidRDefault="0034157C" w:rsidP="00AC6111">
      <w:pPr>
        <w:pStyle w:val="Heading2"/>
      </w:pPr>
      <w:bookmarkStart w:id="142" w:name="_Toc483127582"/>
      <w:r w:rsidRPr="00B0618E">
        <w:t>Prediction u</w:t>
      </w:r>
      <w:r w:rsidR="00AC6111" w:rsidRPr="00B0618E">
        <w:t xml:space="preserve">ncertainty analysis </w:t>
      </w:r>
      <w:r w:rsidR="00AE013E" w:rsidRPr="00B0618E">
        <w:t>–</w:t>
      </w:r>
      <w:r w:rsidR="00AC6111" w:rsidRPr="00B0618E">
        <w:t xml:space="preserve"> Results</w:t>
      </w:r>
      <w:r w:rsidR="00AE013E" w:rsidRPr="00B0618E">
        <w:t xml:space="preserve"> and Discussion</w:t>
      </w:r>
      <w:bookmarkEnd w:id="142"/>
    </w:p>
    <w:p w14:paraId="1EB23869" w14:textId="572D6012" w:rsidR="00AC6111" w:rsidRDefault="007607BB" w:rsidP="007607BB">
      <w:pPr>
        <w:pStyle w:val="BodyText"/>
      </w:pPr>
      <w:r w:rsidRPr="00B0618E">
        <w:t xml:space="preserve">As discussed in Section </w:t>
      </w:r>
      <w:r w:rsidRPr="00B0618E">
        <w:fldChar w:fldCharType="begin"/>
      </w:r>
      <w:r w:rsidRPr="00B0618E">
        <w:instrText xml:space="preserve"> REF _Ref476069585 \r \h </w:instrText>
      </w:r>
      <w:r w:rsidR="00B0618E">
        <w:instrText xml:space="preserve"> \* MERGEFORMAT </w:instrText>
      </w:r>
      <w:r w:rsidRPr="00B0618E">
        <w:fldChar w:fldCharType="separate"/>
      </w:r>
      <w:r w:rsidR="000B6FA5">
        <w:t>3.6</w:t>
      </w:r>
      <w:r w:rsidRPr="00B0618E">
        <w:fldChar w:fldCharType="end"/>
      </w:r>
      <w:r w:rsidRPr="00B0618E">
        <w:t xml:space="preserve">, the uncertainty of predictions generated using the </w:t>
      </w:r>
      <w:r w:rsidR="00045A85">
        <w:t>CDM Smith (2016)</w:t>
      </w:r>
      <w:r w:rsidRPr="00B0618E">
        <w:t xml:space="preserve"> Gunnedah</w:t>
      </w:r>
      <w:r w:rsidR="00381465">
        <w:t>-Surat</w:t>
      </w:r>
      <w:r w:rsidRPr="00B0618E">
        <w:t xml:space="preserve"> </w:t>
      </w:r>
      <w:r w:rsidR="00381465">
        <w:t>b</w:t>
      </w:r>
      <w:r w:rsidRPr="00B0618E">
        <w:t>asin</w:t>
      </w:r>
      <w:r w:rsidR="00381465">
        <w:t>s</w:t>
      </w:r>
      <w:r w:rsidRPr="00B0618E">
        <w:t xml:space="preserve"> model is described using summary statistics as follows. Differences between maximum and minimum values do not provide robust estimates of prediction uncertainty, as these are highly sensitive to the presence of outlying values. Instead, prediction uncertainty is quantified here using </w:t>
      </w:r>
      <w:r w:rsidR="00381465">
        <w:t>three</w:t>
      </w:r>
      <w:r w:rsidRPr="00B0618E">
        <w:t xml:space="preserve"> statistics: (1) </w:t>
      </w:r>
      <w:r w:rsidR="001D2998" w:rsidRPr="00B0618E">
        <w:t>standard deviation</w:t>
      </w:r>
      <w:r w:rsidRPr="00B0618E">
        <w:t xml:space="preserve">, which is commonly used </w:t>
      </w:r>
      <w:r w:rsidR="001B0BE0" w:rsidRPr="00B0618E">
        <w:t xml:space="preserve">as a measure of spread </w:t>
      </w:r>
      <w:r w:rsidRPr="00B0618E">
        <w:t>in linearised prediction uncertainty analyses</w:t>
      </w:r>
      <w:r w:rsidR="001D2998" w:rsidRPr="00B0618E">
        <w:t xml:space="preserve"> (</w:t>
      </w:r>
      <w:r w:rsidR="00693154" w:rsidRPr="00B0618E">
        <w:t xml:space="preserve">though </w:t>
      </w:r>
      <w:r w:rsidR="00381465">
        <w:t>typically</w:t>
      </w:r>
      <w:r w:rsidR="00381465" w:rsidRPr="00B0618E">
        <w:t xml:space="preserve"> </w:t>
      </w:r>
      <w:r w:rsidR="001D2998" w:rsidRPr="00B0618E">
        <w:t>implemented as variance)</w:t>
      </w:r>
      <w:r w:rsidRPr="00B0618E">
        <w:t xml:space="preserve">; </w:t>
      </w:r>
      <w:r w:rsidR="00470DF3" w:rsidRPr="00B0618E">
        <w:t>(</w:t>
      </w:r>
      <w:r w:rsidR="00381465">
        <w:t>2</w:t>
      </w:r>
      <w:r w:rsidRPr="00B0618E">
        <w:t xml:space="preserve">) the interquartile range (i.e., the difference between the </w:t>
      </w:r>
      <w:r w:rsidR="00381465">
        <w:t>2</w:t>
      </w:r>
      <w:r w:rsidRPr="00B0618E">
        <w:t>5</w:t>
      </w:r>
      <w:r w:rsidRPr="00B0618E">
        <w:rPr>
          <w:vertAlign w:val="superscript"/>
        </w:rPr>
        <w:t>th</w:t>
      </w:r>
      <w:r w:rsidRPr="00B0618E">
        <w:t xml:space="preserve"> and </w:t>
      </w:r>
      <w:r w:rsidR="00381465">
        <w:t>7</w:t>
      </w:r>
      <w:r w:rsidRPr="00B0618E">
        <w:t>5</w:t>
      </w:r>
      <w:r w:rsidRPr="00B0618E">
        <w:rPr>
          <w:vertAlign w:val="superscript"/>
        </w:rPr>
        <w:t>th</w:t>
      </w:r>
      <w:r w:rsidRPr="00B0618E">
        <w:t xml:space="preserve"> percentiles), which is most robust to outliers; </w:t>
      </w:r>
      <w:r w:rsidR="00470DF3" w:rsidRPr="00B0618E">
        <w:t xml:space="preserve">and </w:t>
      </w:r>
      <w:r w:rsidR="00381465">
        <w:t>3</w:t>
      </w:r>
      <w:r w:rsidR="00381465" w:rsidRPr="00B0618E">
        <w:t xml:space="preserve">) the 90 % confidence interval </w:t>
      </w:r>
      <w:r w:rsidRPr="00B0618E">
        <w:t>(</w:t>
      </w:r>
      <w:r w:rsidR="00381465">
        <w:t>i.e., the difference between the 5</w:t>
      </w:r>
      <w:r w:rsidRPr="00B0618E">
        <w:rPr>
          <w:vertAlign w:val="superscript"/>
        </w:rPr>
        <w:t>th</w:t>
      </w:r>
      <w:r w:rsidRPr="00B0618E">
        <w:t xml:space="preserve"> and </w:t>
      </w:r>
      <w:r w:rsidR="00381465">
        <w:t>95</w:t>
      </w:r>
      <w:r w:rsidRPr="00B0618E">
        <w:rPr>
          <w:vertAlign w:val="superscript"/>
        </w:rPr>
        <w:t>th</w:t>
      </w:r>
      <w:r w:rsidRPr="00B0618E">
        <w:t xml:space="preserve"> percentiles).</w:t>
      </w:r>
    </w:p>
    <w:p w14:paraId="136CD587" w14:textId="2E4D2138" w:rsidR="005B5E98" w:rsidRPr="00B0618E" w:rsidRDefault="005B5E98" w:rsidP="007607BB">
      <w:pPr>
        <w:pStyle w:val="BodyText"/>
      </w:pPr>
      <w:r>
        <w:t xml:space="preserve">The calculated prediction uncertainties were compared between the first (initially uninformed) and second (data-driven) parameterisation. The approach did not constrain parameters </w:t>
      </w:r>
      <w:r w:rsidRPr="005B5E98">
        <w:t>by observations of state variables</w:t>
      </w:r>
      <w:r>
        <w:t xml:space="preserve"> such as hydraulic heads. Rather, </w:t>
      </w:r>
      <w:r w:rsidRPr="005B5E98">
        <w:t xml:space="preserve">the stochastic approach </w:t>
      </w:r>
      <w:r w:rsidR="003B06FA">
        <w:t xml:space="preserve">followed </w:t>
      </w:r>
      <w:r w:rsidRPr="005B5E98">
        <w:t xml:space="preserve">the Bayesian paradigm, in which prior beliefs and estimates of parameters and conceptualisation are iteratively updated when new data and information becomes available. </w:t>
      </w:r>
      <w:r w:rsidR="006A3AAD">
        <w:t>Note that head observations for the considered depressurisation scenario are currently not available; an attempt to reduce uncertainty by constraining model simulations to heads beyond the initially calibrated model is not an option.</w:t>
      </w:r>
      <w:r w:rsidR="006A3AAD" w:rsidRPr="006A3AAD">
        <w:t xml:space="preserve"> </w:t>
      </w:r>
      <w:r w:rsidR="006A3AAD">
        <w:t xml:space="preserve">In other words, the approach adopted avoids possible introduction of </w:t>
      </w:r>
      <w:r w:rsidR="006A3AAD" w:rsidRPr="00767192">
        <w:t xml:space="preserve">bias in </w:t>
      </w:r>
      <w:r w:rsidR="006A3AAD">
        <w:t xml:space="preserve">the </w:t>
      </w:r>
      <w:r w:rsidR="006A3AAD" w:rsidRPr="00767192">
        <w:t>predictions</w:t>
      </w:r>
      <w:r w:rsidR="006A3AAD">
        <w:t xml:space="preserve"> due to calibration.</w:t>
      </w:r>
    </w:p>
    <w:p w14:paraId="362AD230" w14:textId="77777777" w:rsidR="00AC6111" w:rsidRPr="00B0618E" w:rsidRDefault="00AC6111" w:rsidP="00AC6111">
      <w:pPr>
        <w:pStyle w:val="Heading3"/>
      </w:pPr>
      <w:r w:rsidRPr="00B0618E">
        <w:t>Prediction 1: Magnitude of maximum drawdown</w:t>
      </w:r>
    </w:p>
    <w:p w14:paraId="23CE3E33" w14:textId="39FBFEDA" w:rsidR="0044744C" w:rsidRPr="00B0618E" w:rsidRDefault="00DF4A58" w:rsidP="0044744C">
      <w:pPr>
        <w:pStyle w:val="BodyText"/>
        <w:rPr>
          <w:color w:val="auto"/>
        </w:rPr>
      </w:pPr>
      <w:r w:rsidRPr="00B0618E">
        <w:t xml:space="preserve">Predictions of the magnitude of maximum drawdown ranged from </w:t>
      </w:r>
      <w:r w:rsidR="00057438" w:rsidRPr="00B0618E">
        <w:t xml:space="preserve">&lt; </w:t>
      </w:r>
      <w:r w:rsidR="00E65489" w:rsidRPr="00B0618E">
        <w:t>1</w:t>
      </w:r>
      <w:r w:rsidRPr="00B0618E">
        <w:t>.0 m to 17.8 m, with a median value of 1.2 m</w:t>
      </w:r>
      <w:r w:rsidR="005752B3" w:rsidRPr="00B0618E">
        <w:t xml:space="preserve"> (</w:t>
      </w:r>
      <w:r w:rsidR="005752B3" w:rsidRPr="00B0618E">
        <w:fldChar w:fldCharType="begin"/>
      </w:r>
      <w:r w:rsidR="005752B3" w:rsidRPr="00B0618E">
        <w:instrText xml:space="preserve"> REF _Ref477380462 \h </w:instrText>
      </w:r>
      <w:r w:rsidR="00B0618E">
        <w:instrText xml:space="preserve"> \* MERGEFORMAT </w:instrText>
      </w:r>
      <w:r w:rsidR="005752B3" w:rsidRPr="00B0618E">
        <w:fldChar w:fldCharType="separate"/>
      </w:r>
      <w:r w:rsidR="000B6FA5" w:rsidRPr="00B0618E">
        <w:t xml:space="preserve">Figure </w:t>
      </w:r>
      <w:r w:rsidR="000B6FA5">
        <w:rPr>
          <w:noProof/>
        </w:rPr>
        <w:t>5</w:t>
      </w:r>
      <w:r w:rsidR="000B6FA5">
        <w:rPr>
          <w:noProof/>
        </w:rPr>
        <w:noBreakHyphen/>
        <w:t>12</w:t>
      </w:r>
      <w:r w:rsidR="005752B3" w:rsidRPr="00B0618E">
        <w:fldChar w:fldCharType="end"/>
      </w:r>
      <w:r w:rsidR="005752B3" w:rsidRPr="00B0618E">
        <w:t>)</w:t>
      </w:r>
      <w:r w:rsidRPr="00B0618E">
        <w:t>. This reflect</w:t>
      </w:r>
      <w:r w:rsidR="001B0BE0" w:rsidRPr="00B0618E">
        <w:t>ed</w:t>
      </w:r>
      <w:r w:rsidRPr="00B0618E">
        <w:t xml:space="preserve"> a</w:t>
      </w:r>
      <w:r w:rsidR="007607BB" w:rsidRPr="00B0618E">
        <w:t>n</w:t>
      </w:r>
      <w:r w:rsidRPr="00B0618E">
        <w:t xml:space="preserve"> increase in the median predicted value by 0.</w:t>
      </w:r>
      <w:r w:rsidR="00EA2C89" w:rsidRPr="00B0618E">
        <w:t>5</w:t>
      </w:r>
      <w:r w:rsidRPr="00B0618E">
        <w:t xml:space="preserve"> m. </w:t>
      </w:r>
      <w:r w:rsidR="000C6359" w:rsidRPr="00B0618E">
        <w:t>Both t</w:t>
      </w:r>
      <w:r w:rsidR="007607BB" w:rsidRPr="00B0618E">
        <w:t xml:space="preserve">he </w:t>
      </w:r>
      <w:r w:rsidR="001D2998" w:rsidRPr="00B0618E">
        <w:t>standard deviation</w:t>
      </w:r>
      <w:r w:rsidR="000C6359" w:rsidRPr="00B0618E">
        <w:t xml:space="preserve"> and</w:t>
      </w:r>
      <w:r w:rsidR="00C33550" w:rsidRPr="00B0618E">
        <w:rPr>
          <w:color w:val="auto"/>
        </w:rPr>
        <w:t xml:space="preserve"> 90 % confidence interval </w:t>
      </w:r>
      <w:r w:rsidR="000C6359" w:rsidRPr="00B0618E">
        <w:t>of predicted values remained unchanged</w:t>
      </w:r>
      <w:r w:rsidR="00C33550" w:rsidRPr="00B0618E">
        <w:rPr>
          <w:color w:val="auto"/>
        </w:rPr>
        <w:t xml:space="preserve">. </w:t>
      </w:r>
      <w:r w:rsidRPr="00B0618E">
        <w:t xml:space="preserve">The interquartile range of predicted values </w:t>
      </w:r>
      <w:r w:rsidR="00033382" w:rsidRPr="00B0618E">
        <w:t>reduc</w:t>
      </w:r>
      <w:r w:rsidR="007607BB" w:rsidRPr="00B0618E">
        <w:t xml:space="preserve">ed by 0.9 m to </w:t>
      </w:r>
      <w:r w:rsidRPr="00B0618E">
        <w:t>3.9 m.</w:t>
      </w:r>
      <w:r w:rsidR="007607BB" w:rsidRPr="00B0618E">
        <w:t xml:space="preserve"> </w:t>
      </w:r>
      <w:r w:rsidR="00197214" w:rsidRPr="00B0618E">
        <w:rPr>
          <w:color w:val="auto"/>
        </w:rPr>
        <w:t xml:space="preserve">As mentioned previously (Section </w:t>
      </w:r>
      <w:r w:rsidR="00197214" w:rsidRPr="00B0618E">
        <w:rPr>
          <w:color w:val="auto"/>
        </w:rPr>
        <w:fldChar w:fldCharType="begin"/>
      </w:r>
      <w:r w:rsidR="00197214" w:rsidRPr="00B0618E">
        <w:rPr>
          <w:color w:val="auto"/>
        </w:rPr>
        <w:instrText xml:space="preserve"> REF _Ref476231200 \r \h </w:instrText>
      </w:r>
      <w:r w:rsidR="00B0618E">
        <w:rPr>
          <w:color w:val="auto"/>
        </w:rPr>
        <w:instrText xml:space="preserve"> \* MERGEFORMAT </w:instrText>
      </w:r>
      <w:r w:rsidR="00197214" w:rsidRPr="00B0618E">
        <w:rPr>
          <w:color w:val="auto"/>
        </w:rPr>
      </w:r>
      <w:r w:rsidR="00197214" w:rsidRPr="00B0618E">
        <w:rPr>
          <w:color w:val="auto"/>
        </w:rPr>
        <w:fldChar w:fldCharType="separate"/>
      </w:r>
      <w:r w:rsidR="000B6FA5">
        <w:rPr>
          <w:color w:val="auto"/>
        </w:rPr>
        <w:t>3.5.1</w:t>
      </w:r>
      <w:r w:rsidR="00197214" w:rsidRPr="00B0618E">
        <w:rPr>
          <w:color w:val="auto"/>
        </w:rPr>
        <w:fldChar w:fldCharType="end"/>
      </w:r>
      <w:r w:rsidR="00197214" w:rsidRPr="00B0618E">
        <w:rPr>
          <w:color w:val="auto"/>
        </w:rPr>
        <w:t>), i</w:t>
      </w:r>
      <w:r w:rsidR="00197214" w:rsidRPr="00B0618E">
        <w:t xml:space="preserve">t should be noted that the numerical convergence criterion with regards to hydraulic head (i.e., 0.01 m) should be considered as an acceptance threshold for this </w:t>
      </w:r>
      <w:r w:rsidR="008A4DB5" w:rsidRPr="00B0618E">
        <w:t>metric</w:t>
      </w:r>
      <w:r w:rsidR="00197214" w:rsidRPr="00B0618E">
        <w:t xml:space="preserve">. The magnitude of maximum drawdown was calculated as </w:t>
      </w:r>
      <w:r w:rsidR="00DB3FC3" w:rsidRPr="00B0618E">
        <w:t>≤</w:t>
      </w:r>
      <w:r w:rsidR="00197214" w:rsidRPr="00B0618E">
        <w:t xml:space="preserve"> 0.1 m in </w:t>
      </w:r>
      <w:r w:rsidR="00381465">
        <w:t>68</w:t>
      </w:r>
      <w:r w:rsidR="00197214" w:rsidRPr="00B0618E">
        <w:t xml:space="preserve"> of the 300 model runs.</w:t>
      </w:r>
    </w:p>
    <w:p w14:paraId="3A34FE4C" w14:textId="539B5B47" w:rsidR="00DD027E" w:rsidRPr="00B0618E" w:rsidRDefault="000244BA" w:rsidP="008E5D3E">
      <w:pPr>
        <w:pStyle w:val="BodyText"/>
        <w:keepNext/>
        <w:rPr>
          <w:color w:val="auto"/>
        </w:rPr>
      </w:pPr>
      <w:r w:rsidRPr="00B0618E">
        <w:rPr>
          <w:noProof/>
          <w:color w:val="auto"/>
        </w:rPr>
        <w:drawing>
          <wp:inline distT="0" distB="0" distL="0" distR="0" wp14:anchorId="4E067F89" wp14:editId="3B5A4446">
            <wp:extent cx="5761990" cy="2875280"/>
            <wp:effectExtent l="0" t="0" r="0" b="1270"/>
            <wp:docPr id="77" name="Picture 77" descr="Charts of statistics of model outputs" title="Fig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WS_FAM\Models\Version7_analysis\Plot_bootstrap_outputs_v06_010317_CDF_PDF_MXD.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61990" cy="2875280"/>
                    </a:xfrm>
                    <a:prstGeom prst="rect">
                      <a:avLst/>
                    </a:prstGeom>
                    <a:noFill/>
                    <a:ln>
                      <a:noFill/>
                    </a:ln>
                  </pic:spPr>
                </pic:pic>
              </a:graphicData>
            </a:graphic>
          </wp:inline>
        </w:drawing>
      </w:r>
    </w:p>
    <w:p w14:paraId="1E0C864C" w14:textId="348AEC13" w:rsidR="00DD027E" w:rsidRPr="00B0618E" w:rsidRDefault="00DD027E" w:rsidP="00DD027E">
      <w:pPr>
        <w:pStyle w:val="Caption"/>
      </w:pPr>
      <w:bookmarkStart w:id="143" w:name="_Ref477380462"/>
      <w:bookmarkStart w:id="144" w:name="_Toc482034932"/>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12</w:t>
      </w:r>
      <w:r w:rsidR="00A2085C">
        <w:rPr>
          <w:noProof/>
        </w:rPr>
        <w:fldChar w:fldCharType="end"/>
      </w:r>
      <w:bookmarkEnd w:id="143"/>
      <w:r w:rsidRPr="00B0618E">
        <w:t xml:space="preserve">. (a) Cumulative </w:t>
      </w:r>
      <w:r w:rsidR="000433B9" w:rsidRPr="00B0618E">
        <w:t xml:space="preserve">density function and (b) frequency histogram </w:t>
      </w:r>
      <w:r w:rsidRPr="00B0618E">
        <w:t>of initial (black) and revised (red) predictions of the magnitude of maximum drawdown</w:t>
      </w:r>
      <w:r w:rsidR="004107EF" w:rsidRPr="00B0618E">
        <w:t>, based on a sample size of 300 model runs</w:t>
      </w:r>
      <w:r w:rsidRPr="00B0618E">
        <w:t>.</w:t>
      </w:r>
      <w:bookmarkEnd w:id="144"/>
    </w:p>
    <w:p w14:paraId="6188DF88" w14:textId="77777777" w:rsidR="00AC6111" w:rsidRPr="00B0618E" w:rsidRDefault="00AC6111" w:rsidP="00AC6111">
      <w:pPr>
        <w:pStyle w:val="Heading3"/>
      </w:pPr>
      <w:r w:rsidRPr="00B0618E">
        <w:t>Prediction 2: Timing of maximum drawdown</w:t>
      </w:r>
    </w:p>
    <w:p w14:paraId="5AF46103" w14:textId="4EDFD997" w:rsidR="0044744C" w:rsidRPr="00B0618E" w:rsidRDefault="00DF4A58" w:rsidP="00AC6111">
      <w:pPr>
        <w:pStyle w:val="BodyText"/>
        <w:rPr>
          <w:color w:val="FF0000"/>
        </w:rPr>
      </w:pPr>
      <w:r w:rsidRPr="00B0618E">
        <w:t xml:space="preserve">Predictions of the timing of maximum drawdown ranged from </w:t>
      </w:r>
      <w:r w:rsidR="00057438" w:rsidRPr="00B0618E">
        <w:t xml:space="preserve">&lt; </w:t>
      </w:r>
      <w:r w:rsidRPr="00B0618E">
        <w:t>1</w:t>
      </w:r>
      <w:r w:rsidR="00C96617">
        <w:t xml:space="preserve"> years </w:t>
      </w:r>
      <w:r w:rsidRPr="00B0618E">
        <w:t>to 1</w:t>
      </w:r>
      <w:r w:rsidR="00E65489" w:rsidRPr="00B0618E">
        <w:t>60</w:t>
      </w:r>
      <w:r w:rsidR="00C96617">
        <w:t xml:space="preserve"> years,</w:t>
      </w:r>
      <w:r w:rsidRPr="00B0618E">
        <w:t xml:space="preserve"> with a median value of </w:t>
      </w:r>
      <w:r w:rsidR="00E65489" w:rsidRPr="00B0618E">
        <w:t>155</w:t>
      </w:r>
      <w:r w:rsidR="00C96617">
        <w:t xml:space="preserve"> years </w:t>
      </w:r>
      <w:r w:rsidR="004246AC" w:rsidRPr="00B0618E">
        <w:t>(</w:t>
      </w:r>
      <w:r w:rsidR="004246AC" w:rsidRPr="00B0618E">
        <w:fldChar w:fldCharType="begin"/>
      </w:r>
      <w:r w:rsidR="004246AC" w:rsidRPr="00B0618E">
        <w:instrText xml:space="preserve"> REF _Ref476228450 \h </w:instrText>
      </w:r>
      <w:r w:rsidR="00B0618E">
        <w:instrText xml:space="preserve"> \* MERGEFORMAT </w:instrText>
      </w:r>
      <w:r w:rsidR="004246AC" w:rsidRPr="00B0618E">
        <w:fldChar w:fldCharType="separate"/>
      </w:r>
      <w:r w:rsidR="000B6FA5" w:rsidRPr="00B0618E">
        <w:t xml:space="preserve">Figure </w:t>
      </w:r>
      <w:r w:rsidR="000B6FA5">
        <w:rPr>
          <w:noProof/>
        </w:rPr>
        <w:t>5</w:t>
      </w:r>
      <w:r w:rsidR="000B6FA5">
        <w:rPr>
          <w:noProof/>
        </w:rPr>
        <w:noBreakHyphen/>
        <w:t>13</w:t>
      </w:r>
      <w:r w:rsidR="004246AC" w:rsidRPr="00B0618E">
        <w:fldChar w:fldCharType="end"/>
      </w:r>
      <w:r w:rsidR="004246AC" w:rsidRPr="00B0618E">
        <w:t>)</w:t>
      </w:r>
      <w:r w:rsidRPr="00B0618E">
        <w:t xml:space="preserve">. This </w:t>
      </w:r>
      <w:r w:rsidRPr="00B0618E">
        <w:rPr>
          <w:color w:val="auto"/>
        </w:rPr>
        <w:t>reflect</w:t>
      </w:r>
      <w:r w:rsidR="001B0BE0" w:rsidRPr="00B0618E">
        <w:rPr>
          <w:color w:val="auto"/>
        </w:rPr>
        <w:t>ed</w:t>
      </w:r>
      <w:r w:rsidRPr="00B0618E">
        <w:rPr>
          <w:color w:val="auto"/>
        </w:rPr>
        <w:t xml:space="preserve"> a</w:t>
      </w:r>
      <w:r w:rsidR="00C74EA3" w:rsidRPr="00B0618E">
        <w:rPr>
          <w:color w:val="auto"/>
        </w:rPr>
        <w:t>n</w:t>
      </w:r>
      <w:r w:rsidRPr="00B0618E">
        <w:rPr>
          <w:color w:val="auto"/>
        </w:rPr>
        <w:t xml:space="preserve"> increase in the median predicted value by a single year. </w:t>
      </w:r>
      <w:r w:rsidR="00693154" w:rsidRPr="00B0618E">
        <w:rPr>
          <w:color w:val="auto"/>
        </w:rPr>
        <w:t>Both t</w:t>
      </w:r>
      <w:r w:rsidR="00033382" w:rsidRPr="00B0618E">
        <w:rPr>
          <w:color w:val="auto"/>
        </w:rPr>
        <w:t xml:space="preserve">he </w:t>
      </w:r>
      <w:r w:rsidR="001D2998" w:rsidRPr="00B0618E">
        <w:t>standard deviation</w:t>
      </w:r>
      <w:r w:rsidR="001D2998" w:rsidRPr="00B0618E">
        <w:rPr>
          <w:color w:val="auto"/>
        </w:rPr>
        <w:t xml:space="preserve"> </w:t>
      </w:r>
      <w:r w:rsidR="00693154" w:rsidRPr="00B0618E">
        <w:rPr>
          <w:color w:val="auto"/>
        </w:rPr>
        <w:t xml:space="preserve">and </w:t>
      </w:r>
      <w:r w:rsidR="002C1F75" w:rsidRPr="00B0618E">
        <w:rPr>
          <w:color w:val="auto"/>
        </w:rPr>
        <w:t xml:space="preserve">90 % confidence interval </w:t>
      </w:r>
      <w:r w:rsidR="00693154" w:rsidRPr="00B0618E">
        <w:rPr>
          <w:color w:val="auto"/>
        </w:rPr>
        <w:t>of predicted values remained unchanged</w:t>
      </w:r>
      <w:r w:rsidR="002C1F75" w:rsidRPr="00B0618E">
        <w:rPr>
          <w:color w:val="auto"/>
        </w:rPr>
        <w:t xml:space="preserve">. </w:t>
      </w:r>
      <w:r w:rsidR="00033382" w:rsidRPr="00B0618E">
        <w:rPr>
          <w:color w:val="auto"/>
        </w:rPr>
        <w:t xml:space="preserve">The interquartile range of predicted values </w:t>
      </w:r>
      <w:r w:rsidR="00110D34" w:rsidRPr="00B0618E">
        <w:rPr>
          <w:color w:val="auto"/>
        </w:rPr>
        <w:t>increased</w:t>
      </w:r>
      <w:r w:rsidR="002C1F75" w:rsidRPr="00B0618E">
        <w:rPr>
          <w:color w:val="auto"/>
        </w:rPr>
        <w:t xml:space="preserve"> </w:t>
      </w:r>
      <w:r w:rsidR="00033382" w:rsidRPr="00B0618E">
        <w:rPr>
          <w:color w:val="auto"/>
        </w:rPr>
        <w:t xml:space="preserve">by </w:t>
      </w:r>
      <w:r w:rsidR="00110D34" w:rsidRPr="00B0618E">
        <w:rPr>
          <w:color w:val="auto"/>
        </w:rPr>
        <w:t>2</w:t>
      </w:r>
      <w:r w:rsidR="00C96617">
        <w:rPr>
          <w:color w:val="auto"/>
        </w:rPr>
        <w:t xml:space="preserve"> years </w:t>
      </w:r>
      <w:r w:rsidR="002C1F75" w:rsidRPr="00B0618E">
        <w:rPr>
          <w:color w:val="auto"/>
        </w:rPr>
        <w:t xml:space="preserve">to </w:t>
      </w:r>
      <w:r w:rsidR="00E65489" w:rsidRPr="00B0618E">
        <w:rPr>
          <w:color w:val="auto"/>
        </w:rPr>
        <w:t>48</w:t>
      </w:r>
      <w:r w:rsidR="00C96617">
        <w:rPr>
          <w:color w:val="auto"/>
        </w:rPr>
        <w:t xml:space="preserve"> years.</w:t>
      </w:r>
      <w:r w:rsidR="00CE22CD" w:rsidRPr="00B0618E">
        <w:rPr>
          <w:color w:val="auto"/>
        </w:rPr>
        <w:t xml:space="preserve"> As described previously (Section </w:t>
      </w:r>
      <w:r w:rsidR="00CE22CD" w:rsidRPr="00B0618E">
        <w:rPr>
          <w:color w:val="auto"/>
        </w:rPr>
        <w:fldChar w:fldCharType="begin"/>
      </w:r>
      <w:r w:rsidR="00CE22CD" w:rsidRPr="00B0618E">
        <w:rPr>
          <w:color w:val="auto"/>
        </w:rPr>
        <w:instrText xml:space="preserve"> REF _Ref476228365 \r \h </w:instrText>
      </w:r>
      <w:r w:rsidR="00FD4318" w:rsidRPr="00B0618E">
        <w:rPr>
          <w:color w:val="auto"/>
        </w:rPr>
        <w:instrText xml:space="preserve"> \* MERGEFORMAT </w:instrText>
      </w:r>
      <w:r w:rsidR="00CE22CD" w:rsidRPr="00B0618E">
        <w:rPr>
          <w:color w:val="auto"/>
        </w:rPr>
      </w:r>
      <w:r w:rsidR="00CE22CD" w:rsidRPr="00B0618E">
        <w:rPr>
          <w:color w:val="auto"/>
        </w:rPr>
        <w:fldChar w:fldCharType="separate"/>
      </w:r>
      <w:r w:rsidR="000B6FA5">
        <w:rPr>
          <w:color w:val="auto"/>
        </w:rPr>
        <w:t>3.5.2</w:t>
      </w:r>
      <w:r w:rsidR="00CE22CD" w:rsidRPr="00B0618E">
        <w:rPr>
          <w:color w:val="auto"/>
        </w:rPr>
        <w:fldChar w:fldCharType="end"/>
      </w:r>
      <w:r w:rsidR="00CE22CD" w:rsidRPr="00B0618E">
        <w:rPr>
          <w:color w:val="auto"/>
        </w:rPr>
        <w:t>), i</w:t>
      </w:r>
      <w:r w:rsidR="00CE22CD" w:rsidRPr="00B0618E">
        <w:t xml:space="preserve">t should be noted that the </w:t>
      </w:r>
      <w:r w:rsidR="004246AC" w:rsidRPr="00B0618E">
        <w:t>maximum simulation time</w:t>
      </w:r>
      <w:r w:rsidR="00CE22CD" w:rsidRPr="00B0618E">
        <w:t xml:space="preserve"> specified for the model (i.e., </w:t>
      </w:r>
      <w:r w:rsidR="00E65489" w:rsidRPr="00B0618E">
        <w:t>160</w:t>
      </w:r>
      <w:r w:rsidR="00C96617">
        <w:t xml:space="preserve"> years </w:t>
      </w:r>
      <w:r w:rsidR="00E65489" w:rsidRPr="00B0618E">
        <w:t>after the cessation of CSG extraction</w:t>
      </w:r>
      <w:r w:rsidR="00CE22CD" w:rsidRPr="00B0618E">
        <w:t xml:space="preserve">) significantly affected this prediction type. Over one third of all model runs (i.e., 107 runs) resulted in a </w:t>
      </w:r>
      <w:r w:rsidR="004246AC" w:rsidRPr="00B0618E">
        <w:t>time of maximum drawdown</w:t>
      </w:r>
      <w:r w:rsidR="00CE22CD" w:rsidRPr="00B0618E">
        <w:t xml:space="preserve"> of </w:t>
      </w:r>
      <w:r w:rsidR="00E65489" w:rsidRPr="00B0618E">
        <w:t>160</w:t>
      </w:r>
      <w:r w:rsidR="00C96617">
        <w:t xml:space="preserve"> years.</w:t>
      </w:r>
      <w:r w:rsidR="00CE22CD" w:rsidRPr="00B0618E">
        <w:t xml:space="preserve"> Such results indicate that the </w:t>
      </w:r>
      <w:r w:rsidR="0003319F" w:rsidRPr="00B0618E">
        <w:t xml:space="preserve">total </w:t>
      </w:r>
      <w:r w:rsidR="004246AC" w:rsidRPr="00B0618E">
        <w:t>simulation time of</w:t>
      </w:r>
      <w:r w:rsidR="00CE22CD" w:rsidRPr="00B0618E">
        <w:t xml:space="preserve"> these models w</w:t>
      </w:r>
      <w:r w:rsidR="004246AC" w:rsidRPr="00B0618E">
        <w:t>as</w:t>
      </w:r>
      <w:r w:rsidR="00CE22CD" w:rsidRPr="00B0618E">
        <w:t xml:space="preserve"> not sufficiently large to capture the peaks of drawdown responses. </w:t>
      </w:r>
      <w:r w:rsidR="00DD6F16">
        <w:rPr>
          <w:color w:val="auto"/>
        </w:rPr>
        <w:t xml:space="preserve">Due to large model run times it was not feasible to repeat the sampling process using an extended model duration within the duration of the present study. </w:t>
      </w:r>
      <w:r w:rsidR="00CE22CD" w:rsidRPr="00B0618E">
        <w:t>This factor is also the cause of the non-asymptotic behaviour of the cumulative density function for this prediction (</w:t>
      </w:r>
      <w:r w:rsidR="00CE22CD" w:rsidRPr="00B0618E">
        <w:fldChar w:fldCharType="begin"/>
      </w:r>
      <w:r w:rsidR="00CE22CD" w:rsidRPr="00B0618E">
        <w:instrText xml:space="preserve"> REF _Ref476228450 \h </w:instrText>
      </w:r>
      <w:r w:rsidR="00FD4318" w:rsidRPr="00B0618E">
        <w:instrText xml:space="preserve"> \* MERGEFORMAT </w:instrText>
      </w:r>
      <w:r w:rsidR="00CE22CD" w:rsidRPr="00B0618E">
        <w:fldChar w:fldCharType="separate"/>
      </w:r>
      <w:r w:rsidR="000B6FA5" w:rsidRPr="00B0618E">
        <w:t xml:space="preserve">Figure </w:t>
      </w:r>
      <w:r w:rsidR="000B6FA5">
        <w:rPr>
          <w:noProof/>
        </w:rPr>
        <w:t>5</w:t>
      </w:r>
      <w:r w:rsidR="000B6FA5">
        <w:rPr>
          <w:noProof/>
        </w:rPr>
        <w:noBreakHyphen/>
        <w:t>13</w:t>
      </w:r>
      <w:r w:rsidR="00CE22CD" w:rsidRPr="00B0618E">
        <w:fldChar w:fldCharType="end"/>
      </w:r>
      <w:r w:rsidR="00CE22CD" w:rsidRPr="00B0618E">
        <w:t>a).</w:t>
      </w:r>
    </w:p>
    <w:p w14:paraId="6C3A8C8D" w14:textId="77FB9708" w:rsidR="00AC6111" w:rsidRPr="00B0618E" w:rsidRDefault="00435F08" w:rsidP="00CE22CD">
      <w:pPr>
        <w:pStyle w:val="BodyText"/>
        <w:keepNext/>
      </w:pPr>
      <w:r w:rsidRPr="00B0618E">
        <w:rPr>
          <w:noProof/>
        </w:rPr>
        <w:drawing>
          <wp:inline distT="0" distB="0" distL="0" distR="0" wp14:anchorId="505CDA7E" wp14:editId="65E0EB8F">
            <wp:extent cx="5761990" cy="2875280"/>
            <wp:effectExtent l="0" t="0" r="0" b="1270"/>
            <wp:docPr id="78" name="Picture 78" descr="Charts of statistics of model outputs" title="Fig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OWS_FAM\Models\Version7_analysis\Plot_bootstrap_outputs_v06_010317_CDF_PDF_tMXD.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1990" cy="2875280"/>
                    </a:xfrm>
                    <a:prstGeom prst="rect">
                      <a:avLst/>
                    </a:prstGeom>
                    <a:noFill/>
                    <a:ln>
                      <a:noFill/>
                    </a:ln>
                  </pic:spPr>
                </pic:pic>
              </a:graphicData>
            </a:graphic>
          </wp:inline>
        </w:drawing>
      </w:r>
    </w:p>
    <w:p w14:paraId="1D2EDC9C" w14:textId="4F8821F1" w:rsidR="00DD027E" w:rsidRPr="00B0618E" w:rsidRDefault="00DD027E" w:rsidP="00DD027E">
      <w:pPr>
        <w:pStyle w:val="Caption"/>
      </w:pPr>
      <w:bookmarkStart w:id="145" w:name="_Ref476228450"/>
      <w:bookmarkStart w:id="146" w:name="_Toc482034933"/>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13</w:t>
      </w:r>
      <w:r w:rsidR="00A2085C">
        <w:rPr>
          <w:noProof/>
        </w:rPr>
        <w:fldChar w:fldCharType="end"/>
      </w:r>
      <w:bookmarkEnd w:id="145"/>
      <w:r w:rsidRPr="00B0618E">
        <w:t xml:space="preserve">. (a) Cumulative </w:t>
      </w:r>
      <w:r w:rsidR="004246AC" w:rsidRPr="00B0618E">
        <w:t xml:space="preserve">density function and (b) frequency histogram </w:t>
      </w:r>
      <w:r w:rsidRPr="00B0618E">
        <w:t>of initial (black) and revised (red) predictions of the timing of maximum drawdown</w:t>
      </w:r>
      <w:r w:rsidR="004107EF" w:rsidRPr="00B0618E">
        <w:t>, based on a sample size of 300 model runs</w:t>
      </w:r>
      <w:r w:rsidRPr="00B0618E">
        <w:t>.</w:t>
      </w:r>
      <w:bookmarkEnd w:id="146"/>
    </w:p>
    <w:p w14:paraId="29D208FE" w14:textId="77777777" w:rsidR="00CF1E26" w:rsidRPr="00B0618E" w:rsidRDefault="00CF1E26" w:rsidP="00CF1E26">
      <w:pPr>
        <w:pStyle w:val="BodyText"/>
      </w:pPr>
    </w:p>
    <w:p w14:paraId="79AFB436" w14:textId="77777777" w:rsidR="00AC6111" w:rsidRPr="00B0618E" w:rsidRDefault="00AC6111" w:rsidP="00AC6111">
      <w:pPr>
        <w:pStyle w:val="Heading3"/>
      </w:pPr>
      <w:bookmarkStart w:id="147" w:name="_Ref478136832"/>
      <w:r w:rsidRPr="00B0618E">
        <w:t>Prediction 3: Spatial extent of drawdown propagation</w:t>
      </w:r>
      <w:bookmarkEnd w:id="147"/>
    </w:p>
    <w:p w14:paraId="64A187CE" w14:textId="35D93E18" w:rsidR="0044744C" w:rsidRPr="00B0618E" w:rsidRDefault="00CA00C1" w:rsidP="0044744C">
      <w:pPr>
        <w:pStyle w:val="BodyText"/>
      </w:pPr>
      <w:r w:rsidRPr="00B0618E">
        <w:t>Predictions of the spatial extent of drawdown propagation ranged from zero cells to 9 990 cells, with a median value of zero cells</w:t>
      </w:r>
      <w:r w:rsidR="004246AC" w:rsidRPr="00B0618E">
        <w:t xml:space="preserve"> (</w:t>
      </w:r>
      <w:r w:rsidR="004246AC" w:rsidRPr="00B0618E">
        <w:fldChar w:fldCharType="begin"/>
      </w:r>
      <w:r w:rsidR="004246AC" w:rsidRPr="00B0618E">
        <w:instrText xml:space="preserve"> REF _Ref477380875 \h </w:instrText>
      </w:r>
      <w:r w:rsidR="00B0618E">
        <w:instrText xml:space="preserve"> \* MERGEFORMAT </w:instrText>
      </w:r>
      <w:r w:rsidR="004246AC" w:rsidRPr="00B0618E">
        <w:fldChar w:fldCharType="separate"/>
      </w:r>
      <w:r w:rsidR="000B6FA5" w:rsidRPr="00B0618E">
        <w:t xml:space="preserve">Figure </w:t>
      </w:r>
      <w:r w:rsidR="000B6FA5">
        <w:rPr>
          <w:noProof/>
        </w:rPr>
        <w:t>5</w:t>
      </w:r>
      <w:r w:rsidR="000B6FA5">
        <w:rPr>
          <w:noProof/>
        </w:rPr>
        <w:noBreakHyphen/>
        <w:t>14</w:t>
      </w:r>
      <w:r w:rsidR="004246AC" w:rsidRPr="00B0618E">
        <w:fldChar w:fldCharType="end"/>
      </w:r>
      <w:r w:rsidR="004246AC" w:rsidRPr="00B0618E">
        <w:t>)</w:t>
      </w:r>
      <w:r w:rsidRPr="00B0618E">
        <w:t xml:space="preserve">. This </w:t>
      </w:r>
      <w:r w:rsidR="001B0BE0" w:rsidRPr="00B0618E">
        <w:t>reflected</w:t>
      </w:r>
      <w:r w:rsidRPr="00B0618E">
        <w:t xml:space="preserve"> no change in the median predicted value. </w:t>
      </w:r>
      <w:r w:rsidR="00033382" w:rsidRPr="00B0618E">
        <w:t xml:space="preserve">The </w:t>
      </w:r>
      <w:r w:rsidR="001D2998" w:rsidRPr="00B0618E">
        <w:t xml:space="preserve">standard deviation </w:t>
      </w:r>
      <w:r w:rsidR="00033382" w:rsidRPr="00B0618E">
        <w:t>of predicted values increased by</w:t>
      </w:r>
      <w:r w:rsidR="000C6359" w:rsidRPr="00B0618E">
        <w:t xml:space="preserve"> 275 cells to 2</w:t>
      </w:r>
      <w:r w:rsidR="003B3314" w:rsidRPr="00B0618E">
        <w:t xml:space="preserve"> </w:t>
      </w:r>
      <w:r w:rsidR="000C6359" w:rsidRPr="00B0618E">
        <w:t>104 cells</w:t>
      </w:r>
      <w:r w:rsidR="00033382" w:rsidRPr="00B0618E">
        <w:t>. The interquartile range of predicted values increased by 1</w:t>
      </w:r>
      <w:r w:rsidR="003B3314" w:rsidRPr="00B0618E">
        <w:t xml:space="preserve"> </w:t>
      </w:r>
      <w:r w:rsidR="00033382" w:rsidRPr="00B0618E">
        <w:t>376 cells to 2</w:t>
      </w:r>
      <w:r w:rsidR="003B3314" w:rsidRPr="00B0618E">
        <w:t xml:space="preserve"> </w:t>
      </w:r>
      <w:r w:rsidR="00033382" w:rsidRPr="00B0618E">
        <w:t xml:space="preserve">872 cells. </w:t>
      </w:r>
      <w:r w:rsidR="00381465" w:rsidRPr="00B0618E">
        <w:rPr>
          <w:color w:val="auto"/>
        </w:rPr>
        <w:t>The 90 % confidence interval increased by 52 cells to 400 cells</w:t>
      </w:r>
      <w:r w:rsidR="00381465">
        <w:rPr>
          <w:color w:val="auto"/>
        </w:rPr>
        <w:t xml:space="preserve">. </w:t>
      </w:r>
      <w:r w:rsidR="008A4EFE" w:rsidRPr="00B0618E">
        <w:rPr>
          <w:color w:val="auto"/>
        </w:rPr>
        <w:t>Note that t</w:t>
      </w:r>
      <w:r w:rsidR="008A4EFE" w:rsidRPr="00B0618E">
        <w:t>he cumulative density function presented here for the ‘revised’ case (red) is a truncated distribution, in which approximately 60 % of the model runs featured ‘zero impact’ (i.e., for which the maximum reported drawdown for Pilliga Sandstone aquifer cells was less than 2 m).</w:t>
      </w:r>
    </w:p>
    <w:p w14:paraId="3B01A1D4" w14:textId="5CCCCA43" w:rsidR="00691B71" w:rsidRPr="00B0618E" w:rsidRDefault="003B55A2" w:rsidP="00691B71">
      <w:pPr>
        <w:pStyle w:val="BodyText"/>
        <w:rPr>
          <w:color w:val="auto"/>
        </w:rPr>
      </w:pPr>
      <w:r w:rsidRPr="00B0618E">
        <w:t xml:space="preserve">Spatial maps with isolines of drawdowns are shown in </w:t>
      </w:r>
      <w:r w:rsidRPr="00B0618E">
        <w:fldChar w:fldCharType="begin"/>
      </w:r>
      <w:r w:rsidRPr="00B0618E">
        <w:instrText xml:space="preserve"> REF _Ref478325908 \h </w:instrText>
      </w:r>
      <w:r w:rsidR="00B0618E">
        <w:instrText xml:space="preserve"> \* MERGEFORMAT </w:instrText>
      </w:r>
      <w:r w:rsidRPr="00B0618E">
        <w:fldChar w:fldCharType="separate"/>
      </w:r>
      <w:r w:rsidR="000B6FA5" w:rsidRPr="00B0618E">
        <w:t xml:space="preserve">Figure </w:t>
      </w:r>
      <w:r w:rsidR="000B6FA5">
        <w:rPr>
          <w:noProof/>
        </w:rPr>
        <w:t>5</w:t>
      </w:r>
      <w:r w:rsidR="000B6FA5">
        <w:rPr>
          <w:noProof/>
        </w:rPr>
        <w:noBreakHyphen/>
        <w:t>15</w:t>
      </w:r>
      <w:r w:rsidRPr="00B0618E">
        <w:fldChar w:fldCharType="end"/>
      </w:r>
      <w:r w:rsidRPr="00B0618E">
        <w:t xml:space="preserve"> for the </w:t>
      </w:r>
      <w:r w:rsidR="007D4E4A">
        <w:t>5</w:t>
      </w:r>
      <w:r w:rsidR="007D4E4A" w:rsidRPr="0070632E">
        <w:rPr>
          <w:vertAlign w:val="superscript"/>
        </w:rPr>
        <w:t>th</w:t>
      </w:r>
      <w:r w:rsidR="007D4E4A">
        <w:t>, 50</w:t>
      </w:r>
      <w:r w:rsidR="007D4E4A" w:rsidRPr="0070632E">
        <w:rPr>
          <w:vertAlign w:val="superscript"/>
        </w:rPr>
        <w:t>th</w:t>
      </w:r>
      <w:r w:rsidR="007D4E4A">
        <w:t xml:space="preserve">, </w:t>
      </w:r>
      <w:r w:rsidRPr="00B0618E">
        <w:t>90</w:t>
      </w:r>
      <w:r w:rsidRPr="00B0618E">
        <w:rPr>
          <w:vertAlign w:val="superscript"/>
        </w:rPr>
        <w:t>th</w:t>
      </w:r>
      <w:r w:rsidRPr="00B0618E">
        <w:t>, 95</w:t>
      </w:r>
      <w:r w:rsidRPr="00B0618E">
        <w:rPr>
          <w:vertAlign w:val="superscript"/>
        </w:rPr>
        <w:t>th</w:t>
      </w:r>
      <w:r w:rsidRPr="00B0618E">
        <w:t>, and 99</w:t>
      </w:r>
      <w:r w:rsidRPr="00B0618E">
        <w:rPr>
          <w:vertAlign w:val="superscript"/>
        </w:rPr>
        <w:t>th</w:t>
      </w:r>
      <w:r w:rsidRPr="00B0618E">
        <w:t xml:space="preserve"> percentiles, based on 300 calculated values of drawdown for each model cell. </w:t>
      </w:r>
      <w:r w:rsidR="006510FB" w:rsidRPr="00B0618E">
        <w:t>T</w:t>
      </w:r>
      <w:r w:rsidRPr="00B0618E">
        <w:t>h</w:t>
      </w:r>
      <w:r w:rsidR="00B25673">
        <w:t>e</w:t>
      </w:r>
      <w:r w:rsidRPr="00B0618E">
        <w:t xml:space="preserve"> time </w:t>
      </w:r>
      <w:r w:rsidR="00B25673">
        <w:t xml:space="preserve">at which the drawdown was reported </w:t>
      </w:r>
      <w:r w:rsidRPr="00B0618E">
        <w:t xml:space="preserve">corresponds to the median time to maximum drawdown across all 300 model runs. Isolines shown are for 1 and 2 m drawdown </w:t>
      </w:r>
      <w:r w:rsidR="007D4E4A">
        <w:t xml:space="preserve">only </w:t>
      </w:r>
      <w:r w:rsidRPr="00B0618E">
        <w:t>(</w:t>
      </w:r>
      <w:r w:rsidRPr="00B0618E">
        <w:fldChar w:fldCharType="begin"/>
      </w:r>
      <w:r w:rsidRPr="00B0618E">
        <w:instrText xml:space="preserve"> REF _Ref478319130 \h </w:instrText>
      </w:r>
      <w:r w:rsidR="00B0618E">
        <w:instrText xml:space="preserve"> \* MERGEFORMAT </w:instrText>
      </w:r>
      <w:r w:rsidRPr="00B0618E">
        <w:fldChar w:fldCharType="separate"/>
      </w:r>
      <w:r w:rsidR="000B6FA5" w:rsidRPr="00B0618E">
        <w:t xml:space="preserve">Figure </w:t>
      </w:r>
      <w:r w:rsidR="000B6FA5">
        <w:rPr>
          <w:noProof/>
        </w:rPr>
        <w:t>3</w:t>
      </w:r>
      <w:r w:rsidR="000B6FA5">
        <w:rPr>
          <w:noProof/>
        </w:rPr>
        <w:noBreakHyphen/>
        <w:t>15</w:t>
      </w:r>
      <w:r w:rsidRPr="00B0618E">
        <w:fldChar w:fldCharType="end"/>
      </w:r>
      <w:r w:rsidRPr="00B0618E">
        <w:t xml:space="preserve">), where </w:t>
      </w:r>
      <w:r w:rsidR="001A7932" w:rsidRPr="00B0618E">
        <w:t xml:space="preserve">drawdown values </w:t>
      </w:r>
      <w:r w:rsidRPr="00B0618E">
        <w:t xml:space="preserve">are </w:t>
      </w:r>
      <w:r w:rsidR="001A7932" w:rsidRPr="00B0618E">
        <w:t>taken</w:t>
      </w:r>
      <w:r w:rsidRPr="00B0618E">
        <w:t xml:space="preserve"> </w:t>
      </w:r>
      <w:r w:rsidR="001A7932" w:rsidRPr="00B0618E">
        <w:t xml:space="preserve">at </w:t>
      </w:r>
      <w:r w:rsidRPr="00B0618E">
        <w:t>155 years following cessation of gas extraction</w:t>
      </w:r>
      <w:r w:rsidR="001A7932" w:rsidRPr="00B0618E">
        <w:t xml:space="preserve">. </w:t>
      </w:r>
      <w:r w:rsidR="007D4E4A">
        <w:t>For the 5</w:t>
      </w:r>
      <w:r w:rsidR="007D4E4A" w:rsidRPr="0070632E">
        <w:rPr>
          <w:vertAlign w:val="superscript"/>
        </w:rPr>
        <w:t>th</w:t>
      </w:r>
      <w:r w:rsidR="007D4E4A">
        <w:t xml:space="preserve"> and 50</w:t>
      </w:r>
      <w:r w:rsidR="007D4E4A" w:rsidRPr="0070632E">
        <w:rPr>
          <w:vertAlign w:val="superscript"/>
        </w:rPr>
        <w:t>th</w:t>
      </w:r>
      <w:r w:rsidR="007D4E4A">
        <w:t xml:space="preserve"> percentile there are no areas with a drawdown equal to or larger than 1 m. In </w:t>
      </w:r>
      <w:r w:rsidR="004D1FB4">
        <w:t xml:space="preserve">other words, the expected </w:t>
      </w:r>
      <w:r w:rsidR="007D4E4A">
        <w:t>(</w:t>
      </w:r>
      <w:r w:rsidR="004D1FB4">
        <w:t>50</w:t>
      </w:r>
      <w:r w:rsidR="004D1FB4" w:rsidRPr="0070632E">
        <w:rPr>
          <w:vertAlign w:val="superscript"/>
        </w:rPr>
        <w:t>th</w:t>
      </w:r>
      <w:r w:rsidR="004D1FB4">
        <w:t xml:space="preserve"> percentile</w:t>
      </w:r>
      <w:r w:rsidR="007D4E4A">
        <w:t xml:space="preserve">) </w:t>
      </w:r>
      <w:r w:rsidR="004D1FB4">
        <w:t xml:space="preserve">value </w:t>
      </w:r>
      <w:r w:rsidR="007D4E4A">
        <w:t>s</w:t>
      </w:r>
      <w:r w:rsidR="004D1FB4">
        <w:t>hows</w:t>
      </w:r>
      <w:r w:rsidR="007D4E4A">
        <w:t xml:space="preserve"> </w:t>
      </w:r>
      <w:r w:rsidR="004D1FB4">
        <w:t xml:space="preserve">that not a single area has a drawdown equal to or in excess of 1 m. </w:t>
      </w:r>
      <w:r w:rsidR="007D4E4A">
        <w:t>C</w:t>
      </w:r>
      <w:r w:rsidR="001A7932" w:rsidRPr="00B0618E">
        <w:t>ompared to the initial drawdowns (</w:t>
      </w:r>
      <w:r w:rsidR="001A7932" w:rsidRPr="00B0618E">
        <w:fldChar w:fldCharType="begin"/>
      </w:r>
      <w:r w:rsidR="001A7932" w:rsidRPr="00B0618E">
        <w:instrText xml:space="preserve"> REF _Ref478319130 \h </w:instrText>
      </w:r>
      <w:r w:rsidR="00B0618E">
        <w:instrText xml:space="preserve"> \* MERGEFORMAT </w:instrText>
      </w:r>
      <w:r w:rsidR="001A7932" w:rsidRPr="00B0618E">
        <w:fldChar w:fldCharType="separate"/>
      </w:r>
      <w:r w:rsidR="000B6FA5" w:rsidRPr="00B0618E">
        <w:t xml:space="preserve">Figure </w:t>
      </w:r>
      <w:r w:rsidR="000B6FA5">
        <w:rPr>
          <w:noProof/>
        </w:rPr>
        <w:t>3</w:t>
      </w:r>
      <w:r w:rsidR="000B6FA5">
        <w:rPr>
          <w:noProof/>
        </w:rPr>
        <w:noBreakHyphen/>
        <w:t>15</w:t>
      </w:r>
      <w:r w:rsidR="001A7932" w:rsidRPr="00B0618E">
        <w:fldChar w:fldCharType="end"/>
      </w:r>
      <w:r w:rsidR="001A7932" w:rsidRPr="00B0618E">
        <w:t>)</w:t>
      </w:r>
      <w:r w:rsidRPr="00B0618E">
        <w:t xml:space="preserve">, </w:t>
      </w:r>
      <w:r w:rsidR="001A7932" w:rsidRPr="00B0618E">
        <w:t xml:space="preserve">somewhat </w:t>
      </w:r>
      <w:r w:rsidRPr="00B0618E">
        <w:t xml:space="preserve">larger areas of drawdown </w:t>
      </w:r>
      <w:r w:rsidR="00745552">
        <w:t xml:space="preserve">larger than 1 and 2 m </w:t>
      </w:r>
      <w:r w:rsidRPr="00B0618E">
        <w:t xml:space="preserve">are observed for the </w:t>
      </w:r>
      <w:r w:rsidR="001A7932" w:rsidRPr="00B0618E">
        <w:t>90</w:t>
      </w:r>
      <w:r w:rsidR="001A7932" w:rsidRPr="00B0618E">
        <w:rPr>
          <w:vertAlign w:val="superscript"/>
        </w:rPr>
        <w:t>th</w:t>
      </w:r>
      <w:r w:rsidR="001A7932" w:rsidRPr="00B0618E">
        <w:t xml:space="preserve"> and 95</w:t>
      </w:r>
      <w:r w:rsidR="001A7932" w:rsidRPr="00B0618E">
        <w:rPr>
          <w:vertAlign w:val="superscript"/>
        </w:rPr>
        <w:t>th</w:t>
      </w:r>
      <w:r w:rsidR="001A7932" w:rsidRPr="00B0618E">
        <w:t xml:space="preserve"> </w:t>
      </w:r>
      <w:r w:rsidRPr="00B0618E">
        <w:t>percentiles</w:t>
      </w:r>
      <w:r w:rsidR="001A7932" w:rsidRPr="00B0618E">
        <w:t>, while the 99</w:t>
      </w:r>
      <w:r w:rsidR="001A7932" w:rsidRPr="00B0618E">
        <w:rPr>
          <w:vertAlign w:val="superscript"/>
        </w:rPr>
        <w:t>th</w:t>
      </w:r>
      <w:r w:rsidR="001A7932" w:rsidRPr="00B0618E">
        <w:t xml:space="preserve"> percentiles are similar</w:t>
      </w:r>
      <w:r w:rsidRPr="00B0618E">
        <w:t>.</w:t>
      </w:r>
      <w:r w:rsidR="00691B71">
        <w:t xml:space="preserve"> At the 95</w:t>
      </w:r>
      <w:r w:rsidR="00691B71" w:rsidRPr="00691B71">
        <w:rPr>
          <w:vertAlign w:val="superscript"/>
        </w:rPr>
        <w:t>th</w:t>
      </w:r>
      <w:r w:rsidR="00691B71">
        <w:t xml:space="preserve"> percentile, the overall maximum drawdown across all 300 model runs is 7.9 m.</w:t>
      </w:r>
    </w:p>
    <w:p w14:paraId="1FA0C00A" w14:textId="2B38BEEF" w:rsidR="003B55A2" w:rsidRPr="00B0618E" w:rsidRDefault="003B55A2" w:rsidP="0044744C">
      <w:pPr>
        <w:pStyle w:val="BodyText"/>
        <w:rPr>
          <w:color w:val="auto"/>
        </w:rPr>
      </w:pPr>
    </w:p>
    <w:p w14:paraId="23E3E459" w14:textId="74B57547" w:rsidR="00DD027E" w:rsidRPr="00B0618E" w:rsidRDefault="00891F3C" w:rsidP="009C499C">
      <w:pPr>
        <w:pStyle w:val="BodyText"/>
        <w:keepNext/>
        <w:rPr>
          <w:color w:val="auto"/>
        </w:rPr>
      </w:pPr>
      <w:r w:rsidRPr="00B0618E">
        <w:rPr>
          <w:noProof/>
          <w:color w:val="auto"/>
        </w:rPr>
        <w:drawing>
          <wp:inline distT="0" distB="0" distL="0" distR="0" wp14:anchorId="6E82FC18" wp14:editId="5427F434">
            <wp:extent cx="5763260" cy="2875280"/>
            <wp:effectExtent l="0" t="0" r="8890" b="1270"/>
            <wp:docPr id="64" name="Picture 64" descr="Chart of statistics of model outputs" title="Fig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WS_FAM\Models\Version7_analysis\Plot_bootstrap_outputs_v06_010317_CDF_PDF_NDD.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63260" cy="2875280"/>
                    </a:xfrm>
                    <a:prstGeom prst="rect">
                      <a:avLst/>
                    </a:prstGeom>
                    <a:noFill/>
                    <a:ln>
                      <a:noFill/>
                    </a:ln>
                  </pic:spPr>
                </pic:pic>
              </a:graphicData>
            </a:graphic>
          </wp:inline>
        </w:drawing>
      </w:r>
    </w:p>
    <w:p w14:paraId="78BBDD21" w14:textId="7575A35A" w:rsidR="00DD027E" w:rsidRPr="00B0618E" w:rsidRDefault="00DD027E" w:rsidP="00DD027E">
      <w:pPr>
        <w:pStyle w:val="Caption"/>
      </w:pPr>
      <w:bookmarkStart w:id="148" w:name="_Ref477380875"/>
      <w:bookmarkStart w:id="149" w:name="_Toc482034934"/>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14</w:t>
      </w:r>
      <w:r w:rsidR="00A2085C">
        <w:rPr>
          <w:noProof/>
        </w:rPr>
        <w:fldChar w:fldCharType="end"/>
      </w:r>
      <w:bookmarkEnd w:id="148"/>
      <w:r w:rsidRPr="00B0618E">
        <w:t xml:space="preserve">. (a) Cumulative </w:t>
      </w:r>
      <w:r w:rsidR="004D0443" w:rsidRPr="00B0618E">
        <w:t xml:space="preserve">density function and (b) frequency histogram </w:t>
      </w:r>
      <w:r w:rsidRPr="00B0618E">
        <w:t>of initial (black) and revised (red) predictions of the spatial extent of drawdown in excess of 2 m</w:t>
      </w:r>
      <w:r w:rsidR="004107EF" w:rsidRPr="00B0618E">
        <w:t>, based on a sample size of 300 model runs</w:t>
      </w:r>
      <w:r w:rsidRPr="00B0618E">
        <w:t>.</w:t>
      </w:r>
      <w:bookmarkEnd w:id="149"/>
    </w:p>
    <w:p w14:paraId="765DC594" w14:textId="454A10A7" w:rsidR="00172AF9" w:rsidRPr="00B0618E" w:rsidRDefault="00172AF9" w:rsidP="00172AF9">
      <w:pPr>
        <w:pStyle w:val="BodyText"/>
      </w:pPr>
    </w:p>
    <w:p w14:paraId="16D04DEE" w14:textId="107DCAF4" w:rsidR="00172AF9" w:rsidRPr="00B0618E" w:rsidRDefault="00C23047" w:rsidP="00172AF9">
      <w:pPr>
        <w:pStyle w:val="BodyText"/>
        <w:rPr>
          <w:rFonts w:eastAsiaTheme="minorHAnsi"/>
          <w:color w:val="auto"/>
          <w:sz w:val="22"/>
        </w:rPr>
      </w:pPr>
      <w:r w:rsidRPr="00C23047">
        <w:rPr>
          <w:rFonts w:eastAsiaTheme="minorHAnsi"/>
          <w:color w:val="auto"/>
          <w:sz w:val="22"/>
        </w:rPr>
        <w:t xml:space="preserve"> </w:t>
      </w:r>
      <w:r w:rsidRPr="00C23047">
        <w:rPr>
          <w:noProof/>
        </w:rPr>
        <w:drawing>
          <wp:inline distT="0" distB="0" distL="0" distR="0" wp14:anchorId="43F7F317" wp14:editId="1D535A1D">
            <wp:extent cx="6120130" cy="5646924"/>
            <wp:effectExtent l="0" t="0" r="0" b="0"/>
            <wp:docPr id="88" name="Picture 88" descr="Diagram of spatial distributions of modelled drawdowns." title="Fig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130" cy="5646924"/>
                    </a:xfrm>
                    <a:prstGeom prst="rect">
                      <a:avLst/>
                    </a:prstGeom>
                    <a:noFill/>
                    <a:ln>
                      <a:noFill/>
                    </a:ln>
                  </pic:spPr>
                </pic:pic>
              </a:graphicData>
            </a:graphic>
          </wp:inline>
        </w:drawing>
      </w:r>
    </w:p>
    <w:p w14:paraId="6B462B98" w14:textId="41D8662C" w:rsidR="00503F2C" w:rsidRPr="00B0618E" w:rsidRDefault="00503F2C" w:rsidP="00503F2C">
      <w:pPr>
        <w:pStyle w:val="Caption"/>
      </w:pPr>
      <w:bookmarkStart w:id="150" w:name="_Ref478325908"/>
      <w:bookmarkStart w:id="151" w:name="_Toc482034935"/>
      <w:r w:rsidRPr="00B0618E">
        <w:t xml:space="preserve">Figure </w:t>
      </w:r>
      <w:r w:rsidR="00A2085C">
        <w:fldChar w:fldCharType="begin"/>
      </w:r>
      <w:r w:rsidR="00A2085C">
        <w:instrText xml:space="preserve"> STYLERE</w:instrText>
      </w:r>
      <w:r w:rsidR="00A2085C">
        <w:instrText xml:space="preserv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15</w:t>
      </w:r>
      <w:r w:rsidR="00A2085C">
        <w:rPr>
          <w:noProof/>
        </w:rPr>
        <w:fldChar w:fldCharType="end"/>
      </w:r>
      <w:bookmarkEnd w:id="150"/>
      <w:r w:rsidRPr="00B0618E">
        <w:t xml:space="preserve">. </w:t>
      </w:r>
      <w:r w:rsidR="00E24C23" w:rsidRPr="00B0618E">
        <w:t>Percentiles of s</w:t>
      </w:r>
      <w:r w:rsidR="008A4EFE" w:rsidRPr="00B0618E">
        <w:t xml:space="preserve">patial distributions of </w:t>
      </w:r>
      <w:r w:rsidR="00C23047">
        <w:t xml:space="preserve">1 and 2 m </w:t>
      </w:r>
      <w:r w:rsidR="008A4EFE" w:rsidRPr="00B0618E">
        <w:t>drawdown</w:t>
      </w:r>
      <w:r w:rsidR="004E35A8">
        <w:t xml:space="preserve"> (solid black lines)</w:t>
      </w:r>
      <w:r w:rsidR="008A4EFE" w:rsidRPr="00B0618E">
        <w:t xml:space="preserve">, observed at the median time of maximum drawdown </w:t>
      </w:r>
      <w:r w:rsidR="00E24C23" w:rsidRPr="00B0618E">
        <w:t>(i.e., 155 years after the cessation of coal seam gas extraction)</w:t>
      </w:r>
      <w:r w:rsidR="006B19F6" w:rsidRPr="00B0618E">
        <w:t>; purple = Pilliga Sandstone aquifer cells; blue = upper aquitard sequence cells.</w:t>
      </w:r>
      <w:r w:rsidR="00E24C23" w:rsidRPr="00B0618E">
        <w:t xml:space="preserve"> </w:t>
      </w:r>
      <w:r w:rsidR="00660F9F">
        <w:t xml:space="preserve">Drawdowns &lt; 1 m are not shown. </w:t>
      </w:r>
      <w:r w:rsidR="00E24C23" w:rsidRPr="00B0618E">
        <w:t xml:space="preserve">Percentiles shown are (a) </w:t>
      </w:r>
      <w:r w:rsidR="00C23047">
        <w:t>5</w:t>
      </w:r>
      <w:r w:rsidR="00C23047" w:rsidRPr="00660F9F">
        <w:rPr>
          <w:vertAlign w:val="superscript"/>
        </w:rPr>
        <w:t>th</w:t>
      </w:r>
      <w:r w:rsidR="00C23047">
        <w:t>, (b) 50</w:t>
      </w:r>
      <w:r w:rsidR="00C23047" w:rsidRPr="00660F9F">
        <w:rPr>
          <w:vertAlign w:val="superscript"/>
        </w:rPr>
        <w:t>th</w:t>
      </w:r>
      <w:r w:rsidR="00C23047">
        <w:t xml:space="preserve">, (c) </w:t>
      </w:r>
      <w:r w:rsidR="00E24C23" w:rsidRPr="00B0618E">
        <w:t>90</w:t>
      </w:r>
      <w:r w:rsidR="00E24C23" w:rsidRPr="00B0618E">
        <w:rPr>
          <w:vertAlign w:val="superscript"/>
        </w:rPr>
        <w:t>th</w:t>
      </w:r>
      <w:r w:rsidR="00E24C23" w:rsidRPr="00B0618E">
        <w:t>, (</w:t>
      </w:r>
      <w:r w:rsidR="00C23047">
        <w:t>d</w:t>
      </w:r>
      <w:r w:rsidR="00E24C23" w:rsidRPr="00B0618E">
        <w:t>) 95</w:t>
      </w:r>
      <w:r w:rsidR="00E24C23" w:rsidRPr="00B0618E">
        <w:rPr>
          <w:vertAlign w:val="superscript"/>
        </w:rPr>
        <w:t>th</w:t>
      </w:r>
      <w:r w:rsidR="00E24C23" w:rsidRPr="00B0618E">
        <w:t xml:space="preserve"> and (</w:t>
      </w:r>
      <w:r w:rsidR="00C23047">
        <w:t>e</w:t>
      </w:r>
      <w:r w:rsidR="00E24C23" w:rsidRPr="00B0618E">
        <w:t>) 99</w:t>
      </w:r>
      <w:r w:rsidR="00E24C23" w:rsidRPr="00B0618E">
        <w:rPr>
          <w:vertAlign w:val="superscript"/>
        </w:rPr>
        <w:t>th</w:t>
      </w:r>
      <w:r w:rsidR="00E24C23" w:rsidRPr="00B0618E">
        <w:t xml:space="preserve">. Distributions are based </w:t>
      </w:r>
      <w:r w:rsidR="00B51581" w:rsidRPr="00B0618E">
        <w:t>on a</w:t>
      </w:r>
      <w:r w:rsidR="00E24C23" w:rsidRPr="00B0618E">
        <w:t xml:space="preserve"> set of 300 model runs</w:t>
      </w:r>
      <w:r w:rsidR="00B51581" w:rsidRPr="00B0618E">
        <w:t xml:space="preserve"> using the ‘revised’ model</w:t>
      </w:r>
      <w:r w:rsidR="00E24C23" w:rsidRPr="00B0618E">
        <w:t>.</w:t>
      </w:r>
      <w:bookmarkEnd w:id="151"/>
    </w:p>
    <w:p w14:paraId="5A1F4109" w14:textId="7E113FAC" w:rsidR="00AC6111" w:rsidRPr="00B0618E" w:rsidRDefault="00AC6111" w:rsidP="00AC6111">
      <w:pPr>
        <w:pStyle w:val="Heading3"/>
      </w:pPr>
      <w:r w:rsidRPr="00B0618E">
        <w:t>Prediction 4: Maximum vertical flux</w:t>
      </w:r>
    </w:p>
    <w:p w14:paraId="7C0ECE75" w14:textId="3FFD321D" w:rsidR="0044744C" w:rsidRPr="00B0618E" w:rsidRDefault="00CA00C1" w:rsidP="0044744C">
      <w:pPr>
        <w:pStyle w:val="BodyText"/>
        <w:rPr>
          <w:color w:val="auto"/>
        </w:rPr>
      </w:pPr>
      <w:r w:rsidRPr="00B0618E">
        <w:t xml:space="preserve">Predictions of the maximum vertical flux ranged from </w:t>
      </w:r>
      <w:r w:rsidR="001C0E32" w:rsidRPr="00B0618E">
        <w:t>306 m</w:t>
      </w:r>
      <w:r w:rsidR="001C0E32" w:rsidRPr="00B0618E">
        <w:rPr>
          <w:vertAlign w:val="superscript"/>
        </w:rPr>
        <w:t>3</w:t>
      </w:r>
      <w:r w:rsidR="001C0E32" w:rsidRPr="00B0618E">
        <w:t>/d to 1432 m</w:t>
      </w:r>
      <w:r w:rsidR="001C0E32" w:rsidRPr="00B0618E">
        <w:rPr>
          <w:vertAlign w:val="superscript"/>
        </w:rPr>
        <w:t>3</w:t>
      </w:r>
      <w:r w:rsidR="001C0E32" w:rsidRPr="00B0618E">
        <w:t>/d</w:t>
      </w:r>
      <w:r w:rsidRPr="00B0618E">
        <w:t>, with a median value of</w:t>
      </w:r>
      <w:r w:rsidR="001C0E32" w:rsidRPr="00B0618E">
        <w:t xml:space="preserve"> 636 m</w:t>
      </w:r>
      <w:r w:rsidR="001C0E32" w:rsidRPr="00B0618E">
        <w:rPr>
          <w:vertAlign w:val="superscript"/>
        </w:rPr>
        <w:t>3</w:t>
      </w:r>
      <w:r w:rsidR="001C0E32" w:rsidRPr="00B0618E">
        <w:t>/d</w:t>
      </w:r>
      <w:r w:rsidR="004D0443" w:rsidRPr="00B0618E">
        <w:t xml:space="preserve"> (</w:t>
      </w:r>
      <w:r w:rsidR="004D0443" w:rsidRPr="00B0618E">
        <w:fldChar w:fldCharType="begin"/>
      </w:r>
      <w:r w:rsidR="004D0443" w:rsidRPr="00B0618E">
        <w:instrText xml:space="preserve"> REF _Ref477380946 \h </w:instrText>
      </w:r>
      <w:r w:rsidR="00B0618E">
        <w:instrText xml:space="preserve"> \* MERGEFORMAT </w:instrText>
      </w:r>
      <w:r w:rsidR="004D0443" w:rsidRPr="00B0618E">
        <w:fldChar w:fldCharType="separate"/>
      </w:r>
      <w:r w:rsidR="000B6FA5" w:rsidRPr="00B0618E">
        <w:t xml:space="preserve">Figure </w:t>
      </w:r>
      <w:r w:rsidR="000B6FA5">
        <w:rPr>
          <w:noProof/>
        </w:rPr>
        <w:t>5</w:t>
      </w:r>
      <w:r w:rsidR="000B6FA5">
        <w:rPr>
          <w:noProof/>
        </w:rPr>
        <w:noBreakHyphen/>
        <w:t>16</w:t>
      </w:r>
      <w:r w:rsidR="004D0443" w:rsidRPr="00B0618E">
        <w:fldChar w:fldCharType="end"/>
      </w:r>
      <w:r w:rsidR="004D0443" w:rsidRPr="00B0618E">
        <w:t>)</w:t>
      </w:r>
      <w:r w:rsidRPr="00B0618E">
        <w:t xml:space="preserve">. This </w:t>
      </w:r>
      <w:r w:rsidR="001B0BE0" w:rsidRPr="00B0618E">
        <w:t>reflected</w:t>
      </w:r>
      <w:r w:rsidRPr="00B0618E">
        <w:t xml:space="preserve"> a </w:t>
      </w:r>
      <w:r w:rsidR="001C0E32" w:rsidRPr="00B0618E">
        <w:t xml:space="preserve">reduction </w:t>
      </w:r>
      <w:r w:rsidRPr="00B0618E">
        <w:t xml:space="preserve">in the median predicted value by </w:t>
      </w:r>
      <w:r w:rsidR="001C0E32" w:rsidRPr="00B0618E">
        <w:t>101 m</w:t>
      </w:r>
      <w:r w:rsidR="001C0E32" w:rsidRPr="00B0618E">
        <w:rPr>
          <w:vertAlign w:val="superscript"/>
        </w:rPr>
        <w:t>3</w:t>
      </w:r>
      <w:r w:rsidR="001C0E32" w:rsidRPr="00B0618E">
        <w:t>/d</w:t>
      </w:r>
      <w:r w:rsidRPr="00B0618E">
        <w:t xml:space="preserve">. </w:t>
      </w:r>
      <w:r w:rsidR="00033382" w:rsidRPr="00B0618E">
        <w:t xml:space="preserve">The </w:t>
      </w:r>
      <w:r w:rsidR="001D2998" w:rsidRPr="00B0618E">
        <w:t xml:space="preserve">standard deviation </w:t>
      </w:r>
      <w:r w:rsidR="00033382" w:rsidRPr="00B0618E">
        <w:t>of predict</w:t>
      </w:r>
      <w:r w:rsidR="001D2998" w:rsidRPr="00B0618E">
        <w:t xml:space="preserve">ed values increased by </w:t>
      </w:r>
      <w:r w:rsidR="00693154" w:rsidRPr="00B0618E">
        <w:t>1</w:t>
      </w:r>
      <w:r w:rsidR="001D2998" w:rsidRPr="00B0618E">
        <w:t xml:space="preserve"> </w:t>
      </w:r>
      <w:r w:rsidR="00033382" w:rsidRPr="00B0618E">
        <w:t>m</w:t>
      </w:r>
      <w:r w:rsidR="00033382" w:rsidRPr="00B0618E">
        <w:rPr>
          <w:vertAlign w:val="superscript"/>
        </w:rPr>
        <w:t>3</w:t>
      </w:r>
      <w:r w:rsidR="00033382" w:rsidRPr="00B0618E">
        <w:t>/d</w:t>
      </w:r>
      <w:r w:rsidR="001B0BE0" w:rsidRPr="00B0618E">
        <w:t xml:space="preserve"> to </w:t>
      </w:r>
      <w:r w:rsidR="001D2998" w:rsidRPr="00B0618E">
        <w:rPr>
          <w:color w:val="auto"/>
        </w:rPr>
        <w:t xml:space="preserve">242 </w:t>
      </w:r>
      <w:r w:rsidR="001B0BE0" w:rsidRPr="00B0618E">
        <w:t>m</w:t>
      </w:r>
      <w:r w:rsidR="001B0BE0" w:rsidRPr="00B0618E">
        <w:rPr>
          <w:vertAlign w:val="superscript"/>
        </w:rPr>
        <w:t>3</w:t>
      </w:r>
      <w:r w:rsidR="001B0BE0" w:rsidRPr="00B0618E">
        <w:t>/d</w:t>
      </w:r>
      <w:r w:rsidR="00033382" w:rsidRPr="00B0618E">
        <w:t xml:space="preserve">. </w:t>
      </w:r>
      <w:r w:rsidR="00C33550" w:rsidRPr="00B0618E">
        <w:rPr>
          <w:color w:val="auto"/>
        </w:rPr>
        <w:t>The 90 % confidence interval increased by 0.2 m</w:t>
      </w:r>
      <w:r w:rsidR="00C33550" w:rsidRPr="00B0618E">
        <w:rPr>
          <w:color w:val="auto"/>
          <w:vertAlign w:val="superscript"/>
        </w:rPr>
        <w:t>3</w:t>
      </w:r>
      <w:r w:rsidR="00C33550" w:rsidRPr="00B0618E">
        <w:rPr>
          <w:color w:val="auto"/>
        </w:rPr>
        <w:t>/d to 46 m</w:t>
      </w:r>
      <w:r w:rsidR="00C33550" w:rsidRPr="00B0618E">
        <w:rPr>
          <w:color w:val="auto"/>
          <w:vertAlign w:val="superscript"/>
        </w:rPr>
        <w:t>3</w:t>
      </w:r>
      <w:r w:rsidR="00C33550" w:rsidRPr="00B0618E">
        <w:rPr>
          <w:color w:val="auto"/>
        </w:rPr>
        <w:t xml:space="preserve">/d. </w:t>
      </w:r>
      <w:r w:rsidR="00033382" w:rsidRPr="00B0618E">
        <w:t>The interquartile range of predicted values reduced by 76 m</w:t>
      </w:r>
      <w:r w:rsidR="00033382" w:rsidRPr="00B0618E">
        <w:rPr>
          <w:vertAlign w:val="superscript"/>
        </w:rPr>
        <w:t>3</w:t>
      </w:r>
      <w:r w:rsidR="00033382" w:rsidRPr="00B0618E">
        <w:t>/d to 288 m</w:t>
      </w:r>
      <w:r w:rsidR="00033382" w:rsidRPr="00B0618E">
        <w:rPr>
          <w:vertAlign w:val="superscript"/>
        </w:rPr>
        <w:t>3</w:t>
      </w:r>
      <w:r w:rsidR="00033382" w:rsidRPr="00B0618E">
        <w:t xml:space="preserve">/d. </w:t>
      </w:r>
    </w:p>
    <w:p w14:paraId="5F1356B0" w14:textId="13F3E45E" w:rsidR="00AC6111" w:rsidRPr="00B0618E" w:rsidRDefault="00435F08" w:rsidP="009C499C">
      <w:pPr>
        <w:pStyle w:val="BodyText"/>
        <w:keepNext/>
      </w:pPr>
      <w:r w:rsidRPr="00B0618E">
        <w:rPr>
          <w:noProof/>
        </w:rPr>
        <w:drawing>
          <wp:inline distT="0" distB="0" distL="0" distR="0" wp14:anchorId="5A2A6BBB" wp14:editId="1CE8E197">
            <wp:extent cx="5761990" cy="2875280"/>
            <wp:effectExtent l="0" t="0" r="0" b="1270"/>
            <wp:docPr id="80" name="Picture 80" descr="Charts of statistics of model outputs" title="Fig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OWS_FAM\Models\Version7_analysis\Plot_bootstrap_outputs_v06_010317_CDF_PDF_MXQ.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1990" cy="2875280"/>
                    </a:xfrm>
                    <a:prstGeom prst="rect">
                      <a:avLst/>
                    </a:prstGeom>
                    <a:noFill/>
                    <a:ln>
                      <a:noFill/>
                    </a:ln>
                  </pic:spPr>
                </pic:pic>
              </a:graphicData>
            </a:graphic>
          </wp:inline>
        </w:drawing>
      </w:r>
    </w:p>
    <w:p w14:paraId="639247AF" w14:textId="714800C4" w:rsidR="001C00A0" w:rsidRPr="00B0618E" w:rsidRDefault="00DD027E" w:rsidP="001C00A0">
      <w:pPr>
        <w:pStyle w:val="Caption"/>
      </w:pPr>
      <w:bookmarkStart w:id="152" w:name="_Ref477380946"/>
      <w:bookmarkStart w:id="153" w:name="_Toc482034936"/>
      <w:r w:rsidRPr="00B0618E">
        <w:t xml:space="preserve">Figure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16</w:t>
      </w:r>
      <w:r w:rsidR="00A2085C">
        <w:rPr>
          <w:noProof/>
        </w:rPr>
        <w:fldChar w:fldCharType="end"/>
      </w:r>
      <w:bookmarkEnd w:id="152"/>
      <w:r w:rsidRPr="00B0618E">
        <w:t xml:space="preserve">. (a) Cumulative </w:t>
      </w:r>
      <w:r w:rsidR="00750E26" w:rsidRPr="00B0618E">
        <w:t xml:space="preserve">density function and (b) frequency histogram </w:t>
      </w:r>
      <w:r w:rsidRPr="00B0618E">
        <w:t xml:space="preserve">of initial (black) and revised (red) predictions of </w:t>
      </w:r>
      <w:r w:rsidR="001C00A0" w:rsidRPr="00B0618E">
        <w:t>changes in vertical groundwater fluxes</w:t>
      </w:r>
      <w:r w:rsidR="004107EF" w:rsidRPr="00B0618E">
        <w:t>, based on a sample size of 300 model runs</w:t>
      </w:r>
      <w:r w:rsidR="001C00A0" w:rsidRPr="00B0618E">
        <w:t>.</w:t>
      </w:r>
      <w:bookmarkEnd w:id="153"/>
    </w:p>
    <w:p w14:paraId="0A1C9F87" w14:textId="77777777" w:rsidR="0034157C" w:rsidRPr="00B0618E" w:rsidRDefault="0034157C" w:rsidP="001532B1">
      <w:pPr>
        <w:pStyle w:val="BodyText"/>
        <w:rPr>
          <w:color w:val="auto"/>
        </w:rPr>
      </w:pPr>
    </w:p>
    <w:p w14:paraId="6E256EFB" w14:textId="145251CE" w:rsidR="001532B1" w:rsidRPr="00B0618E" w:rsidRDefault="00E24C23" w:rsidP="001532B1">
      <w:pPr>
        <w:pStyle w:val="BodyText"/>
        <w:rPr>
          <w:color w:val="auto"/>
        </w:rPr>
      </w:pPr>
      <w:r w:rsidRPr="00B0618E">
        <w:rPr>
          <w:color w:val="auto"/>
        </w:rPr>
        <w:t>These r</w:t>
      </w:r>
      <w:r w:rsidR="00D9793F" w:rsidRPr="00B0618E">
        <w:rPr>
          <w:color w:val="auto"/>
        </w:rPr>
        <w:t xml:space="preserve">esults </w:t>
      </w:r>
      <w:r w:rsidRPr="00B0618E">
        <w:rPr>
          <w:color w:val="auto"/>
        </w:rPr>
        <w:t xml:space="preserve">indicate </w:t>
      </w:r>
      <w:r w:rsidR="00D9793F" w:rsidRPr="00B0618E">
        <w:rPr>
          <w:color w:val="auto"/>
        </w:rPr>
        <w:t>that uncertaint</w:t>
      </w:r>
      <w:r w:rsidR="00041E18">
        <w:rPr>
          <w:color w:val="auto"/>
        </w:rPr>
        <w:t xml:space="preserve">ies associated with </w:t>
      </w:r>
      <w:r w:rsidR="00D9793F" w:rsidRPr="00B0618E">
        <w:rPr>
          <w:color w:val="auto"/>
        </w:rPr>
        <w:t xml:space="preserve">three </w:t>
      </w:r>
      <w:r w:rsidRPr="00B0618E">
        <w:rPr>
          <w:color w:val="auto"/>
        </w:rPr>
        <w:t>of the four prediction metrics</w:t>
      </w:r>
      <w:r w:rsidR="00D9793F" w:rsidRPr="00B0618E">
        <w:rPr>
          <w:color w:val="auto"/>
        </w:rPr>
        <w:t xml:space="preserve"> </w:t>
      </w:r>
      <w:r w:rsidR="00E32DD1" w:rsidRPr="00B0618E">
        <w:rPr>
          <w:color w:val="auto"/>
        </w:rPr>
        <w:t>(</w:t>
      </w:r>
      <w:r w:rsidRPr="00B0618E">
        <w:rPr>
          <w:color w:val="auto"/>
        </w:rPr>
        <w:t xml:space="preserve">i.e., </w:t>
      </w:r>
      <w:r w:rsidR="00E32DD1" w:rsidRPr="00B0618E">
        <w:rPr>
          <w:color w:val="auto"/>
        </w:rPr>
        <w:t>maximum drawdown, maximum exten</w:t>
      </w:r>
      <w:r w:rsidRPr="00B0618E">
        <w:rPr>
          <w:color w:val="auto"/>
        </w:rPr>
        <w:t>t</w:t>
      </w:r>
      <w:r w:rsidR="00E32DD1" w:rsidRPr="00B0618E">
        <w:rPr>
          <w:color w:val="auto"/>
        </w:rPr>
        <w:t xml:space="preserve"> of drawdown ≥ 2 m, and </w:t>
      </w:r>
      <w:r w:rsidRPr="00B0618E">
        <w:rPr>
          <w:color w:val="auto"/>
        </w:rPr>
        <w:t xml:space="preserve">maximum </w:t>
      </w:r>
      <w:r w:rsidR="00E32DD1" w:rsidRPr="00B0618E">
        <w:rPr>
          <w:color w:val="auto"/>
        </w:rPr>
        <w:t xml:space="preserve">vertical flux) </w:t>
      </w:r>
      <w:r w:rsidRPr="00B0618E">
        <w:rPr>
          <w:color w:val="auto"/>
        </w:rPr>
        <w:t>were</w:t>
      </w:r>
      <w:r w:rsidR="00304C71" w:rsidRPr="00B0618E">
        <w:rPr>
          <w:color w:val="auto"/>
        </w:rPr>
        <w:t xml:space="preserve"> slightly</w:t>
      </w:r>
      <w:r w:rsidR="00D9793F" w:rsidRPr="00B0618E">
        <w:rPr>
          <w:color w:val="auto"/>
        </w:rPr>
        <w:t xml:space="preserve"> </w:t>
      </w:r>
      <w:r w:rsidR="00041E18">
        <w:rPr>
          <w:color w:val="auto"/>
        </w:rPr>
        <w:t>reduced</w:t>
      </w:r>
      <w:r w:rsidRPr="00B0618E">
        <w:rPr>
          <w:color w:val="auto"/>
        </w:rPr>
        <w:t xml:space="preserve"> after the improved characterisation aquitard vertical hydraulic conductivity. Characterisation was undertaken by upscaling porosity–permeability relationships identified from core samples through combination with wireline log data</w:t>
      </w:r>
      <w:r w:rsidR="00D9793F" w:rsidRPr="00B0618E">
        <w:rPr>
          <w:color w:val="auto"/>
        </w:rPr>
        <w:t xml:space="preserve">. The </w:t>
      </w:r>
      <w:r w:rsidR="00225737" w:rsidRPr="00B0618E">
        <w:rPr>
          <w:color w:val="auto"/>
        </w:rPr>
        <w:t xml:space="preserve">median prediction of </w:t>
      </w:r>
      <w:r w:rsidR="00D9793F" w:rsidRPr="00B0618E">
        <w:rPr>
          <w:color w:val="auto"/>
        </w:rPr>
        <w:t>maximum drawdown in the Pilliga Sandstone aquifer</w:t>
      </w:r>
      <w:r w:rsidR="00225737" w:rsidRPr="00B0618E">
        <w:rPr>
          <w:color w:val="auto"/>
        </w:rPr>
        <w:t xml:space="preserve"> increased</w:t>
      </w:r>
      <w:r w:rsidR="00D9793F" w:rsidRPr="00B0618E">
        <w:rPr>
          <w:color w:val="auto"/>
        </w:rPr>
        <w:t xml:space="preserve"> by </w:t>
      </w:r>
      <w:r w:rsidR="00225737" w:rsidRPr="00B0618E">
        <w:rPr>
          <w:color w:val="auto"/>
        </w:rPr>
        <w:t>0.4</w:t>
      </w:r>
      <w:r w:rsidR="00D9793F" w:rsidRPr="00B0618E">
        <w:rPr>
          <w:color w:val="auto"/>
        </w:rPr>
        <w:t xml:space="preserve"> m. Similarly, the number of model cells affected by drawdown </w:t>
      </w:r>
      <w:r w:rsidR="00225737" w:rsidRPr="00B0618E">
        <w:rPr>
          <w:color w:val="auto"/>
        </w:rPr>
        <w:t xml:space="preserve">≥ </w:t>
      </w:r>
      <w:r w:rsidR="00D9793F" w:rsidRPr="00B0618E">
        <w:rPr>
          <w:color w:val="auto"/>
        </w:rPr>
        <w:t xml:space="preserve">2 m </w:t>
      </w:r>
      <w:r w:rsidR="00225737" w:rsidRPr="00B0618E">
        <w:rPr>
          <w:color w:val="auto"/>
        </w:rPr>
        <w:t>increased</w:t>
      </w:r>
      <w:r w:rsidR="00D9793F" w:rsidRPr="00B0618E">
        <w:rPr>
          <w:color w:val="auto"/>
        </w:rPr>
        <w:t xml:space="preserve"> by </w:t>
      </w:r>
      <w:r w:rsidR="00225737" w:rsidRPr="00B0618E">
        <w:rPr>
          <w:color w:val="auto"/>
        </w:rPr>
        <w:t>a single cell</w:t>
      </w:r>
      <w:r w:rsidR="00D9793F" w:rsidRPr="00B0618E">
        <w:rPr>
          <w:color w:val="auto"/>
        </w:rPr>
        <w:t xml:space="preserve">. </w:t>
      </w:r>
      <w:r w:rsidR="00225737" w:rsidRPr="00B0618E">
        <w:rPr>
          <w:color w:val="auto"/>
        </w:rPr>
        <w:t>Conversely, t</w:t>
      </w:r>
      <w:r w:rsidR="00D9793F" w:rsidRPr="00B0618E">
        <w:rPr>
          <w:color w:val="auto"/>
        </w:rPr>
        <w:t>he</w:t>
      </w:r>
      <w:r w:rsidR="00225737" w:rsidRPr="00B0618E">
        <w:rPr>
          <w:color w:val="auto"/>
        </w:rPr>
        <w:t xml:space="preserve"> median prediction of maximum</w:t>
      </w:r>
      <w:r w:rsidR="00D9793F" w:rsidRPr="00B0618E">
        <w:rPr>
          <w:color w:val="auto"/>
        </w:rPr>
        <w:t xml:space="preserve"> vertical flux between the Pilliga Sandstone </w:t>
      </w:r>
      <w:r w:rsidR="0028010B" w:rsidRPr="00B0618E">
        <w:rPr>
          <w:color w:val="auto"/>
        </w:rPr>
        <w:t xml:space="preserve">aquifer </w:t>
      </w:r>
      <w:r w:rsidR="00D9793F" w:rsidRPr="00B0618E">
        <w:rPr>
          <w:color w:val="auto"/>
        </w:rPr>
        <w:t xml:space="preserve">and underlying units reduced by </w:t>
      </w:r>
      <w:r w:rsidR="00225737" w:rsidRPr="00B0618E">
        <w:rPr>
          <w:color w:val="auto"/>
        </w:rPr>
        <w:t>101</w:t>
      </w:r>
      <w:r w:rsidR="00D9793F" w:rsidRPr="00B0618E">
        <w:rPr>
          <w:color w:val="auto"/>
        </w:rPr>
        <w:t xml:space="preserve"> m</w:t>
      </w:r>
      <w:r w:rsidR="00D9793F" w:rsidRPr="00B0618E">
        <w:rPr>
          <w:color w:val="auto"/>
          <w:vertAlign w:val="superscript"/>
        </w:rPr>
        <w:t>3</w:t>
      </w:r>
      <w:r w:rsidR="00D9793F" w:rsidRPr="00B0618E">
        <w:rPr>
          <w:color w:val="auto"/>
        </w:rPr>
        <w:t xml:space="preserve">/d. </w:t>
      </w:r>
      <w:r w:rsidR="00225737" w:rsidRPr="00B0618E">
        <w:rPr>
          <w:color w:val="auto"/>
        </w:rPr>
        <w:t>T</w:t>
      </w:r>
      <w:r w:rsidR="00D9793F" w:rsidRPr="00B0618E">
        <w:rPr>
          <w:color w:val="auto"/>
        </w:rPr>
        <w:t xml:space="preserve">he </w:t>
      </w:r>
      <w:r w:rsidR="00225737" w:rsidRPr="00B0618E">
        <w:rPr>
          <w:color w:val="auto"/>
        </w:rPr>
        <w:t xml:space="preserve">median </w:t>
      </w:r>
      <w:r w:rsidR="00D9793F" w:rsidRPr="00B0618E">
        <w:rPr>
          <w:color w:val="auto"/>
        </w:rPr>
        <w:t>prediction of the time at which m</w:t>
      </w:r>
      <w:r w:rsidR="001A7D7C" w:rsidRPr="00B0618E">
        <w:rPr>
          <w:color w:val="auto"/>
        </w:rPr>
        <w:t>a</w:t>
      </w:r>
      <w:r w:rsidR="00D9793F" w:rsidRPr="00B0618E">
        <w:rPr>
          <w:color w:val="auto"/>
        </w:rPr>
        <w:t xml:space="preserve">ximum drawdown will occur </w:t>
      </w:r>
      <w:r w:rsidR="00225737" w:rsidRPr="00B0618E">
        <w:rPr>
          <w:color w:val="auto"/>
        </w:rPr>
        <w:t>did not reduce</w:t>
      </w:r>
      <w:r w:rsidR="00DD09E2" w:rsidRPr="00B0618E">
        <w:rPr>
          <w:color w:val="auto"/>
        </w:rPr>
        <w:t xml:space="preserve"> significantly</w:t>
      </w:r>
      <w:r w:rsidR="00D9793F" w:rsidRPr="00B0618E">
        <w:rPr>
          <w:color w:val="auto"/>
        </w:rPr>
        <w:t xml:space="preserve">. This may be attributed to the </w:t>
      </w:r>
      <w:r w:rsidR="00225737" w:rsidRPr="00B0618E">
        <w:rPr>
          <w:color w:val="auto"/>
        </w:rPr>
        <w:t xml:space="preserve">total </w:t>
      </w:r>
      <w:r w:rsidR="00D9793F" w:rsidRPr="00B0618E">
        <w:rPr>
          <w:color w:val="auto"/>
        </w:rPr>
        <w:t xml:space="preserve">temporal extent represented by the model (i.e., </w:t>
      </w:r>
      <w:r w:rsidR="00225737" w:rsidRPr="00B0618E">
        <w:rPr>
          <w:color w:val="auto"/>
        </w:rPr>
        <w:t>186 years</w:t>
      </w:r>
      <w:r w:rsidR="00D9793F" w:rsidRPr="00B0618E">
        <w:rPr>
          <w:color w:val="auto"/>
        </w:rPr>
        <w:t xml:space="preserve">) which, in many cases, </w:t>
      </w:r>
      <w:r w:rsidR="00225737" w:rsidRPr="00B0618E">
        <w:rPr>
          <w:color w:val="auto"/>
        </w:rPr>
        <w:t>was not</w:t>
      </w:r>
      <w:r w:rsidR="00D9793F" w:rsidRPr="00B0618E">
        <w:rPr>
          <w:color w:val="auto"/>
        </w:rPr>
        <w:t xml:space="preserve"> sufficiently large to capture the </w:t>
      </w:r>
      <w:r w:rsidR="009356B7" w:rsidRPr="00B0618E">
        <w:rPr>
          <w:color w:val="auto"/>
        </w:rPr>
        <w:t>time of peak induced drawdown.</w:t>
      </w:r>
      <w:r w:rsidR="001C4A51">
        <w:rPr>
          <w:color w:val="auto"/>
        </w:rPr>
        <w:t xml:space="preserve"> </w:t>
      </w:r>
      <w:r w:rsidR="001C4A51" w:rsidRPr="001C4A51">
        <w:rPr>
          <w:color w:val="auto"/>
        </w:rPr>
        <w:t>Due to large model run times it was not feasible to repeat the sampling process using an extended model duration within the duration of the present study.</w:t>
      </w:r>
    </w:p>
    <w:p w14:paraId="44A57FD4" w14:textId="1BC6DE49" w:rsidR="006B19F6" w:rsidRPr="00B0618E" w:rsidRDefault="006B19F6" w:rsidP="006B19F6">
      <w:pPr>
        <w:pStyle w:val="Caption"/>
        <w:rPr>
          <w:color w:val="1F497D"/>
        </w:rPr>
      </w:pPr>
      <w:bookmarkStart w:id="154" w:name="_Toc503253891"/>
      <w:r w:rsidRPr="00B0618E">
        <w:t xml:space="preserve">Table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1</w:t>
      </w:r>
      <w:r w:rsidR="00A2085C">
        <w:rPr>
          <w:noProof/>
        </w:rPr>
        <w:fldChar w:fldCharType="end"/>
      </w:r>
      <w:r w:rsidRPr="00B0618E">
        <w:t xml:space="preserve">. Median values of four prediction metrics based on sets of 300 model runs </w:t>
      </w:r>
      <w:r w:rsidR="00214C93" w:rsidRPr="00B0618E">
        <w:t xml:space="preserve">for each of the </w:t>
      </w:r>
      <w:r w:rsidRPr="00B0618E">
        <w:t>‘initial’ and ‘revised’ models.</w:t>
      </w:r>
      <w:bookmarkEnd w:id="154"/>
    </w:p>
    <w:tbl>
      <w:tblPr>
        <w:tblStyle w:val="TableCSIRO"/>
        <w:tblW w:w="0" w:type="auto"/>
        <w:tblLook w:val="04A0" w:firstRow="1" w:lastRow="0" w:firstColumn="1" w:lastColumn="0" w:noHBand="0" w:noVBand="1"/>
        <w:tblCaption w:val="Table 5-1"/>
        <w:tblDescription w:val="Table of model output statistics"/>
      </w:tblPr>
      <w:tblGrid>
        <w:gridCol w:w="3431"/>
        <w:gridCol w:w="2031"/>
        <w:gridCol w:w="2031"/>
        <w:gridCol w:w="2032"/>
      </w:tblGrid>
      <w:tr w:rsidR="006B19F6" w:rsidRPr="00B0618E" w14:paraId="6133CFAE" w14:textId="77777777" w:rsidTr="006B19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1C25B485" w14:textId="77777777" w:rsidR="006B19F6" w:rsidRPr="00B0618E" w:rsidRDefault="006B19F6" w:rsidP="006B19F6">
            <w:pPr>
              <w:pStyle w:val="TableText"/>
              <w:rPr>
                <w:color w:val="FFFFFF" w:themeColor="background1"/>
              </w:rPr>
            </w:pPr>
            <w:r w:rsidRPr="00B0618E">
              <w:rPr>
                <w:color w:val="FFFFFF" w:themeColor="background1"/>
              </w:rPr>
              <w:t>Prediction</w:t>
            </w:r>
          </w:p>
        </w:tc>
        <w:tc>
          <w:tcPr>
            <w:tcW w:w="2031" w:type="dxa"/>
            <w:hideMark/>
          </w:tcPr>
          <w:p w14:paraId="6D8B173F" w14:textId="77777777" w:rsidR="006B19F6" w:rsidRPr="00B0618E" w:rsidRDefault="006B19F6" w:rsidP="006B19F6">
            <w:pPr>
              <w:pStyle w:val="TableText"/>
              <w:ind w:right="387"/>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 xml:space="preserve">‘Initial’ model </w:t>
            </w:r>
          </w:p>
        </w:tc>
        <w:tc>
          <w:tcPr>
            <w:tcW w:w="2031" w:type="dxa"/>
            <w:hideMark/>
          </w:tcPr>
          <w:p w14:paraId="0C07D04A" w14:textId="77777777" w:rsidR="006B19F6" w:rsidRPr="00B0618E" w:rsidRDefault="006B19F6" w:rsidP="006B19F6">
            <w:pPr>
              <w:pStyle w:val="TableText"/>
              <w:ind w:right="291"/>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‘Revised’ model</w:t>
            </w:r>
          </w:p>
        </w:tc>
        <w:tc>
          <w:tcPr>
            <w:tcW w:w="2032" w:type="dxa"/>
          </w:tcPr>
          <w:p w14:paraId="22CE58DD" w14:textId="77777777" w:rsidR="006B19F6" w:rsidRPr="00B0618E" w:rsidRDefault="006B19F6" w:rsidP="006B19F6">
            <w:pPr>
              <w:pStyle w:val="TableText"/>
              <w:ind w:right="481"/>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Difference</w:t>
            </w:r>
          </w:p>
        </w:tc>
      </w:tr>
      <w:tr w:rsidR="006B19F6" w:rsidRPr="00B0618E" w14:paraId="5F919824" w14:textId="77777777" w:rsidTr="006B1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1BB3254C" w14:textId="77777777" w:rsidR="006B19F6" w:rsidRPr="00B0618E" w:rsidRDefault="006B19F6" w:rsidP="006B19F6">
            <w:pPr>
              <w:pStyle w:val="TableText"/>
              <w:rPr>
                <w:b w:val="0"/>
              </w:rPr>
            </w:pPr>
            <w:r w:rsidRPr="00B0618E">
              <w:rPr>
                <w:b w:val="0"/>
              </w:rPr>
              <w:t>Maximum drawdown (MXD)</w:t>
            </w:r>
          </w:p>
        </w:tc>
        <w:tc>
          <w:tcPr>
            <w:tcW w:w="2031" w:type="dxa"/>
            <w:hideMark/>
          </w:tcPr>
          <w:p w14:paraId="42AA9B58" w14:textId="479C019B" w:rsidR="006B19F6" w:rsidRPr="00B0618E" w:rsidRDefault="006B19F6" w:rsidP="006B19F6">
            <w:pPr>
              <w:pStyle w:val="TableText"/>
              <w:ind w:right="387"/>
              <w:jc w:val="right"/>
              <w:cnfStyle w:val="000000100000" w:firstRow="0" w:lastRow="0" w:firstColumn="0" w:lastColumn="0" w:oddVBand="0" w:evenVBand="0" w:oddHBand="1" w:evenHBand="0" w:firstRowFirstColumn="0" w:firstRowLastColumn="0" w:lastRowFirstColumn="0" w:lastRowLastColumn="0"/>
            </w:pPr>
            <w:r w:rsidRPr="00B0618E">
              <w:t>0.7 m</w:t>
            </w:r>
          </w:p>
        </w:tc>
        <w:tc>
          <w:tcPr>
            <w:tcW w:w="2031" w:type="dxa"/>
            <w:hideMark/>
          </w:tcPr>
          <w:p w14:paraId="2616446E" w14:textId="46F66396" w:rsidR="006B19F6" w:rsidRPr="00B0618E" w:rsidRDefault="006B19F6" w:rsidP="006B19F6">
            <w:pPr>
              <w:pStyle w:val="TableText"/>
              <w:ind w:right="291"/>
              <w:jc w:val="right"/>
              <w:cnfStyle w:val="000000100000" w:firstRow="0" w:lastRow="0" w:firstColumn="0" w:lastColumn="0" w:oddVBand="0" w:evenVBand="0" w:oddHBand="1" w:evenHBand="0" w:firstRowFirstColumn="0" w:firstRowLastColumn="0" w:lastRowFirstColumn="0" w:lastRowLastColumn="0"/>
            </w:pPr>
            <w:r w:rsidRPr="00B0618E">
              <w:t>1.2 m</w:t>
            </w:r>
          </w:p>
        </w:tc>
        <w:tc>
          <w:tcPr>
            <w:tcW w:w="2032" w:type="dxa"/>
          </w:tcPr>
          <w:p w14:paraId="3F4BF20C" w14:textId="755747E2" w:rsidR="006B19F6" w:rsidRPr="00B0618E" w:rsidRDefault="006B19F6" w:rsidP="006B19F6">
            <w:pPr>
              <w:pStyle w:val="TableText"/>
              <w:ind w:right="481"/>
              <w:jc w:val="right"/>
              <w:cnfStyle w:val="000000100000" w:firstRow="0" w:lastRow="0" w:firstColumn="0" w:lastColumn="0" w:oddVBand="0" w:evenVBand="0" w:oddHBand="1" w:evenHBand="0" w:firstRowFirstColumn="0" w:firstRowLastColumn="0" w:lastRowFirstColumn="0" w:lastRowLastColumn="0"/>
            </w:pPr>
            <w:r w:rsidRPr="00B0618E">
              <w:t>+0.5 m</w:t>
            </w:r>
          </w:p>
        </w:tc>
      </w:tr>
      <w:tr w:rsidR="006B19F6" w:rsidRPr="00B0618E" w14:paraId="1B4C0632" w14:textId="77777777" w:rsidTr="006B19F6">
        <w:tc>
          <w:tcPr>
            <w:cnfStyle w:val="001000000000" w:firstRow="0" w:lastRow="0" w:firstColumn="1" w:lastColumn="0" w:oddVBand="0" w:evenVBand="0" w:oddHBand="0" w:evenHBand="0" w:firstRowFirstColumn="0" w:firstRowLastColumn="0" w:lastRowFirstColumn="0" w:lastRowLastColumn="0"/>
            <w:tcW w:w="3431" w:type="dxa"/>
            <w:hideMark/>
          </w:tcPr>
          <w:p w14:paraId="6F86787D" w14:textId="77777777" w:rsidR="006B19F6" w:rsidRPr="00B0618E" w:rsidRDefault="006B19F6" w:rsidP="006B19F6">
            <w:pPr>
              <w:pStyle w:val="TableText"/>
              <w:rPr>
                <w:b w:val="0"/>
              </w:rPr>
            </w:pPr>
            <w:r w:rsidRPr="00B0618E">
              <w:rPr>
                <w:b w:val="0"/>
              </w:rPr>
              <w:t>Timing of maximum drawdown (tMXD)</w:t>
            </w:r>
          </w:p>
        </w:tc>
        <w:tc>
          <w:tcPr>
            <w:tcW w:w="2031" w:type="dxa"/>
            <w:hideMark/>
          </w:tcPr>
          <w:p w14:paraId="14C94454" w14:textId="306D9380" w:rsidR="006B19F6" w:rsidRPr="00B0618E" w:rsidRDefault="006B19F6" w:rsidP="006B19F6">
            <w:pPr>
              <w:pStyle w:val="TableText"/>
              <w:ind w:right="387"/>
              <w:jc w:val="right"/>
              <w:cnfStyle w:val="000000000000" w:firstRow="0" w:lastRow="0" w:firstColumn="0" w:lastColumn="0" w:oddVBand="0" w:evenVBand="0" w:oddHBand="0" w:evenHBand="0" w:firstRowFirstColumn="0" w:firstRowLastColumn="0" w:lastRowFirstColumn="0" w:lastRowLastColumn="0"/>
            </w:pPr>
            <w:r w:rsidRPr="00B0618E">
              <w:t>154 y</w:t>
            </w:r>
          </w:p>
        </w:tc>
        <w:tc>
          <w:tcPr>
            <w:tcW w:w="2031" w:type="dxa"/>
            <w:hideMark/>
          </w:tcPr>
          <w:p w14:paraId="084F1A2B" w14:textId="76C06CA3" w:rsidR="006B19F6" w:rsidRPr="00B0618E" w:rsidRDefault="006B19F6" w:rsidP="006B19F6">
            <w:pPr>
              <w:pStyle w:val="TableText"/>
              <w:ind w:right="291"/>
              <w:jc w:val="right"/>
              <w:cnfStyle w:val="000000000000" w:firstRow="0" w:lastRow="0" w:firstColumn="0" w:lastColumn="0" w:oddVBand="0" w:evenVBand="0" w:oddHBand="0" w:evenHBand="0" w:firstRowFirstColumn="0" w:firstRowLastColumn="0" w:lastRowFirstColumn="0" w:lastRowLastColumn="0"/>
            </w:pPr>
            <w:r w:rsidRPr="00B0618E">
              <w:t>155 y</w:t>
            </w:r>
          </w:p>
        </w:tc>
        <w:tc>
          <w:tcPr>
            <w:tcW w:w="2032" w:type="dxa"/>
          </w:tcPr>
          <w:p w14:paraId="5DAB9A51" w14:textId="68214F44" w:rsidR="006B19F6" w:rsidRPr="00B0618E" w:rsidRDefault="006B19F6" w:rsidP="006B19F6">
            <w:pPr>
              <w:pStyle w:val="TableText"/>
              <w:ind w:right="481"/>
              <w:jc w:val="right"/>
              <w:cnfStyle w:val="000000000000" w:firstRow="0" w:lastRow="0" w:firstColumn="0" w:lastColumn="0" w:oddVBand="0" w:evenVBand="0" w:oddHBand="0" w:evenHBand="0" w:firstRowFirstColumn="0" w:firstRowLastColumn="0" w:lastRowFirstColumn="0" w:lastRowLastColumn="0"/>
            </w:pPr>
            <w:r w:rsidRPr="00B0618E">
              <w:t>+1 y</w:t>
            </w:r>
          </w:p>
        </w:tc>
      </w:tr>
      <w:tr w:rsidR="006B19F6" w:rsidRPr="00B0618E" w14:paraId="54D82012" w14:textId="77777777" w:rsidTr="006B1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4E966DCD" w14:textId="77777777" w:rsidR="006B19F6" w:rsidRPr="00B0618E" w:rsidRDefault="006B19F6" w:rsidP="006B19F6">
            <w:pPr>
              <w:pStyle w:val="TableText"/>
              <w:rPr>
                <w:b w:val="0"/>
              </w:rPr>
            </w:pPr>
            <w:r w:rsidRPr="00B0618E">
              <w:rPr>
                <w:b w:val="0"/>
              </w:rPr>
              <w:t>Spatial extent of drawdown ≥ 2 m (NDD)</w:t>
            </w:r>
          </w:p>
        </w:tc>
        <w:tc>
          <w:tcPr>
            <w:tcW w:w="2031" w:type="dxa"/>
            <w:hideMark/>
          </w:tcPr>
          <w:p w14:paraId="7BFF2FCE" w14:textId="3BA02452" w:rsidR="006B19F6" w:rsidRPr="00B0618E" w:rsidRDefault="00EA2C89" w:rsidP="006B19F6">
            <w:pPr>
              <w:pStyle w:val="TableText"/>
              <w:ind w:right="387"/>
              <w:jc w:val="right"/>
              <w:cnfStyle w:val="000000100000" w:firstRow="0" w:lastRow="0" w:firstColumn="0" w:lastColumn="0" w:oddVBand="0" w:evenVBand="0" w:oddHBand="1" w:evenHBand="0" w:firstRowFirstColumn="0" w:firstRowLastColumn="0" w:lastRowFirstColumn="0" w:lastRowLastColumn="0"/>
            </w:pPr>
            <w:r w:rsidRPr="00B0618E">
              <w:t xml:space="preserve"> 0 </w:t>
            </w:r>
            <w:r w:rsidR="006B19F6" w:rsidRPr="00B0618E">
              <w:t>cells</w:t>
            </w:r>
          </w:p>
        </w:tc>
        <w:tc>
          <w:tcPr>
            <w:tcW w:w="2031" w:type="dxa"/>
            <w:hideMark/>
          </w:tcPr>
          <w:p w14:paraId="07D9E5FB" w14:textId="099E40EC" w:rsidR="006B19F6" w:rsidRPr="00B0618E" w:rsidRDefault="00EA2C89" w:rsidP="006B19F6">
            <w:pPr>
              <w:pStyle w:val="TableText"/>
              <w:ind w:right="291"/>
              <w:jc w:val="right"/>
              <w:cnfStyle w:val="000000100000" w:firstRow="0" w:lastRow="0" w:firstColumn="0" w:lastColumn="0" w:oddVBand="0" w:evenVBand="0" w:oddHBand="1" w:evenHBand="0" w:firstRowFirstColumn="0" w:firstRowLastColumn="0" w:lastRowFirstColumn="0" w:lastRowLastColumn="0"/>
            </w:pPr>
            <w:r w:rsidRPr="00B0618E">
              <w:t xml:space="preserve">0 </w:t>
            </w:r>
            <w:r w:rsidR="006B19F6" w:rsidRPr="00B0618E">
              <w:t xml:space="preserve">cells </w:t>
            </w:r>
          </w:p>
        </w:tc>
        <w:tc>
          <w:tcPr>
            <w:tcW w:w="2032" w:type="dxa"/>
          </w:tcPr>
          <w:p w14:paraId="4D587047" w14:textId="425A61BA" w:rsidR="006B19F6" w:rsidRPr="00B0618E" w:rsidRDefault="00EA2C89" w:rsidP="00EA2C89">
            <w:pPr>
              <w:pStyle w:val="TableText"/>
              <w:ind w:right="481"/>
              <w:jc w:val="right"/>
              <w:cnfStyle w:val="000000100000" w:firstRow="0" w:lastRow="0" w:firstColumn="0" w:lastColumn="0" w:oddVBand="0" w:evenVBand="0" w:oddHBand="1" w:evenHBand="0" w:firstRowFirstColumn="0" w:firstRowLastColumn="0" w:lastRowFirstColumn="0" w:lastRowLastColumn="0"/>
            </w:pPr>
            <w:r w:rsidRPr="00B0618E">
              <w:t xml:space="preserve"> 0 </w:t>
            </w:r>
            <w:r w:rsidR="006B19F6" w:rsidRPr="00B0618E">
              <w:t>cells</w:t>
            </w:r>
          </w:p>
        </w:tc>
      </w:tr>
      <w:tr w:rsidR="006B19F6" w:rsidRPr="00B0618E" w14:paraId="24425637" w14:textId="77777777" w:rsidTr="006B19F6">
        <w:tc>
          <w:tcPr>
            <w:cnfStyle w:val="001000000000" w:firstRow="0" w:lastRow="0" w:firstColumn="1" w:lastColumn="0" w:oddVBand="0" w:evenVBand="0" w:oddHBand="0" w:evenHBand="0" w:firstRowFirstColumn="0" w:firstRowLastColumn="0" w:lastRowFirstColumn="0" w:lastRowLastColumn="0"/>
            <w:tcW w:w="3431" w:type="dxa"/>
            <w:hideMark/>
          </w:tcPr>
          <w:p w14:paraId="025328EF" w14:textId="77777777" w:rsidR="006B19F6" w:rsidRPr="00B0618E" w:rsidRDefault="006B19F6" w:rsidP="006B19F6">
            <w:pPr>
              <w:pStyle w:val="TableText"/>
              <w:rPr>
                <w:b w:val="0"/>
              </w:rPr>
            </w:pPr>
            <w:r w:rsidRPr="00B0618E">
              <w:rPr>
                <w:b w:val="0"/>
              </w:rPr>
              <w:t>Maximum vertical flux (MXQ)</w:t>
            </w:r>
          </w:p>
        </w:tc>
        <w:tc>
          <w:tcPr>
            <w:tcW w:w="2031" w:type="dxa"/>
            <w:hideMark/>
          </w:tcPr>
          <w:p w14:paraId="4B561CDC" w14:textId="2063F2E4" w:rsidR="006B19F6" w:rsidRPr="00B0618E" w:rsidRDefault="00EA2C89" w:rsidP="006B19F6">
            <w:pPr>
              <w:pStyle w:val="TableText"/>
              <w:ind w:right="387"/>
              <w:jc w:val="right"/>
              <w:cnfStyle w:val="000000000000" w:firstRow="0" w:lastRow="0" w:firstColumn="0" w:lastColumn="0" w:oddVBand="0" w:evenVBand="0" w:oddHBand="0" w:evenHBand="0" w:firstRowFirstColumn="0" w:firstRowLastColumn="0" w:lastRowFirstColumn="0" w:lastRowLastColumn="0"/>
            </w:pPr>
            <w:r w:rsidRPr="00B0618E">
              <w:t xml:space="preserve">737 </w:t>
            </w:r>
            <w:r w:rsidR="006B19F6" w:rsidRPr="00B0618E">
              <w:t>m</w:t>
            </w:r>
            <w:r w:rsidR="006B19F6" w:rsidRPr="00B0618E">
              <w:rPr>
                <w:vertAlign w:val="superscript"/>
              </w:rPr>
              <w:t>3</w:t>
            </w:r>
            <w:r w:rsidR="006B19F6" w:rsidRPr="00B0618E">
              <w:t>/d</w:t>
            </w:r>
          </w:p>
        </w:tc>
        <w:tc>
          <w:tcPr>
            <w:tcW w:w="2031" w:type="dxa"/>
            <w:hideMark/>
          </w:tcPr>
          <w:p w14:paraId="419DFB11" w14:textId="3569D1E5" w:rsidR="006B19F6" w:rsidRPr="00B0618E" w:rsidRDefault="00EA2C89" w:rsidP="006B19F6">
            <w:pPr>
              <w:pStyle w:val="TableText"/>
              <w:ind w:right="291"/>
              <w:jc w:val="right"/>
              <w:cnfStyle w:val="000000000000" w:firstRow="0" w:lastRow="0" w:firstColumn="0" w:lastColumn="0" w:oddVBand="0" w:evenVBand="0" w:oddHBand="0" w:evenHBand="0" w:firstRowFirstColumn="0" w:firstRowLastColumn="0" w:lastRowFirstColumn="0" w:lastRowLastColumn="0"/>
            </w:pPr>
            <w:r w:rsidRPr="00B0618E">
              <w:t xml:space="preserve">636 </w:t>
            </w:r>
            <w:r w:rsidR="006B19F6" w:rsidRPr="00B0618E">
              <w:t>m</w:t>
            </w:r>
            <w:r w:rsidR="006B19F6" w:rsidRPr="00B0618E">
              <w:rPr>
                <w:vertAlign w:val="superscript"/>
              </w:rPr>
              <w:t>3</w:t>
            </w:r>
            <w:r w:rsidR="006B19F6" w:rsidRPr="00B0618E">
              <w:t>/d</w:t>
            </w:r>
          </w:p>
        </w:tc>
        <w:tc>
          <w:tcPr>
            <w:tcW w:w="2032" w:type="dxa"/>
          </w:tcPr>
          <w:p w14:paraId="64B58F2B" w14:textId="37A61974" w:rsidR="006B19F6" w:rsidRPr="00B0618E" w:rsidRDefault="006B19F6" w:rsidP="006B19F6">
            <w:pPr>
              <w:pStyle w:val="TableText"/>
              <w:ind w:right="481"/>
              <w:jc w:val="right"/>
              <w:cnfStyle w:val="000000000000" w:firstRow="0" w:lastRow="0" w:firstColumn="0" w:lastColumn="0" w:oddVBand="0" w:evenVBand="0" w:oddHBand="0" w:evenHBand="0" w:firstRowFirstColumn="0" w:firstRowLastColumn="0" w:lastRowFirstColumn="0" w:lastRowLastColumn="0"/>
            </w:pPr>
            <w:r w:rsidRPr="00B0618E">
              <w:t>-</w:t>
            </w:r>
            <w:r w:rsidR="00EA2C89" w:rsidRPr="00B0618E">
              <w:t xml:space="preserve">101 </w:t>
            </w:r>
            <w:r w:rsidRPr="00B0618E">
              <w:t>m</w:t>
            </w:r>
            <w:r w:rsidRPr="00B0618E">
              <w:rPr>
                <w:vertAlign w:val="superscript"/>
              </w:rPr>
              <w:t>3</w:t>
            </w:r>
            <w:r w:rsidRPr="00B0618E">
              <w:t>/d</w:t>
            </w:r>
          </w:p>
        </w:tc>
      </w:tr>
    </w:tbl>
    <w:p w14:paraId="1FF23D8C" w14:textId="77777777" w:rsidR="006B19F6" w:rsidRPr="00B0618E" w:rsidRDefault="006B19F6" w:rsidP="006B19F6">
      <w:pPr>
        <w:spacing w:after="0"/>
        <w:rPr>
          <w:sz w:val="24"/>
        </w:rPr>
      </w:pPr>
    </w:p>
    <w:p w14:paraId="2F077608" w14:textId="7748E2DF" w:rsidR="00C75FB6" w:rsidRPr="00B0618E" w:rsidRDefault="00CA1331" w:rsidP="006E0300">
      <w:pPr>
        <w:pStyle w:val="BodyText"/>
      </w:pPr>
      <w:r w:rsidRPr="00B0618E">
        <w:t xml:space="preserve">The </w:t>
      </w:r>
      <w:r w:rsidR="00C75FB6" w:rsidRPr="00B0618E">
        <w:t>95</w:t>
      </w:r>
      <w:r w:rsidR="00C75FB6" w:rsidRPr="00B0618E">
        <w:rPr>
          <w:vertAlign w:val="superscript"/>
        </w:rPr>
        <w:t>th</w:t>
      </w:r>
      <w:r w:rsidR="00C75FB6" w:rsidRPr="00B0618E">
        <w:t xml:space="preserve"> percentile values for each prediction </w:t>
      </w:r>
      <w:r w:rsidR="006E0300" w:rsidRPr="00B0618E">
        <w:t xml:space="preserve">before and after </w:t>
      </w:r>
      <w:r w:rsidR="00C75FB6" w:rsidRPr="00B0618E">
        <w:t xml:space="preserve">the inclusion of aquitard </w:t>
      </w:r>
      <w:r w:rsidR="00C75FB6" w:rsidRPr="00B0618E">
        <w:rPr>
          <w:i/>
        </w:rPr>
        <w:t>K</w:t>
      </w:r>
      <w:r w:rsidR="00225737" w:rsidRPr="00B0618E">
        <w:rPr>
          <w:i/>
          <w:vertAlign w:val="subscript"/>
        </w:rPr>
        <w:t>V</w:t>
      </w:r>
      <w:r w:rsidR="00C75FB6" w:rsidRPr="00B0618E">
        <w:t xml:space="preserve"> data </w:t>
      </w:r>
      <w:r w:rsidR="006E0300" w:rsidRPr="00B0618E">
        <w:t xml:space="preserve">(i.e., the ‘initial’ and ‘revised’ models, respectively) </w:t>
      </w:r>
      <w:r w:rsidR="00C75FB6" w:rsidRPr="00B0618E">
        <w:t>are</w:t>
      </w:r>
      <w:r w:rsidR="006E0300" w:rsidRPr="00B0618E">
        <w:t xml:space="preserve"> summarised in </w:t>
      </w:r>
      <w:r w:rsidR="006E0300" w:rsidRPr="00B0618E">
        <w:fldChar w:fldCharType="begin"/>
      </w:r>
      <w:r w:rsidR="006E0300" w:rsidRPr="00B0618E">
        <w:instrText xml:space="preserve"> REF _Ref478136384 \h </w:instrText>
      </w:r>
      <w:r w:rsidR="00B0618E">
        <w:instrText xml:space="preserve"> \* MERGEFORMAT </w:instrText>
      </w:r>
      <w:r w:rsidR="006E0300" w:rsidRPr="00B0618E">
        <w:fldChar w:fldCharType="separate"/>
      </w:r>
      <w:r w:rsidR="000B6FA5" w:rsidRPr="00B0618E">
        <w:t xml:space="preserve">Table </w:t>
      </w:r>
      <w:r w:rsidR="000B6FA5">
        <w:rPr>
          <w:noProof/>
        </w:rPr>
        <w:t>5</w:t>
      </w:r>
      <w:r w:rsidR="000B6FA5">
        <w:rPr>
          <w:noProof/>
        </w:rPr>
        <w:noBreakHyphen/>
        <w:t>2</w:t>
      </w:r>
      <w:r w:rsidR="006E0300" w:rsidRPr="00B0618E">
        <w:fldChar w:fldCharType="end"/>
      </w:r>
      <w:r w:rsidR="006E0300" w:rsidRPr="00B0618E">
        <w:t>.</w:t>
      </w:r>
      <w:r w:rsidR="00593DFF" w:rsidRPr="00B0618E">
        <w:t xml:space="preserve"> The increase in maximum drawdown by 0.7 m and number of cells exhibiting a drawdown &gt; 2 m is consistent with the larger range in </w:t>
      </w:r>
      <w:r w:rsidR="00593DFF" w:rsidRPr="00F73CA5">
        <w:rPr>
          <w:i/>
        </w:rPr>
        <w:t>K</w:t>
      </w:r>
      <w:r w:rsidR="00593DFF" w:rsidRPr="00F73CA5">
        <w:rPr>
          <w:vertAlign w:val="subscript"/>
        </w:rPr>
        <w:t>V</w:t>
      </w:r>
      <w:r w:rsidR="00593DFF" w:rsidRPr="00B0618E">
        <w:t xml:space="preserve"> values used to run the 300 models (two orders of magnitude for the initial data set to four orders of magnitude for the updated set). The maximum flux, on the other hand, decreases by 47 m</w:t>
      </w:r>
      <w:r w:rsidR="00593DFF" w:rsidRPr="00B0618E">
        <w:rPr>
          <w:vertAlign w:val="superscript"/>
        </w:rPr>
        <w:t>3</w:t>
      </w:r>
      <w:r w:rsidR="00593DFF" w:rsidRPr="00B0618E">
        <w:t xml:space="preserve">/d. This indicates that the larger range in </w:t>
      </w:r>
      <w:r w:rsidR="00593DFF" w:rsidRPr="00B0618E">
        <w:rPr>
          <w:i/>
        </w:rPr>
        <w:t>K</w:t>
      </w:r>
      <w:r w:rsidR="00593DFF" w:rsidRPr="00B0618E">
        <w:rPr>
          <w:vertAlign w:val="subscript"/>
        </w:rPr>
        <w:t>V</w:t>
      </w:r>
      <w:r w:rsidR="00593DFF" w:rsidRPr="00B0618E">
        <w:t xml:space="preserve"> values resulted in a </w:t>
      </w:r>
      <w:r w:rsidR="00925141" w:rsidRPr="00B0618E">
        <w:t xml:space="preserve">more extreme (i.e. </w:t>
      </w:r>
      <w:r w:rsidR="00593DFF" w:rsidRPr="00B0618E">
        <w:t>larger</w:t>
      </w:r>
      <w:r w:rsidR="00925141" w:rsidRPr="00B0618E">
        <w:t xml:space="preserve">) </w:t>
      </w:r>
      <w:r w:rsidR="00925141" w:rsidRPr="00B0618E">
        <w:rPr>
          <w:i/>
        </w:rPr>
        <w:t>K</w:t>
      </w:r>
      <w:r w:rsidR="00925141" w:rsidRPr="00B0618E">
        <w:rPr>
          <w:vertAlign w:val="subscript"/>
        </w:rPr>
        <w:t>V</w:t>
      </w:r>
      <w:r w:rsidR="00925141" w:rsidRPr="00B0618E">
        <w:t xml:space="preserve"> values that generated a larger drawdown area (e.g. the area with &gt; 2 m drawdown increased by 861 cells) and a larger m</w:t>
      </w:r>
      <w:r w:rsidR="0022432C" w:rsidRPr="00B0618E">
        <w:t>aximum drawdown. Because of this, the maximum flux decreases slightly as water is now flowing across a larger area towards the aquitard, or in other words, the total flux through the aquitard increases which slightly decreases the maximum flux at one particular cell.</w:t>
      </w:r>
    </w:p>
    <w:p w14:paraId="5A930F10" w14:textId="77777777" w:rsidR="00207F43" w:rsidRPr="00B0618E" w:rsidRDefault="00207F43" w:rsidP="006E0300">
      <w:pPr>
        <w:pStyle w:val="BodyText"/>
        <w:rPr>
          <w:color w:val="1F497D"/>
        </w:rPr>
      </w:pPr>
    </w:p>
    <w:p w14:paraId="562602D5" w14:textId="6DD4E7A0" w:rsidR="006E0300" w:rsidRPr="00B0618E" w:rsidRDefault="006E0300" w:rsidP="006E0300">
      <w:pPr>
        <w:pStyle w:val="Caption"/>
        <w:rPr>
          <w:color w:val="1F497D"/>
        </w:rPr>
      </w:pPr>
      <w:bookmarkStart w:id="155" w:name="_Ref478136384"/>
      <w:bookmarkStart w:id="156" w:name="_Toc503253892"/>
      <w:r w:rsidRPr="00B0618E">
        <w:t xml:space="preserve">Table </w:t>
      </w:r>
      <w:r w:rsidR="00A2085C">
        <w:fldChar w:fldCharType="begin"/>
      </w:r>
      <w:r w:rsidR="00A2085C">
        <w:instrText xml:space="preserve"> STYLEREF 1 \s </w:instrText>
      </w:r>
      <w:r w:rsidR="00A2085C">
        <w:fldChar w:fldCharType="separate"/>
      </w:r>
      <w:r w:rsidR="000B6FA5">
        <w:rPr>
          <w:noProof/>
        </w:rPr>
        <w:t>5</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2</w:t>
      </w:r>
      <w:r w:rsidR="00A2085C">
        <w:rPr>
          <w:noProof/>
        </w:rPr>
        <w:fldChar w:fldCharType="end"/>
      </w:r>
      <w:bookmarkEnd w:id="155"/>
      <w:r w:rsidRPr="00B0618E">
        <w:t>. 95</w:t>
      </w:r>
      <w:r w:rsidRPr="00B0618E">
        <w:rPr>
          <w:vertAlign w:val="superscript"/>
        </w:rPr>
        <w:t>th</w:t>
      </w:r>
      <w:r w:rsidRPr="00B0618E">
        <w:t xml:space="preserve"> percentiles of four prediction metrics based on sets of 300 model runs </w:t>
      </w:r>
      <w:r w:rsidR="00214C93" w:rsidRPr="00B0618E">
        <w:t xml:space="preserve">for each of the </w:t>
      </w:r>
      <w:r w:rsidRPr="00B0618E">
        <w:t>‘initial’ and ‘revised’ models.</w:t>
      </w:r>
      <w:bookmarkEnd w:id="156"/>
    </w:p>
    <w:tbl>
      <w:tblPr>
        <w:tblStyle w:val="TableCSIRO"/>
        <w:tblW w:w="0" w:type="auto"/>
        <w:tblLook w:val="04A0" w:firstRow="1" w:lastRow="0" w:firstColumn="1" w:lastColumn="0" w:noHBand="0" w:noVBand="1"/>
        <w:tblCaption w:val="Figure 5-2"/>
        <w:tblDescription w:val="Table of model output statistics"/>
      </w:tblPr>
      <w:tblGrid>
        <w:gridCol w:w="3431"/>
        <w:gridCol w:w="2031"/>
        <w:gridCol w:w="2031"/>
        <w:gridCol w:w="2032"/>
      </w:tblGrid>
      <w:tr w:rsidR="006E0300" w:rsidRPr="00B0618E" w14:paraId="799FE1CA" w14:textId="7AD65AEE" w:rsidTr="006E03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4C47EDD1" w14:textId="77777777" w:rsidR="006E0300" w:rsidRPr="00B0618E" w:rsidRDefault="006E0300" w:rsidP="00225737">
            <w:pPr>
              <w:pStyle w:val="TableText"/>
              <w:rPr>
                <w:color w:val="FFFFFF" w:themeColor="background1"/>
              </w:rPr>
            </w:pPr>
            <w:r w:rsidRPr="00B0618E">
              <w:rPr>
                <w:color w:val="FFFFFF" w:themeColor="background1"/>
              </w:rPr>
              <w:t>Prediction</w:t>
            </w:r>
          </w:p>
        </w:tc>
        <w:tc>
          <w:tcPr>
            <w:tcW w:w="2031" w:type="dxa"/>
            <w:hideMark/>
          </w:tcPr>
          <w:p w14:paraId="7E7B4DC1" w14:textId="17AB9F50" w:rsidR="006E0300" w:rsidRPr="00B0618E" w:rsidRDefault="006E0300" w:rsidP="006E0300">
            <w:pPr>
              <w:pStyle w:val="TableText"/>
              <w:ind w:right="387"/>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 xml:space="preserve">‘Initial’ model </w:t>
            </w:r>
          </w:p>
        </w:tc>
        <w:tc>
          <w:tcPr>
            <w:tcW w:w="2031" w:type="dxa"/>
            <w:hideMark/>
          </w:tcPr>
          <w:p w14:paraId="5B62D55B" w14:textId="4A0B220A" w:rsidR="006E0300" w:rsidRPr="00B0618E" w:rsidRDefault="006E0300" w:rsidP="006E0300">
            <w:pPr>
              <w:pStyle w:val="TableText"/>
              <w:ind w:right="291"/>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‘Revised’ model</w:t>
            </w:r>
          </w:p>
        </w:tc>
        <w:tc>
          <w:tcPr>
            <w:tcW w:w="2032" w:type="dxa"/>
          </w:tcPr>
          <w:p w14:paraId="0C6B4643" w14:textId="6A2BAF0E" w:rsidR="006E0300" w:rsidRPr="00B0618E" w:rsidRDefault="006E0300" w:rsidP="006E0300">
            <w:pPr>
              <w:pStyle w:val="TableText"/>
              <w:ind w:right="481"/>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Difference</w:t>
            </w:r>
          </w:p>
        </w:tc>
      </w:tr>
      <w:tr w:rsidR="006E0300" w:rsidRPr="00B0618E" w14:paraId="33189471" w14:textId="0A733E1A" w:rsidTr="006E0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05A60B81" w14:textId="66003A5B" w:rsidR="006E0300" w:rsidRPr="00B0618E" w:rsidRDefault="006E0300" w:rsidP="00225737">
            <w:pPr>
              <w:pStyle w:val="TableText"/>
              <w:rPr>
                <w:b w:val="0"/>
              </w:rPr>
            </w:pPr>
            <w:r w:rsidRPr="00B0618E">
              <w:rPr>
                <w:b w:val="0"/>
              </w:rPr>
              <w:t>Maximum drawdown (MXD)</w:t>
            </w:r>
          </w:p>
        </w:tc>
        <w:tc>
          <w:tcPr>
            <w:tcW w:w="2031" w:type="dxa"/>
            <w:hideMark/>
          </w:tcPr>
          <w:p w14:paraId="4E1416EC" w14:textId="77777777" w:rsidR="006E0300" w:rsidRPr="00B0618E" w:rsidRDefault="006E0300" w:rsidP="006E0300">
            <w:pPr>
              <w:pStyle w:val="TableText"/>
              <w:ind w:right="387"/>
              <w:jc w:val="right"/>
              <w:cnfStyle w:val="000000100000" w:firstRow="0" w:lastRow="0" w:firstColumn="0" w:lastColumn="0" w:oddVBand="0" w:evenVBand="0" w:oddHBand="1" w:evenHBand="0" w:firstRowFirstColumn="0" w:firstRowLastColumn="0" w:lastRowFirstColumn="0" w:lastRowLastColumn="0"/>
            </w:pPr>
            <w:r w:rsidRPr="00B0618E">
              <w:t>7.2 m</w:t>
            </w:r>
          </w:p>
        </w:tc>
        <w:tc>
          <w:tcPr>
            <w:tcW w:w="2031" w:type="dxa"/>
            <w:hideMark/>
          </w:tcPr>
          <w:p w14:paraId="73C04B60" w14:textId="77777777" w:rsidR="006E0300" w:rsidRPr="00B0618E" w:rsidRDefault="006E0300" w:rsidP="006E0300">
            <w:pPr>
              <w:pStyle w:val="TableText"/>
              <w:ind w:right="291"/>
              <w:jc w:val="right"/>
              <w:cnfStyle w:val="000000100000" w:firstRow="0" w:lastRow="0" w:firstColumn="0" w:lastColumn="0" w:oddVBand="0" w:evenVBand="0" w:oddHBand="1" w:evenHBand="0" w:firstRowFirstColumn="0" w:firstRowLastColumn="0" w:lastRowFirstColumn="0" w:lastRowLastColumn="0"/>
            </w:pPr>
            <w:r w:rsidRPr="00B0618E">
              <w:t>7.9 m</w:t>
            </w:r>
          </w:p>
        </w:tc>
        <w:tc>
          <w:tcPr>
            <w:tcW w:w="2032" w:type="dxa"/>
          </w:tcPr>
          <w:p w14:paraId="0222230C" w14:textId="2825A41D" w:rsidR="006E0300" w:rsidRPr="00B0618E" w:rsidRDefault="006E0300" w:rsidP="006E0300">
            <w:pPr>
              <w:pStyle w:val="TableText"/>
              <w:ind w:right="481"/>
              <w:jc w:val="right"/>
              <w:cnfStyle w:val="000000100000" w:firstRow="0" w:lastRow="0" w:firstColumn="0" w:lastColumn="0" w:oddVBand="0" w:evenVBand="0" w:oddHBand="1" w:evenHBand="0" w:firstRowFirstColumn="0" w:firstRowLastColumn="0" w:lastRowFirstColumn="0" w:lastRowLastColumn="0"/>
            </w:pPr>
            <w:r w:rsidRPr="00B0618E">
              <w:t>+0.7 m</w:t>
            </w:r>
          </w:p>
        </w:tc>
      </w:tr>
      <w:tr w:rsidR="006E0300" w:rsidRPr="00B0618E" w14:paraId="3A19E012" w14:textId="72A72E4A" w:rsidTr="006E0300">
        <w:tc>
          <w:tcPr>
            <w:cnfStyle w:val="001000000000" w:firstRow="0" w:lastRow="0" w:firstColumn="1" w:lastColumn="0" w:oddVBand="0" w:evenVBand="0" w:oddHBand="0" w:evenHBand="0" w:firstRowFirstColumn="0" w:firstRowLastColumn="0" w:lastRowFirstColumn="0" w:lastRowLastColumn="0"/>
            <w:tcW w:w="3431" w:type="dxa"/>
            <w:hideMark/>
          </w:tcPr>
          <w:p w14:paraId="5103828D" w14:textId="6DD629F1" w:rsidR="006E0300" w:rsidRPr="00B0618E" w:rsidRDefault="006E0300" w:rsidP="00225737">
            <w:pPr>
              <w:pStyle w:val="TableText"/>
              <w:rPr>
                <w:b w:val="0"/>
              </w:rPr>
            </w:pPr>
            <w:r w:rsidRPr="00B0618E">
              <w:rPr>
                <w:b w:val="0"/>
              </w:rPr>
              <w:t>Timing of maximum drawdown (tMXD)</w:t>
            </w:r>
          </w:p>
        </w:tc>
        <w:tc>
          <w:tcPr>
            <w:tcW w:w="2031" w:type="dxa"/>
            <w:hideMark/>
          </w:tcPr>
          <w:p w14:paraId="0EB42A5A" w14:textId="77777777" w:rsidR="006E0300" w:rsidRPr="00B0618E" w:rsidRDefault="006E0300" w:rsidP="006E0300">
            <w:pPr>
              <w:pStyle w:val="TableText"/>
              <w:ind w:right="387"/>
              <w:jc w:val="right"/>
              <w:cnfStyle w:val="000000000000" w:firstRow="0" w:lastRow="0" w:firstColumn="0" w:lastColumn="0" w:oddVBand="0" w:evenVBand="0" w:oddHBand="0" w:evenHBand="0" w:firstRowFirstColumn="0" w:firstRowLastColumn="0" w:lastRowFirstColumn="0" w:lastRowLastColumn="0"/>
            </w:pPr>
            <w:r w:rsidRPr="00B0618E">
              <w:t>160 y</w:t>
            </w:r>
          </w:p>
        </w:tc>
        <w:tc>
          <w:tcPr>
            <w:tcW w:w="2031" w:type="dxa"/>
            <w:hideMark/>
          </w:tcPr>
          <w:p w14:paraId="30C96AFB" w14:textId="77777777" w:rsidR="006E0300" w:rsidRPr="00B0618E" w:rsidRDefault="006E0300" w:rsidP="006E0300">
            <w:pPr>
              <w:pStyle w:val="TableText"/>
              <w:ind w:right="291"/>
              <w:jc w:val="right"/>
              <w:cnfStyle w:val="000000000000" w:firstRow="0" w:lastRow="0" w:firstColumn="0" w:lastColumn="0" w:oddVBand="0" w:evenVBand="0" w:oddHBand="0" w:evenHBand="0" w:firstRowFirstColumn="0" w:firstRowLastColumn="0" w:lastRowFirstColumn="0" w:lastRowLastColumn="0"/>
            </w:pPr>
            <w:r w:rsidRPr="00B0618E">
              <w:t>160 y</w:t>
            </w:r>
          </w:p>
        </w:tc>
        <w:tc>
          <w:tcPr>
            <w:tcW w:w="2032" w:type="dxa"/>
          </w:tcPr>
          <w:p w14:paraId="12A7D02A" w14:textId="60BCD0CC" w:rsidR="006E0300" w:rsidRPr="00B0618E" w:rsidRDefault="006E0300" w:rsidP="006E0300">
            <w:pPr>
              <w:pStyle w:val="TableText"/>
              <w:ind w:right="481"/>
              <w:jc w:val="right"/>
              <w:cnfStyle w:val="000000000000" w:firstRow="0" w:lastRow="0" w:firstColumn="0" w:lastColumn="0" w:oddVBand="0" w:evenVBand="0" w:oddHBand="0" w:evenHBand="0" w:firstRowFirstColumn="0" w:firstRowLastColumn="0" w:lastRowFirstColumn="0" w:lastRowLastColumn="0"/>
            </w:pPr>
            <w:r w:rsidRPr="00B0618E">
              <w:t>0 y</w:t>
            </w:r>
          </w:p>
        </w:tc>
      </w:tr>
      <w:tr w:rsidR="006E0300" w:rsidRPr="00B0618E" w14:paraId="1741E0B9" w14:textId="4AE98870" w:rsidTr="006E030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0DB5F7EC" w14:textId="2CA0C508" w:rsidR="006E0300" w:rsidRPr="00B0618E" w:rsidRDefault="006E0300" w:rsidP="00225737">
            <w:pPr>
              <w:pStyle w:val="TableText"/>
              <w:rPr>
                <w:b w:val="0"/>
              </w:rPr>
            </w:pPr>
            <w:r w:rsidRPr="00B0618E">
              <w:rPr>
                <w:b w:val="0"/>
              </w:rPr>
              <w:t>Spatial extent of drawdown ≥ 2 m (NDD)</w:t>
            </w:r>
          </w:p>
        </w:tc>
        <w:tc>
          <w:tcPr>
            <w:tcW w:w="2031" w:type="dxa"/>
            <w:hideMark/>
          </w:tcPr>
          <w:p w14:paraId="18F4C2FF" w14:textId="64B26265" w:rsidR="006E0300" w:rsidRPr="00B0618E" w:rsidRDefault="003B3314" w:rsidP="006E0300">
            <w:pPr>
              <w:pStyle w:val="TableText"/>
              <w:ind w:right="387"/>
              <w:jc w:val="right"/>
              <w:cnfStyle w:val="000000100000" w:firstRow="0" w:lastRow="0" w:firstColumn="0" w:lastColumn="0" w:oddVBand="0" w:evenVBand="0" w:oddHBand="1" w:evenHBand="0" w:firstRowFirstColumn="0" w:firstRowLastColumn="0" w:lastRowFirstColumn="0" w:lastRowLastColumn="0"/>
            </w:pPr>
            <w:r w:rsidRPr="00B0618E">
              <w:t>4 490</w:t>
            </w:r>
            <w:r w:rsidR="006E0300" w:rsidRPr="00B0618E">
              <w:t xml:space="preserve"> cells</w:t>
            </w:r>
          </w:p>
        </w:tc>
        <w:tc>
          <w:tcPr>
            <w:tcW w:w="2031" w:type="dxa"/>
            <w:hideMark/>
          </w:tcPr>
          <w:p w14:paraId="00E97533" w14:textId="12CBF837" w:rsidR="006E0300" w:rsidRPr="00B0618E" w:rsidRDefault="003B3314" w:rsidP="006E0300">
            <w:pPr>
              <w:pStyle w:val="TableText"/>
              <w:ind w:right="291"/>
              <w:jc w:val="right"/>
              <w:cnfStyle w:val="000000100000" w:firstRow="0" w:lastRow="0" w:firstColumn="0" w:lastColumn="0" w:oddVBand="0" w:evenVBand="0" w:oddHBand="1" w:evenHBand="0" w:firstRowFirstColumn="0" w:firstRowLastColumn="0" w:lastRowFirstColumn="0" w:lastRowLastColumn="0"/>
            </w:pPr>
            <w:r w:rsidRPr="00B0618E">
              <w:t>5 350</w:t>
            </w:r>
            <w:r w:rsidR="006E0300" w:rsidRPr="00B0618E">
              <w:t xml:space="preserve"> cells </w:t>
            </w:r>
          </w:p>
        </w:tc>
        <w:tc>
          <w:tcPr>
            <w:tcW w:w="2032" w:type="dxa"/>
          </w:tcPr>
          <w:p w14:paraId="7C241ED4" w14:textId="41542E7B" w:rsidR="006E0300" w:rsidRPr="00B0618E" w:rsidRDefault="006E0300" w:rsidP="006E0300">
            <w:pPr>
              <w:pStyle w:val="TableText"/>
              <w:ind w:right="481"/>
              <w:jc w:val="right"/>
              <w:cnfStyle w:val="000000100000" w:firstRow="0" w:lastRow="0" w:firstColumn="0" w:lastColumn="0" w:oddVBand="0" w:evenVBand="0" w:oddHBand="1" w:evenHBand="0" w:firstRowFirstColumn="0" w:firstRowLastColumn="0" w:lastRowFirstColumn="0" w:lastRowLastColumn="0"/>
            </w:pPr>
            <w:r w:rsidRPr="00B0618E">
              <w:t>+861 cells</w:t>
            </w:r>
          </w:p>
        </w:tc>
      </w:tr>
      <w:tr w:rsidR="006E0300" w:rsidRPr="00B0618E" w14:paraId="1DF394CE" w14:textId="10BFABAC" w:rsidTr="006E0300">
        <w:tc>
          <w:tcPr>
            <w:cnfStyle w:val="001000000000" w:firstRow="0" w:lastRow="0" w:firstColumn="1" w:lastColumn="0" w:oddVBand="0" w:evenVBand="0" w:oddHBand="0" w:evenHBand="0" w:firstRowFirstColumn="0" w:firstRowLastColumn="0" w:lastRowFirstColumn="0" w:lastRowLastColumn="0"/>
            <w:tcW w:w="3431" w:type="dxa"/>
            <w:hideMark/>
          </w:tcPr>
          <w:p w14:paraId="5556DFB7" w14:textId="3C07F670" w:rsidR="006E0300" w:rsidRPr="00B0618E" w:rsidRDefault="006E0300" w:rsidP="00225737">
            <w:pPr>
              <w:pStyle w:val="TableText"/>
              <w:rPr>
                <w:b w:val="0"/>
              </w:rPr>
            </w:pPr>
            <w:r w:rsidRPr="00B0618E">
              <w:rPr>
                <w:b w:val="0"/>
              </w:rPr>
              <w:t>Maximum vertical flux (MXQ)</w:t>
            </w:r>
          </w:p>
        </w:tc>
        <w:tc>
          <w:tcPr>
            <w:tcW w:w="2031" w:type="dxa"/>
            <w:hideMark/>
          </w:tcPr>
          <w:p w14:paraId="00D151E7" w14:textId="77A4E919" w:rsidR="006E0300" w:rsidRPr="00B0618E" w:rsidRDefault="003B3314" w:rsidP="006E0300">
            <w:pPr>
              <w:pStyle w:val="TableText"/>
              <w:ind w:right="387"/>
              <w:jc w:val="right"/>
              <w:cnfStyle w:val="000000000000" w:firstRow="0" w:lastRow="0" w:firstColumn="0" w:lastColumn="0" w:oddVBand="0" w:evenVBand="0" w:oddHBand="0" w:evenHBand="0" w:firstRowFirstColumn="0" w:firstRowLastColumn="0" w:lastRowFirstColumn="0" w:lastRowLastColumn="0"/>
            </w:pPr>
            <w:r w:rsidRPr="00B0618E">
              <w:t>1 310</w:t>
            </w:r>
            <w:r w:rsidR="006E0300" w:rsidRPr="00B0618E">
              <w:t xml:space="preserve"> m</w:t>
            </w:r>
            <w:r w:rsidR="006E0300" w:rsidRPr="00B0618E">
              <w:rPr>
                <w:vertAlign w:val="superscript"/>
              </w:rPr>
              <w:t>3</w:t>
            </w:r>
            <w:r w:rsidR="006E0300" w:rsidRPr="00B0618E">
              <w:t>/d</w:t>
            </w:r>
          </w:p>
        </w:tc>
        <w:tc>
          <w:tcPr>
            <w:tcW w:w="2031" w:type="dxa"/>
            <w:hideMark/>
          </w:tcPr>
          <w:p w14:paraId="793FC19D" w14:textId="3376AA4A" w:rsidR="006E0300" w:rsidRPr="00B0618E" w:rsidRDefault="003B3314" w:rsidP="006E0300">
            <w:pPr>
              <w:pStyle w:val="TableText"/>
              <w:ind w:right="291"/>
              <w:jc w:val="right"/>
              <w:cnfStyle w:val="000000000000" w:firstRow="0" w:lastRow="0" w:firstColumn="0" w:lastColumn="0" w:oddVBand="0" w:evenVBand="0" w:oddHBand="0" w:evenHBand="0" w:firstRowFirstColumn="0" w:firstRowLastColumn="0" w:lastRowFirstColumn="0" w:lastRowLastColumn="0"/>
            </w:pPr>
            <w:r w:rsidRPr="00B0618E">
              <w:t>1 260</w:t>
            </w:r>
            <w:r w:rsidR="006E0300" w:rsidRPr="00B0618E">
              <w:t xml:space="preserve"> m</w:t>
            </w:r>
            <w:r w:rsidR="006E0300" w:rsidRPr="00B0618E">
              <w:rPr>
                <w:vertAlign w:val="superscript"/>
              </w:rPr>
              <w:t>3</w:t>
            </w:r>
            <w:r w:rsidR="006E0300" w:rsidRPr="00B0618E">
              <w:t>/d</w:t>
            </w:r>
          </w:p>
        </w:tc>
        <w:tc>
          <w:tcPr>
            <w:tcW w:w="2032" w:type="dxa"/>
          </w:tcPr>
          <w:p w14:paraId="24299451" w14:textId="7D5858D0" w:rsidR="006E0300" w:rsidRPr="00B0618E" w:rsidRDefault="006E0300" w:rsidP="006E0300">
            <w:pPr>
              <w:pStyle w:val="TableText"/>
              <w:ind w:right="481"/>
              <w:jc w:val="right"/>
              <w:cnfStyle w:val="000000000000" w:firstRow="0" w:lastRow="0" w:firstColumn="0" w:lastColumn="0" w:oddVBand="0" w:evenVBand="0" w:oddHBand="0" w:evenHBand="0" w:firstRowFirstColumn="0" w:firstRowLastColumn="0" w:lastRowFirstColumn="0" w:lastRowLastColumn="0"/>
            </w:pPr>
            <w:r w:rsidRPr="00B0618E">
              <w:t>-47 m</w:t>
            </w:r>
            <w:r w:rsidRPr="00B0618E">
              <w:rPr>
                <w:vertAlign w:val="superscript"/>
              </w:rPr>
              <w:t>3</w:t>
            </w:r>
            <w:r w:rsidRPr="00B0618E">
              <w:t>/d</w:t>
            </w:r>
          </w:p>
        </w:tc>
      </w:tr>
    </w:tbl>
    <w:p w14:paraId="6264B103" w14:textId="77777777" w:rsidR="00C75FB6" w:rsidRPr="00B0618E" w:rsidRDefault="00C75FB6">
      <w:pPr>
        <w:spacing w:after="0"/>
        <w:rPr>
          <w:sz w:val="24"/>
        </w:rPr>
      </w:pPr>
    </w:p>
    <w:p w14:paraId="30070778" w14:textId="77777777" w:rsidR="00C619B8" w:rsidRPr="00B0618E" w:rsidRDefault="00C619B8" w:rsidP="00C619B8">
      <w:pPr>
        <w:pStyle w:val="Heading1"/>
      </w:pPr>
      <w:bookmarkStart w:id="157" w:name="_Toc483127583"/>
      <w:r w:rsidRPr="00B0618E">
        <w:t>Analyses of the spatial variability of aquitard hydraulic properties</w:t>
      </w:r>
      <w:bookmarkEnd w:id="157"/>
    </w:p>
    <w:p w14:paraId="18B6665B" w14:textId="04037C88" w:rsidR="00C619B8" w:rsidRPr="00B0618E" w:rsidRDefault="00C619B8" w:rsidP="00C619B8">
      <w:pPr>
        <w:pStyle w:val="BodyText"/>
      </w:pPr>
      <w:r w:rsidRPr="00B0618E">
        <w:t xml:space="preserve">The original </w:t>
      </w:r>
      <w:r w:rsidR="00045A85">
        <w:t>CDM Smith (2016)</w:t>
      </w:r>
      <w:r w:rsidRPr="00B0618E">
        <w:t xml:space="preserve"> Gunnedah</w:t>
      </w:r>
      <w:r w:rsidR="00F73CA5">
        <w:t>-Surat</w:t>
      </w:r>
      <w:r w:rsidRPr="00B0618E">
        <w:t xml:space="preserve"> </w:t>
      </w:r>
      <w:r w:rsidR="00F73CA5">
        <w:t>b</w:t>
      </w:r>
      <w:r w:rsidRPr="00B0618E">
        <w:t>asin</w:t>
      </w:r>
      <w:r w:rsidR="00F73CA5">
        <w:t>s</w:t>
      </w:r>
      <w:r w:rsidRPr="00B0618E">
        <w:t xml:space="preserve"> model parameterised aquitard vertical hydraulic conductivities using spatially uniform (i.e., homogeneous) values. The characterisation of aquitard </w:t>
      </w:r>
      <w:r w:rsidRPr="00B0618E">
        <w:rPr>
          <w:i/>
        </w:rPr>
        <w:t>K</w:t>
      </w:r>
      <w:r w:rsidRPr="00B0618E">
        <w:rPr>
          <w:i/>
          <w:vertAlign w:val="subscript"/>
        </w:rPr>
        <w:t>V</w:t>
      </w:r>
      <w:r w:rsidRPr="00B0618E">
        <w:t xml:space="preserve"> described in Section </w:t>
      </w:r>
      <w:r w:rsidRPr="00B0618E">
        <w:fldChar w:fldCharType="begin"/>
      </w:r>
      <w:r w:rsidRPr="00B0618E">
        <w:instrText xml:space="preserve"> REF _Ref476303051 \r \h </w:instrText>
      </w:r>
      <w:r w:rsidR="00B0618E">
        <w:instrText xml:space="preserve"> \* MERGEFORMAT </w:instrText>
      </w:r>
      <w:r w:rsidRPr="00B0618E">
        <w:fldChar w:fldCharType="separate"/>
      </w:r>
      <w:r w:rsidR="000B6FA5">
        <w:t>4</w:t>
      </w:r>
      <w:r w:rsidRPr="00B0618E">
        <w:fldChar w:fldCharType="end"/>
      </w:r>
      <w:r w:rsidRPr="00B0618E">
        <w:t xml:space="preserve"> resulted in upscaled estimates at numerous locations distributed across the Gunnedah</w:t>
      </w:r>
      <w:r w:rsidR="00F73CA5">
        <w:t>-Surat</w:t>
      </w:r>
      <w:r w:rsidRPr="00B0618E">
        <w:t xml:space="preserve"> </w:t>
      </w:r>
      <w:r w:rsidR="00F73CA5">
        <w:t>b</w:t>
      </w:r>
      <w:r w:rsidRPr="00B0618E">
        <w:t>asin</w:t>
      </w:r>
      <w:r w:rsidR="00F73CA5">
        <w:t>s</w:t>
      </w:r>
      <w:r w:rsidRPr="00B0618E">
        <w:t xml:space="preserve">. Such observations allow for the characterisation of the spatial variability of aquitard </w:t>
      </w:r>
      <w:r w:rsidRPr="00B0618E">
        <w:rPr>
          <w:i/>
        </w:rPr>
        <w:t>K</w:t>
      </w:r>
      <w:r w:rsidRPr="00B0618E">
        <w:rPr>
          <w:i/>
          <w:vertAlign w:val="subscript"/>
        </w:rPr>
        <w:t>V</w:t>
      </w:r>
      <w:r w:rsidRPr="00B0618E">
        <w:t xml:space="preserve"> using geostatistical methods. This was undertaken in the present study </w:t>
      </w:r>
      <w:r w:rsidR="00324D36" w:rsidRPr="00B0618E">
        <w:t xml:space="preserve">as a basis for the stochastic generation of spatially distributed aquitard </w:t>
      </w:r>
      <w:r w:rsidR="00324D36" w:rsidRPr="00B0618E">
        <w:rPr>
          <w:i/>
        </w:rPr>
        <w:t>K</w:t>
      </w:r>
      <w:r w:rsidR="00324D36" w:rsidRPr="00B0618E">
        <w:rPr>
          <w:i/>
          <w:vertAlign w:val="subscript"/>
        </w:rPr>
        <w:t>V</w:t>
      </w:r>
      <w:r w:rsidR="00324D36" w:rsidRPr="00B0618E">
        <w:t xml:space="preserve"> parameter sets. These were </w:t>
      </w:r>
      <w:r w:rsidR="00356058" w:rsidRPr="00B0618E">
        <w:t xml:space="preserve">then </w:t>
      </w:r>
      <w:r w:rsidR="00324D36" w:rsidRPr="00B0618E">
        <w:t xml:space="preserve">used as the basis for a non-comprehensive assessment of the effects of the heterogeneity of aquitard </w:t>
      </w:r>
      <w:r w:rsidR="00324D36" w:rsidRPr="00B0618E">
        <w:rPr>
          <w:i/>
        </w:rPr>
        <w:t>K</w:t>
      </w:r>
      <w:r w:rsidR="00324D36" w:rsidRPr="00B0618E">
        <w:rPr>
          <w:i/>
          <w:vertAlign w:val="subscript"/>
        </w:rPr>
        <w:t>V</w:t>
      </w:r>
      <w:r w:rsidR="00324D36" w:rsidRPr="00B0618E">
        <w:t xml:space="preserve"> on modelled hydraulic predictions</w:t>
      </w:r>
      <w:r w:rsidR="0003319F" w:rsidRPr="00B0618E">
        <w:t xml:space="preserve">. </w:t>
      </w:r>
      <w:r w:rsidR="00DB3FC3" w:rsidRPr="00B0618E">
        <w:t>For this approach, t</w:t>
      </w:r>
      <w:r w:rsidR="0003319F" w:rsidRPr="00B0618E">
        <w:t xml:space="preserve">he </w:t>
      </w:r>
      <w:r w:rsidR="00356058" w:rsidRPr="00B0618E">
        <w:t xml:space="preserve">spatial variability </w:t>
      </w:r>
      <w:r w:rsidR="0003319F" w:rsidRPr="00B0618E">
        <w:t xml:space="preserve">of </w:t>
      </w:r>
      <w:r w:rsidR="00356058" w:rsidRPr="00B0618E">
        <w:rPr>
          <w:i/>
        </w:rPr>
        <w:t>K</w:t>
      </w:r>
      <w:r w:rsidR="00356058" w:rsidRPr="00B0618E">
        <w:rPr>
          <w:i/>
          <w:vertAlign w:val="subscript"/>
        </w:rPr>
        <w:t>V</w:t>
      </w:r>
      <w:r w:rsidR="00356058" w:rsidRPr="00B0618E">
        <w:t xml:space="preserve"> </w:t>
      </w:r>
      <w:r w:rsidR="0003319F" w:rsidRPr="00B0618E">
        <w:t xml:space="preserve">was incorporated explicitly </w:t>
      </w:r>
      <w:r w:rsidR="00356058" w:rsidRPr="00B0618E">
        <w:t xml:space="preserve">when quantifying uncertainty </w:t>
      </w:r>
      <w:r w:rsidR="00DB3FC3" w:rsidRPr="00B0618E">
        <w:t xml:space="preserve">associated with </w:t>
      </w:r>
      <w:r w:rsidR="00356058" w:rsidRPr="00B0618E">
        <w:t>predictions</w:t>
      </w:r>
      <w:r w:rsidR="00324D36" w:rsidRPr="00B0618E">
        <w:t>.</w:t>
      </w:r>
      <w:r w:rsidR="00AD7038" w:rsidRPr="00B0618E">
        <w:t xml:space="preserve"> </w:t>
      </w:r>
    </w:p>
    <w:p w14:paraId="288169C8" w14:textId="77777777" w:rsidR="00C619B8" w:rsidRPr="00B0618E" w:rsidRDefault="00C619B8" w:rsidP="00C619B8">
      <w:pPr>
        <w:pStyle w:val="Heading2"/>
      </w:pPr>
      <w:bookmarkStart w:id="158" w:name="_Toc483127584"/>
      <w:r w:rsidRPr="00B0618E">
        <w:t>Spatial distributions of aquitard vertical hydraulic conductivity</w:t>
      </w:r>
      <w:bookmarkEnd w:id="158"/>
    </w:p>
    <w:p w14:paraId="07C3E464" w14:textId="31AAD12D" w:rsidR="00C619B8" w:rsidRDefault="00C619B8" w:rsidP="00C619B8">
      <w:pPr>
        <w:pStyle w:val="BodyText"/>
      </w:pPr>
      <w:r w:rsidRPr="00B0618E">
        <w:t xml:space="preserve">Spatial distributions of upscaled numerical and harmonic (as well as arithmetic and geometric) mean values for the upper aquitard sequence are shown in </w:t>
      </w:r>
      <w:r w:rsidRPr="00B0618E">
        <w:fldChar w:fldCharType="begin"/>
      </w:r>
      <w:r w:rsidRPr="00B0618E">
        <w:instrText xml:space="preserve"> REF _Ref475974521 \h </w:instrText>
      </w:r>
      <w:r w:rsidR="00B0618E">
        <w:instrText xml:space="preserve"> \* MERGEFORMAT </w:instrText>
      </w:r>
      <w:r w:rsidRPr="00B0618E">
        <w:fldChar w:fldCharType="separate"/>
      </w:r>
      <w:r w:rsidR="000B6FA5" w:rsidRPr="00B0618E">
        <w:t xml:space="preserve">Figure </w:t>
      </w:r>
      <w:r w:rsidR="000B6FA5">
        <w:rPr>
          <w:noProof/>
        </w:rPr>
        <w:t>6</w:t>
      </w:r>
      <w:r w:rsidR="000B6FA5">
        <w:rPr>
          <w:noProof/>
        </w:rPr>
        <w:noBreakHyphen/>
        <w:t>1</w:t>
      </w:r>
      <w:r w:rsidRPr="00B0618E">
        <w:fldChar w:fldCharType="end"/>
      </w:r>
      <w:r w:rsidRPr="00B0618E">
        <w:t>.</w:t>
      </w:r>
      <w:r w:rsidR="00900B03" w:rsidRPr="00B0618E">
        <w:t xml:space="preserve"> </w:t>
      </w:r>
      <w:r w:rsidR="00B16E87" w:rsidRPr="00B0618E">
        <w:t xml:space="preserve">The data set contains 54 data points for the numerical and 64 data points for the harmonic mean. </w:t>
      </w:r>
      <w:r w:rsidR="00824644">
        <w:t>Journel and</w:t>
      </w:r>
      <w:r w:rsidR="00824644" w:rsidRPr="00824644">
        <w:t xml:space="preserve"> Hujbregts (1978) advise practitioners that a minimum of 30 to 50 paired comparisons </w:t>
      </w:r>
      <w:r w:rsidR="00C0726F">
        <w:t xml:space="preserve">(or number of lag differences, see further) </w:t>
      </w:r>
      <w:r w:rsidR="00824644" w:rsidRPr="00824644">
        <w:t xml:space="preserve">should suffice to construct a </w:t>
      </w:r>
      <w:r w:rsidR="00824644">
        <w:t>semi-</w:t>
      </w:r>
      <w:r w:rsidR="00824644" w:rsidRPr="00824644">
        <w:t>variogram</w:t>
      </w:r>
      <w:r w:rsidR="00824644">
        <w:t xml:space="preserve"> (see further in Section </w:t>
      </w:r>
      <w:r w:rsidR="00824644">
        <w:fldChar w:fldCharType="begin"/>
      </w:r>
      <w:r w:rsidR="00824644">
        <w:instrText xml:space="preserve"> REF _Ref479512293 \r \h </w:instrText>
      </w:r>
      <w:r w:rsidR="00824644">
        <w:fldChar w:fldCharType="separate"/>
      </w:r>
      <w:r w:rsidR="000B6FA5">
        <w:t>6.2</w:t>
      </w:r>
      <w:r w:rsidR="00824644">
        <w:fldChar w:fldCharType="end"/>
      </w:r>
      <w:r w:rsidR="00824644">
        <w:t>)</w:t>
      </w:r>
      <w:r w:rsidR="00824644" w:rsidRPr="00824644">
        <w:t xml:space="preserve">. In our case the number of data pairs </w:t>
      </w:r>
      <w:r w:rsidR="00824644">
        <w:t xml:space="preserve">for the harmonic mean </w:t>
      </w:r>
      <w:r w:rsidR="00824644" w:rsidRPr="00824644">
        <w:rPr>
          <w:i/>
        </w:rPr>
        <w:t>K</w:t>
      </w:r>
      <w:r w:rsidR="00824644">
        <w:t xml:space="preserve"> </w:t>
      </w:r>
      <w:r w:rsidR="005F1044">
        <w:t>with 64 data points (</w:t>
      </w:r>
      <w:r w:rsidR="005F1044" w:rsidRPr="005F1044">
        <w:rPr>
          <w:i/>
        </w:rPr>
        <w:t>n</w:t>
      </w:r>
      <w:r w:rsidR="005F1044">
        <w:t xml:space="preserve">) </w:t>
      </w:r>
      <w:r w:rsidR="00824644">
        <w:t>equals</w:t>
      </w:r>
      <w:r w:rsidR="00824644" w:rsidRPr="00824644">
        <w:t xml:space="preserve"> </w:t>
      </w:r>
      <w:r w:rsidR="00824644" w:rsidRPr="00824644">
        <w:rPr>
          <w:i/>
        </w:rPr>
        <w:t>n</w:t>
      </w:r>
      <w:r w:rsidR="00824644">
        <w:t>×</w:t>
      </w:r>
      <w:r w:rsidR="00824644" w:rsidRPr="00824644">
        <w:t>(</w:t>
      </w:r>
      <w:r w:rsidR="00824644" w:rsidRPr="00824644">
        <w:rPr>
          <w:i/>
        </w:rPr>
        <w:t>n</w:t>
      </w:r>
      <w:r w:rsidR="00824644" w:rsidRPr="00824644">
        <w:t>-1)/</w:t>
      </w:r>
      <w:r w:rsidR="00824644">
        <w:t>2</w:t>
      </w:r>
      <w:r w:rsidR="00824644" w:rsidRPr="00824644">
        <w:t>= 64</w:t>
      </w:r>
      <w:r w:rsidR="00824644">
        <w:t>×</w:t>
      </w:r>
      <w:r w:rsidR="00824644" w:rsidRPr="00824644">
        <w:t xml:space="preserve">63/2=2016. The condition of minimum paired comparisons is thus </w:t>
      </w:r>
      <w:r w:rsidR="00824644">
        <w:t xml:space="preserve">more than </w:t>
      </w:r>
      <w:r w:rsidR="00824644" w:rsidRPr="00824644">
        <w:t>satisfied</w:t>
      </w:r>
      <w:r w:rsidR="00824644">
        <w:t>, and the semi-variogram can be relatively accurately described</w:t>
      </w:r>
      <w:r w:rsidR="00824644" w:rsidRPr="00824644">
        <w:t>.</w:t>
      </w:r>
      <w:r w:rsidR="00824644">
        <w:t xml:space="preserve"> </w:t>
      </w:r>
      <w:r w:rsidR="00AD7038" w:rsidRPr="00B0618E">
        <w:t xml:space="preserve">Of notice is the higher density of data points across the </w:t>
      </w:r>
      <w:r w:rsidR="00CF70C6">
        <w:t xml:space="preserve">focus </w:t>
      </w:r>
      <w:r w:rsidR="00AD7038" w:rsidRPr="00B0618E">
        <w:t>study area</w:t>
      </w:r>
      <w:r w:rsidR="00CF70C6">
        <w:t xml:space="preserve"> (arrow in </w:t>
      </w:r>
      <w:r w:rsidR="00CF70C6">
        <w:fldChar w:fldCharType="begin"/>
      </w:r>
      <w:r w:rsidR="00CF70C6">
        <w:instrText xml:space="preserve"> REF _Ref475974521 \h </w:instrText>
      </w:r>
      <w:r w:rsidR="00CF70C6">
        <w:fldChar w:fldCharType="separate"/>
      </w:r>
      <w:r w:rsidR="000B6FA5" w:rsidRPr="00B0618E">
        <w:t xml:space="preserve">Figure </w:t>
      </w:r>
      <w:r w:rsidR="000B6FA5">
        <w:rPr>
          <w:noProof/>
        </w:rPr>
        <w:t>6</w:t>
      </w:r>
      <w:r w:rsidR="000B6FA5">
        <w:noBreakHyphen/>
      </w:r>
      <w:r w:rsidR="000B6FA5">
        <w:rPr>
          <w:noProof/>
        </w:rPr>
        <w:t>1</w:t>
      </w:r>
      <w:r w:rsidR="00CF70C6">
        <w:fldChar w:fldCharType="end"/>
      </w:r>
      <w:r w:rsidR="00CF70C6">
        <w:t xml:space="preserve"> and </w:t>
      </w:r>
      <w:r w:rsidR="00CF70C6">
        <w:fldChar w:fldCharType="begin"/>
      </w:r>
      <w:r w:rsidR="00CF70C6">
        <w:instrText xml:space="preserve"> REF _Ref475974531 \h </w:instrText>
      </w:r>
      <w:r w:rsidR="00CF70C6">
        <w:fldChar w:fldCharType="separate"/>
      </w:r>
      <w:r w:rsidR="000B6FA5" w:rsidRPr="00B0618E">
        <w:t xml:space="preserve">Figure </w:t>
      </w:r>
      <w:r w:rsidR="000B6FA5">
        <w:rPr>
          <w:noProof/>
        </w:rPr>
        <w:t>6</w:t>
      </w:r>
      <w:r w:rsidR="000B6FA5">
        <w:noBreakHyphen/>
      </w:r>
      <w:r w:rsidR="000B6FA5">
        <w:rPr>
          <w:noProof/>
        </w:rPr>
        <w:t>2</w:t>
      </w:r>
      <w:r w:rsidR="00CF70C6">
        <w:fldChar w:fldCharType="end"/>
      </w:r>
      <w:r w:rsidR="00CF70C6">
        <w:t>)</w:t>
      </w:r>
      <w:r w:rsidR="00AD7038" w:rsidRPr="00B0618E">
        <w:t xml:space="preserve">, which will result in a relatively accurate description of </w:t>
      </w:r>
      <w:r w:rsidR="005F1044">
        <w:t>the</w:t>
      </w:r>
      <w:r w:rsidR="006801F5" w:rsidRPr="00B0618E">
        <w:t xml:space="preserve"> spatial structure </w:t>
      </w:r>
      <w:r w:rsidR="005F1044">
        <w:t xml:space="preserve">or spatial dependency in </w:t>
      </w:r>
      <w:r w:rsidR="005F1044" w:rsidRPr="005F1044">
        <w:rPr>
          <w:i/>
        </w:rPr>
        <w:t>K</w:t>
      </w:r>
      <w:r w:rsidR="005F1044" w:rsidRPr="005F1044">
        <w:rPr>
          <w:vertAlign w:val="subscript"/>
        </w:rPr>
        <w:t>V</w:t>
      </w:r>
      <w:r w:rsidR="005F1044">
        <w:t xml:space="preserve">. Note that the spatial dependency is only calculated in two dimensions </w:t>
      </w:r>
      <w:r w:rsidR="006801F5" w:rsidRPr="00B0618E">
        <w:t>(</w:t>
      </w:r>
      <w:r w:rsidR="005F1044">
        <w:t xml:space="preserve">i.e., </w:t>
      </w:r>
      <w:r w:rsidR="006801F5" w:rsidRPr="00B0618E">
        <w:t>in the horizontal direction)</w:t>
      </w:r>
      <w:r w:rsidR="005F1044">
        <w:t xml:space="preserve">, as any vertical variability in </w:t>
      </w:r>
      <w:r w:rsidR="005F1044" w:rsidRPr="005F1044">
        <w:rPr>
          <w:i/>
        </w:rPr>
        <w:t>K</w:t>
      </w:r>
      <w:r w:rsidR="005F1044" w:rsidRPr="005F1044">
        <w:rPr>
          <w:vertAlign w:val="subscript"/>
        </w:rPr>
        <w:t>V</w:t>
      </w:r>
      <w:r w:rsidR="005F1044">
        <w:t xml:space="preserve"> is represented by a single upscaled value</w:t>
      </w:r>
      <w:r w:rsidR="006801F5" w:rsidRPr="00B0618E">
        <w:t xml:space="preserve">. Outside of the study area, very few data points exist which will result in a much less accurate description of spatial heterogeneity. This is acceptable, as the major impacts will be centred </w:t>
      </w:r>
      <w:r w:rsidR="003C33C5" w:rsidRPr="00B0618E">
        <w:t>on</w:t>
      </w:r>
      <w:r w:rsidR="006801F5" w:rsidRPr="00B0618E">
        <w:t xml:space="preserve"> the study area, and much less so </w:t>
      </w:r>
      <w:r w:rsidR="0011081B" w:rsidRPr="00B0618E">
        <w:t xml:space="preserve">on </w:t>
      </w:r>
      <w:r w:rsidR="006801F5" w:rsidRPr="00B0618E">
        <w:t xml:space="preserve">the broader model domain (see </w:t>
      </w:r>
      <w:r w:rsidR="006E0300" w:rsidRPr="00B0618E">
        <w:t xml:space="preserve">Section </w:t>
      </w:r>
      <w:r w:rsidR="006E0300" w:rsidRPr="00B0618E">
        <w:fldChar w:fldCharType="begin"/>
      </w:r>
      <w:r w:rsidR="006E0300" w:rsidRPr="00B0618E">
        <w:instrText xml:space="preserve"> REF _Ref478136832 \r \h </w:instrText>
      </w:r>
      <w:r w:rsidR="00B0618E">
        <w:instrText xml:space="preserve"> \* MERGEFORMAT </w:instrText>
      </w:r>
      <w:r w:rsidR="006E0300" w:rsidRPr="00B0618E">
        <w:fldChar w:fldCharType="separate"/>
      </w:r>
      <w:r w:rsidR="000B6FA5">
        <w:t>5.3.3</w:t>
      </w:r>
      <w:r w:rsidR="006E0300" w:rsidRPr="00B0618E">
        <w:fldChar w:fldCharType="end"/>
      </w:r>
      <w:r w:rsidR="006E0300" w:rsidRPr="00B0618E">
        <w:t xml:space="preserve"> </w:t>
      </w:r>
      <w:r w:rsidR="006801F5" w:rsidRPr="00B0618E">
        <w:t>for details)</w:t>
      </w:r>
      <w:r w:rsidR="0011081B" w:rsidRPr="00B0618E">
        <w:t>.</w:t>
      </w:r>
      <w:r w:rsidR="00E622DE" w:rsidRPr="00B0618E">
        <w:t xml:space="preserve"> </w:t>
      </w:r>
      <w:r w:rsidR="00B00C99">
        <w:t xml:space="preserve">In case the regional impact exceeds the area that is most accurately characterised, additional characterisation across the broader domain can potentially be considered. </w:t>
      </w:r>
      <w:r w:rsidR="00E622DE" w:rsidRPr="00B0618E">
        <w:t xml:space="preserve">Upscaled </w:t>
      </w:r>
      <w:r w:rsidR="00E622DE" w:rsidRPr="00B0618E">
        <w:rPr>
          <w:i/>
        </w:rPr>
        <w:t>K</w:t>
      </w:r>
      <w:r w:rsidR="00E622DE" w:rsidRPr="00B0618E">
        <w:rPr>
          <w:i/>
          <w:vertAlign w:val="subscript"/>
        </w:rPr>
        <w:t xml:space="preserve">V </w:t>
      </w:r>
      <w:r w:rsidR="00E622DE" w:rsidRPr="00B0618E">
        <w:t>values</w:t>
      </w:r>
      <w:r w:rsidR="006801F5" w:rsidRPr="00B0618E">
        <w:t xml:space="preserve"> </w:t>
      </w:r>
      <w:r w:rsidR="00E622DE" w:rsidRPr="00B0618E">
        <w:t xml:space="preserve">are very similar for the two averaging methods. </w:t>
      </w:r>
    </w:p>
    <w:p w14:paraId="7D1E7927" w14:textId="49A334A0" w:rsidR="00934293" w:rsidRDefault="00934293" w:rsidP="00934293">
      <w:pPr>
        <w:pStyle w:val="BodyText"/>
      </w:pPr>
      <w:r w:rsidRPr="00B0618E">
        <w:t xml:space="preserve">Spatial distributions of upscaled numerical and harmonic (as well as arithmetic and geometric) mean values for the lower aquitard sequence are shown in </w:t>
      </w:r>
      <w:r w:rsidRPr="00B0618E">
        <w:fldChar w:fldCharType="begin"/>
      </w:r>
      <w:r w:rsidRPr="00B0618E">
        <w:instrText xml:space="preserve"> REF _Ref475974531 \h  \* MERGEFORMAT </w:instrText>
      </w:r>
      <w:r w:rsidRPr="00B0618E">
        <w:fldChar w:fldCharType="separate"/>
      </w:r>
      <w:r w:rsidR="000B6FA5" w:rsidRPr="00B0618E">
        <w:t xml:space="preserve">Figure </w:t>
      </w:r>
      <w:r w:rsidR="000B6FA5">
        <w:rPr>
          <w:noProof/>
        </w:rPr>
        <w:t>6</w:t>
      </w:r>
      <w:r w:rsidR="000B6FA5">
        <w:rPr>
          <w:noProof/>
        </w:rPr>
        <w:noBreakHyphen/>
        <w:t>2</w:t>
      </w:r>
      <w:r w:rsidRPr="00B0618E">
        <w:fldChar w:fldCharType="end"/>
      </w:r>
      <w:r w:rsidRPr="00B0618E">
        <w:t xml:space="preserve">. For the lower aquitard the number of data points are 69 for the numerical and 78 for the harmonic mean. The same observations are made as for the lower aquitard: higher data density across the study area, with good consistency in upscaled </w:t>
      </w:r>
      <w:r w:rsidRPr="00B0618E">
        <w:rPr>
          <w:i/>
        </w:rPr>
        <w:t>K</w:t>
      </w:r>
      <w:r w:rsidRPr="00B0618E">
        <w:rPr>
          <w:i/>
          <w:vertAlign w:val="subscript"/>
        </w:rPr>
        <w:t>V</w:t>
      </w:r>
      <w:r w:rsidRPr="00B0618E">
        <w:t xml:space="preserve"> for the two averaging methods.</w:t>
      </w:r>
    </w:p>
    <w:p w14:paraId="151ACDE6" w14:textId="77777777" w:rsidR="00934293" w:rsidRDefault="00934293" w:rsidP="00934293">
      <w:pPr>
        <w:pStyle w:val="BodyText"/>
      </w:pPr>
      <w:r>
        <w:rPr>
          <w:color w:val="auto"/>
        </w:rPr>
        <w:t xml:space="preserve">Note that the reason for different number of wells between upper and lower aquitard sequences was discussed in Section </w:t>
      </w:r>
      <w:r>
        <w:rPr>
          <w:color w:val="auto"/>
        </w:rPr>
        <w:fldChar w:fldCharType="begin"/>
      </w:r>
      <w:r>
        <w:rPr>
          <w:color w:val="auto"/>
        </w:rPr>
        <w:instrText xml:space="preserve"> REF _Ref479508618 \r \h </w:instrText>
      </w:r>
      <w:r>
        <w:rPr>
          <w:color w:val="auto"/>
        </w:rPr>
      </w:r>
      <w:r>
        <w:rPr>
          <w:color w:val="auto"/>
        </w:rPr>
        <w:fldChar w:fldCharType="separate"/>
      </w:r>
      <w:r w:rsidR="000B6FA5">
        <w:rPr>
          <w:color w:val="auto"/>
        </w:rPr>
        <w:t>4.2.2</w:t>
      </w:r>
      <w:r>
        <w:rPr>
          <w:color w:val="auto"/>
        </w:rPr>
        <w:fldChar w:fldCharType="end"/>
      </w:r>
      <w:r>
        <w:rPr>
          <w:color w:val="auto"/>
        </w:rPr>
        <w:t>. For the analytical upscaling, wells needed to include at least one of the contributing aquitards. An additional requirement for the numerical upscaling was that the contributing aquitards needed to have hydraulic conductivity data for interburden layers that would connect the two aquitards within a single sequence.</w:t>
      </w:r>
    </w:p>
    <w:p w14:paraId="479F4CBF" w14:textId="77777777" w:rsidR="00934293" w:rsidRPr="00B0618E" w:rsidRDefault="00934293" w:rsidP="00C619B8">
      <w:pPr>
        <w:pStyle w:val="BodyText"/>
      </w:pPr>
    </w:p>
    <w:p w14:paraId="011D95CA" w14:textId="7CBD8943" w:rsidR="00C619B8" w:rsidRPr="00B0618E" w:rsidRDefault="002D7534" w:rsidP="00082F85">
      <w:pPr>
        <w:pStyle w:val="BodyText"/>
        <w:jc w:val="center"/>
        <w:rPr>
          <w:b/>
          <w:color w:val="FF0000"/>
        </w:rPr>
      </w:pPr>
      <w:bookmarkStart w:id="159" w:name="_Ref467681431"/>
      <w:r w:rsidRPr="002D7534">
        <w:rPr>
          <w:noProof/>
        </w:rPr>
        <w:drawing>
          <wp:inline distT="0" distB="0" distL="0" distR="0" wp14:anchorId="2A1FA5B5" wp14:editId="7983D44D">
            <wp:extent cx="6043513" cy="3050931"/>
            <wp:effectExtent l="0" t="0" r="0" b="0"/>
            <wp:docPr id="112" name="Picture 112" descr="Diagram of spatial distribution of model outputs" title="Fig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67283" cy="3062931"/>
                    </a:xfrm>
                    <a:prstGeom prst="rect">
                      <a:avLst/>
                    </a:prstGeom>
                    <a:noFill/>
                    <a:ln>
                      <a:noFill/>
                    </a:ln>
                  </pic:spPr>
                </pic:pic>
              </a:graphicData>
            </a:graphic>
          </wp:inline>
        </w:drawing>
      </w:r>
    </w:p>
    <w:p w14:paraId="67082878" w14:textId="725254B0" w:rsidR="00C619B8" w:rsidRDefault="00C619B8" w:rsidP="00C619B8">
      <w:pPr>
        <w:pStyle w:val="Caption"/>
      </w:pPr>
      <w:bookmarkStart w:id="160" w:name="_Ref475974521"/>
      <w:bookmarkStart w:id="161" w:name="_Toc482034937"/>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w:t>
      </w:r>
      <w:r w:rsidR="00A2085C">
        <w:rPr>
          <w:noProof/>
        </w:rPr>
        <w:fldChar w:fldCharType="end"/>
      </w:r>
      <w:bookmarkEnd w:id="159"/>
      <w:bookmarkEnd w:id="160"/>
      <w:r w:rsidRPr="00B0618E">
        <w:t xml:space="preserve">. Spatial distributions of upscaled </w:t>
      </w:r>
      <w:r w:rsidR="00D42E75" w:rsidRPr="00B0618E">
        <w:t xml:space="preserve">(a) </w:t>
      </w:r>
      <w:r w:rsidRPr="00B0618E">
        <w:t xml:space="preserve">harmonic </w:t>
      </w:r>
      <w:r w:rsidR="00D42E75" w:rsidRPr="00B0618E">
        <w:t xml:space="preserve">and (b) numerical mean </w:t>
      </w:r>
      <w:r w:rsidRPr="00B0618E">
        <w:t>values for the upper aquitard</w:t>
      </w:r>
      <w:r w:rsidR="006834D7">
        <w:t>s</w:t>
      </w:r>
      <w:r w:rsidR="00082F85">
        <w:t xml:space="preserve"> (Jurassic age)</w:t>
      </w:r>
      <w:r w:rsidRPr="00B0618E">
        <w:t>.</w:t>
      </w:r>
      <w:r w:rsidR="002D7534">
        <w:t xml:space="preserve"> </w:t>
      </w:r>
      <w:r w:rsidR="006834D7">
        <w:t xml:space="preserve">Grey shaded area is extent of aquitard. </w:t>
      </w:r>
      <w:r w:rsidR="002D7534">
        <w:t>Arrow indicates focus study area with largest data density.</w:t>
      </w:r>
      <w:bookmarkEnd w:id="161"/>
    </w:p>
    <w:p w14:paraId="65F0DCB7" w14:textId="77777777" w:rsidR="006344B0" w:rsidRPr="00B0618E" w:rsidRDefault="006344B0" w:rsidP="00DB3FC3">
      <w:pPr>
        <w:pStyle w:val="BodyText"/>
      </w:pPr>
    </w:p>
    <w:p w14:paraId="4D0EFAC0" w14:textId="3C1D074A" w:rsidR="00C619B8" w:rsidRPr="00B0618E" w:rsidRDefault="0090402E" w:rsidP="002D7534">
      <w:pPr>
        <w:spacing w:before="120" w:line="264" w:lineRule="auto"/>
        <w:jc w:val="center"/>
        <w:rPr>
          <w:b/>
          <w:color w:val="FF0000"/>
          <w:sz w:val="24"/>
        </w:rPr>
      </w:pPr>
      <w:bookmarkStart w:id="162" w:name="_Ref467681444"/>
      <w:r w:rsidRPr="0090402E">
        <w:rPr>
          <w:noProof/>
        </w:rPr>
        <w:drawing>
          <wp:inline distT="0" distB="0" distL="0" distR="0" wp14:anchorId="31A8E5AA" wp14:editId="3209D6CC">
            <wp:extent cx="6120130" cy="3089609"/>
            <wp:effectExtent l="0" t="0" r="0" b="0"/>
            <wp:docPr id="111" name="Picture 111" descr="Diagram of spatial distribution of model outputs" title="Fig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20130" cy="3089609"/>
                    </a:xfrm>
                    <a:prstGeom prst="rect">
                      <a:avLst/>
                    </a:prstGeom>
                    <a:noFill/>
                    <a:ln>
                      <a:noFill/>
                    </a:ln>
                  </pic:spPr>
                </pic:pic>
              </a:graphicData>
            </a:graphic>
          </wp:inline>
        </w:drawing>
      </w:r>
    </w:p>
    <w:p w14:paraId="52B680A6" w14:textId="59C2587A" w:rsidR="00C619B8" w:rsidRDefault="00C619B8" w:rsidP="00C619B8">
      <w:pPr>
        <w:pStyle w:val="Caption"/>
      </w:pPr>
      <w:bookmarkStart w:id="163" w:name="_Ref475974531"/>
      <w:bookmarkStart w:id="164" w:name="_Toc482034938"/>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2</w:t>
      </w:r>
      <w:r w:rsidR="00A2085C">
        <w:rPr>
          <w:noProof/>
        </w:rPr>
        <w:fldChar w:fldCharType="end"/>
      </w:r>
      <w:bookmarkEnd w:id="162"/>
      <w:bookmarkEnd w:id="163"/>
      <w:r w:rsidRPr="00B0618E">
        <w:t xml:space="preserve">. Spatial distributions of </w:t>
      </w:r>
      <w:r w:rsidR="00D42E75" w:rsidRPr="00B0618E">
        <w:t xml:space="preserve">upscaled (a) harmonic and (b) numerical mean values </w:t>
      </w:r>
      <w:r w:rsidRPr="00B0618E">
        <w:t>for the lower aquitard</w:t>
      </w:r>
      <w:r w:rsidR="006834D7">
        <w:t>s</w:t>
      </w:r>
      <w:r w:rsidR="00082F85">
        <w:t xml:space="preserve"> (</w:t>
      </w:r>
      <w:r w:rsidR="00082F85" w:rsidRPr="00B0618E">
        <w:t>Permian age</w:t>
      </w:r>
      <w:r w:rsidR="00082F85">
        <w:t>)</w:t>
      </w:r>
      <w:r w:rsidRPr="00B0618E">
        <w:t>.</w:t>
      </w:r>
      <w:r w:rsidR="002D7534">
        <w:t xml:space="preserve"> </w:t>
      </w:r>
      <w:r w:rsidR="006834D7">
        <w:t xml:space="preserve">Grey shaded area is extent of aquitard. </w:t>
      </w:r>
      <w:r w:rsidR="002D7534">
        <w:t>Arrow indicates focus study area with largest data density.</w:t>
      </w:r>
      <w:bookmarkEnd w:id="164"/>
    </w:p>
    <w:p w14:paraId="65CFE2F8" w14:textId="77777777" w:rsidR="00B434FC" w:rsidRPr="00B434FC" w:rsidRDefault="00B434FC" w:rsidP="009709C0">
      <w:pPr>
        <w:pStyle w:val="BodyText"/>
      </w:pPr>
    </w:p>
    <w:p w14:paraId="3E724589" w14:textId="77777777" w:rsidR="00C619B8" w:rsidRPr="00B0618E" w:rsidRDefault="00C619B8" w:rsidP="00C619B8">
      <w:pPr>
        <w:pStyle w:val="Heading2"/>
      </w:pPr>
      <w:bookmarkStart w:id="165" w:name="_Ref479512293"/>
      <w:bookmarkStart w:id="166" w:name="_Toc483127585"/>
      <w:r w:rsidRPr="00B0618E">
        <w:t>Variogram analyses</w:t>
      </w:r>
      <w:bookmarkEnd w:id="165"/>
      <w:bookmarkEnd w:id="166"/>
    </w:p>
    <w:p w14:paraId="40E25B75" w14:textId="750647A6" w:rsidR="00C619B8" w:rsidRPr="00B0618E" w:rsidRDefault="00C619B8" w:rsidP="00C619B8">
      <w:pPr>
        <w:pStyle w:val="BodyText"/>
        <w:rPr>
          <w:color w:val="auto"/>
        </w:rPr>
      </w:pPr>
      <w:r w:rsidRPr="00B0618E">
        <w:rPr>
          <w:color w:val="auto"/>
        </w:rPr>
        <w:t>The spatial variability of a given property can be characterised by the variance between a set of spatially distributed observations, which is expressed as a function of the distance (i.e., lag) between observation locations. The variance between observations increases with distance until reaching a maximum value (i.e., sill) at a given maximum distance (i.e., range). In some cases, a non-zero variance will apply at a separation distance of zero; this can be quantified using a nugget parameter. Increases in spatial variability with respect to increasing distance are expressed using a sem</w:t>
      </w:r>
      <w:r w:rsidR="006E0300" w:rsidRPr="00B0618E">
        <w:rPr>
          <w:color w:val="auto"/>
        </w:rPr>
        <w:t>i</w:t>
      </w:r>
      <w:r w:rsidR="00133958" w:rsidRPr="00B0618E">
        <w:rPr>
          <w:color w:val="auto"/>
        </w:rPr>
        <w:t>-</w:t>
      </w:r>
      <w:r w:rsidRPr="00B0618E">
        <w:rPr>
          <w:color w:val="auto"/>
        </w:rPr>
        <w:t>variogram. Closed-form parametric models (e.g., spherical, exponential, Gaussian) can be fitted to semi</w:t>
      </w:r>
      <w:r w:rsidR="00133958" w:rsidRPr="00B0618E">
        <w:rPr>
          <w:color w:val="auto"/>
        </w:rPr>
        <w:t>-</w:t>
      </w:r>
      <w:r w:rsidRPr="00B0618E">
        <w:rPr>
          <w:color w:val="auto"/>
        </w:rPr>
        <w:t xml:space="preserve">variogram data and subsequently used to interpolate values away from observation locations. Such models can also be used as the basis for the stochastic generation of property fields. The approaches to the characterisation of spatial variability described here are commonly known as two-point geostatistics (Journel and Huijbregts, 1978). </w:t>
      </w:r>
    </w:p>
    <w:p w14:paraId="46DB644E" w14:textId="3277BE9A" w:rsidR="00C619B8" w:rsidRPr="00B0618E" w:rsidRDefault="00C619B8" w:rsidP="00C619B8">
      <w:pPr>
        <w:pStyle w:val="BodyText"/>
      </w:pPr>
      <w:r w:rsidRPr="00B0618E">
        <w:t xml:space="preserve">Differences between upscaled aquitard </w:t>
      </w:r>
      <w:r w:rsidRPr="00B0618E">
        <w:rPr>
          <w:i/>
        </w:rPr>
        <w:t>K</w:t>
      </w:r>
      <w:r w:rsidR="00F73CA5">
        <w:rPr>
          <w:i/>
          <w:vertAlign w:val="subscript"/>
        </w:rPr>
        <w:t>V</w:t>
      </w:r>
      <w:r w:rsidRPr="00B0618E">
        <w:t xml:space="preserve"> values and their corresponding locations of origin </w:t>
      </w:r>
      <w:r w:rsidR="003927A9">
        <w:t xml:space="preserve">(X, Y in the horizontal plane) </w:t>
      </w:r>
      <w:r w:rsidRPr="00B0618E">
        <w:t>were compared using a two-point geostatistical approach, described as follows. First, squared differences between each pair of values were calculated. All pairs featuring zero difference in either value or location were then excluded. The remaining datasets (all of which contained at least 2</w:t>
      </w:r>
      <w:r w:rsidR="00381CCE" w:rsidRPr="00B0618E">
        <w:t xml:space="preserve"> </w:t>
      </w:r>
      <w:r w:rsidRPr="00B0618E">
        <w:t xml:space="preserve">900 paired differences) are shown as small grey closed circles in </w:t>
      </w:r>
      <w:r w:rsidRPr="00B0618E">
        <w:fldChar w:fldCharType="begin"/>
      </w:r>
      <w:r w:rsidRPr="00B0618E">
        <w:instrText xml:space="preserve"> REF _Ref476302056 \h </w:instrText>
      </w:r>
      <w:r w:rsidR="00B0618E">
        <w:instrText xml:space="preserve"> \* MERGEFORMAT </w:instrText>
      </w:r>
      <w:r w:rsidRPr="00B0618E">
        <w:fldChar w:fldCharType="separate"/>
      </w:r>
      <w:r w:rsidR="000B6FA5" w:rsidRPr="00B0618E">
        <w:t xml:space="preserve">Figure </w:t>
      </w:r>
      <w:r w:rsidR="000B6FA5">
        <w:rPr>
          <w:noProof/>
        </w:rPr>
        <w:t>6</w:t>
      </w:r>
      <w:r w:rsidR="000B6FA5">
        <w:rPr>
          <w:noProof/>
        </w:rPr>
        <w:noBreakHyphen/>
        <w:t>3</w:t>
      </w:r>
      <w:r w:rsidRPr="00B0618E">
        <w:fldChar w:fldCharType="end"/>
      </w:r>
      <w:r w:rsidR="00381CCE" w:rsidRPr="00B0618E">
        <w:t>a</w:t>
      </w:r>
      <w:r w:rsidRPr="00B0618E">
        <w:t xml:space="preserve"> (upper aquitard sequence) and </w:t>
      </w:r>
      <w:r w:rsidR="00381CCE" w:rsidRPr="00B0618E">
        <w:fldChar w:fldCharType="begin"/>
      </w:r>
      <w:r w:rsidR="00381CCE" w:rsidRPr="00B0618E">
        <w:instrText xml:space="preserve"> REF _Ref476302056 \h </w:instrText>
      </w:r>
      <w:r w:rsidR="00B0618E">
        <w:instrText xml:space="preserve"> \* MERGEFORMAT </w:instrText>
      </w:r>
      <w:r w:rsidR="00381CCE" w:rsidRPr="00B0618E">
        <w:fldChar w:fldCharType="separate"/>
      </w:r>
      <w:r w:rsidR="000B6FA5" w:rsidRPr="00B0618E">
        <w:t xml:space="preserve">Figure </w:t>
      </w:r>
      <w:r w:rsidR="000B6FA5">
        <w:rPr>
          <w:noProof/>
        </w:rPr>
        <w:t>6</w:t>
      </w:r>
      <w:r w:rsidR="000B6FA5">
        <w:rPr>
          <w:noProof/>
        </w:rPr>
        <w:noBreakHyphen/>
        <w:t>3</w:t>
      </w:r>
      <w:r w:rsidR="00381CCE" w:rsidRPr="00B0618E">
        <w:fldChar w:fldCharType="end"/>
      </w:r>
      <w:r w:rsidR="00381CCE" w:rsidRPr="00B0618E">
        <w:t xml:space="preserve">b </w:t>
      </w:r>
      <w:r w:rsidRPr="00B0618E">
        <w:t xml:space="preserve">(lower aquitard sequence). Distances between pairs ranged from zero to 250 km. Differences between paired values (i.e., </w:t>
      </w:r>
      <w:r w:rsidR="00133958" w:rsidRPr="00B0618E">
        <w:t>semi-variance</w:t>
      </w:r>
      <w:r w:rsidRPr="00B0618E">
        <w:t xml:space="preserve">s) ranged from zero </w:t>
      </w:r>
      <w:r w:rsidR="00DB3FC3" w:rsidRPr="00B0618E">
        <w:t>(m/d)</w:t>
      </w:r>
      <w:r w:rsidR="00DB3FC3" w:rsidRPr="00B0618E">
        <w:rPr>
          <w:vertAlign w:val="superscript"/>
        </w:rPr>
        <w:t>2</w:t>
      </w:r>
      <w:r w:rsidR="00DB3FC3" w:rsidRPr="00B0618E">
        <w:t xml:space="preserve"> t</w:t>
      </w:r>
      <w:r w:rsidRPr="00B0618E">
        <w:t>o 15 (</w:t>
      </w:r>
      <w:r w:rsidR="00DB3FC3" w:rsidRPr="00B0618E">
        <w:t>m/d</w:t>
      </w:r>
      <w:r w:rsidRPr="00B0618E">
        <w:t>)</w:t>
      </w:r>
      <w:r w:rsidR="00DB3FC3" w:rsidRPr="00B0618E">
        <w:rPr>
          <w:vertAlign w:val="superscript"/>
        </w:rPr>
        <w:t>2</w:t>
      </w:r>
      <w:r w:rsidRPr="00B0618E">
        <w:t xml:space="preserve">. In all cases, small differences </w:t>
      </w:r>
      <w:r w:rsidR="00DB3FC3" w:rsidRPr="00B0618E">
        <w:t>between</w:t>
      </w:r>
      <w:r w:rsidRPr="00B0618E">
        <w:t xml:space="preserve"> values </w:t>
      </w:r>
      <w:r w:rsidR="00381CCE" w:rsidRPr="00B0618E">
        <w:t>(</w:t>
      </w:r>
      <w:r w:rsidRPr="00B0618E">
        <w:t xml:space="preserve">i.e., </w:t>
      </w:r>
      <w:r w:rsidR="00133958" w:rsidRPr="00B0618E">
        <w:t>semi-variance</w:t>
      </w:r>
      <w:r w:rsidRPr="00B0618E">
        <w:t xml:space="preserve"> values </w:t>
      </w:r>
      <w:r w:rsidR="00DB3FC3" w:rsidRPr="00B0618E">
        <w:t xml:space="preserve">≤ </w:t>
      </w:r>
      <w:r w:rsidRPr="00B0618E">
        <w:t>1</w:t>
      </w:r>
      <w:r w:rsidR="00DB3FC3" w:rsidRPr="00B0618E">
        <w:t xml:space="preserve">0 </w:t>
      </w:r>
      <w:r w:rsidR="00381CCE" w:rsidRPr="00B0618E">
        <w:t>[</w:t>
      </w:r>
      <w:r w:rsidR="00DB3FC3" w:rsidRPr="00B0618E">
        <w:t>m/d</w:t>
      </w:r>
      <w:r w:rsidR="00381CCE" w:rsidRPr="00B0618E">
        <w:t>]</w:t>
      </w:r>
      <w:r w:rsidR="00DB3FC3" w:rsidRPr="00B0618E">
        <w:rPr>
          <w:vertAlign w:val="superscript"/>
        </w:rPr>
        <w:t>2</w:t>
      </w:r>
      <w:r w:rsidR="00381CCE" w:rsidRPr="00B0618E">
        <w:t>)</w:t>
      </w:r>
      <w:r w:rsidRPr="00B0618E">
        <w:t xml:space="preserve"> are present for separation distances up to </w:t>
      </w:r>
      <w:r w:rsidR="00DB3FC3" w:rsidRPr="00B0618E">
        <w:t>6</w:t>
      </w:r>
      <w:r w:rsidRPr="00B0618E">
        <w:t xml:space="preserve">0 km. </w:t>
      </w:r>
    </w:p>
    <w:p w14:paraId="1602774B" w14:textId="7FB9A2FB" w:rsidR="005256F8" w:rsidRPr="00B0618E" w:rsidRDefault="00C619B8" w:rsidP="00C619B8">
      <w:pPr>
        <w:pStyle w:val="BodyText"/>
        <w:rPr>
          <w:color w:val="auto"/>
        </w:rPr>
      </w:pPr>
      <w:r w:rsidRPr="00B0618E">
        <w:rPr>
          <w:color w:val="auto"/>
        </w:rPr>
        <w:t xml:space="preserve">The two data sets </w:t>
      </w:r>
      <w:r w:rsidR="005256F8" w:rsidRPr="00B0618E">
        <w:rPr>
          <w:color w:val="auto"/>
        </w:rPr>
        <w:t>(one for each aquitard</w:t>
      </w:r>
      <w:r w:rsidR="0053143D" w:rsidRPr="00B0618E">
        <w:rPr>
          <w:color w:val="auto"/>
        </w:rPr>
        <w:t xml:space="preserve"> sequence</w:t>
      </w:r>
      <w:r w:rsidR="005256F8" w:rsidRPr="00B0618E">
        <w:rPr>
          <w:color w:val="auto"/>
        </w:rPr>
        <w:t xml:space="preserve">) </w:t>
      </w:r>
      <w:r w:rsidRPr="00B0618E">
        <w:rPr>
          <w:color w:val="auto"/>
        </w:rPr>
        <w:t xml:space="preserve">were each divided into an arbitrary number of bins, each of which contained 100 sample pairs. Experimental </w:t>
      </w:r>
      <w:r w:rsidR="005256F8" w:rsidRPr="00B0618E">
        <w:rPr>
          <w:color w:val="auto"/>
        </w:rPr>
        <w:t>or empirical semi-</w:t>
      </w:r>
      <w:r w:rsidRPr="00B0618E">
        <w:rPr>
          <w:color w:val="auto"/>
        </w:rPr>
        <w:t>variograms</w:t>
      </w:r>
      <w:r w:rsidR="001E5803" w:rsidRPr="00B0618E">
        <w:rPr>
          <w:color w:val="auto"/>
        </w:rPr>
        <w:t xml:space="preserve">, </w:t>
      </w:r>
      <m:oMath>
        <m:acc>
          <m:accPr>
            <m:ctrlPr>
              <w:rPr>
                <w:rFonts w:ascii="Cambria Math" w:hAnsi="Cambria Math"/>
                <w:i/>
                <w:color w:val="auto"/>
              </w:rPr>
            </m:ctrlPr>
          </m:accPr>
          <m:e>
            <m:r>
              <w:rPr>
                <w:rFonts w:ascii="Cambria Math" w:hAnsi="Cambria Math"/>
                <w:color w:val="auto"/>
              </w:rPr>
              <m:t>γ</m:t>
            </m:r>
          </m:e>
        </m:acc>
        <m:d>
          <m:dPr>
            <m:ctrlPr>
              <w:rPr>
                <w:rFonts w:ascii="Cambria Math" w:hAnsi="Cambria Math"/>
                <w:i/>
                <w:color w:val="auto"/>
              </w:rPr>
            </m:ctrlPr>
          </m:dPr>
          <m:e>
            <m:r>
              <w:rPr>
                <w:rFonts w:ascii="Cambria Math" w:hAnsi="Cambria Math"/>
                <w:color w:val="auto"/>
              </w:rPr>
              <m:t>h</m:t>
            </m:r>
          </m:e>
        </m:d>
      </m:oMath>
      <w:r w:rsidR="001E5803" w:rsidRPr="00B0618E">
        <w:rPr>
          <w:color w:val="auto"/>
        </w:rPr>
        <w:t xml:space="preserve">, </w:t>
      </w:r>
      <w:r w:rsidRPr="00B0618E">
        <w:rPr>
          <w:color w:val="auto"/>
        </w:rPr>
        <w:t>(EVs; closed red circles and red lines) were then derived through the calculation of (arithmetic) mean differences in value and location for each data bin</w:t>
      </w:r>
      <w:r w:rsidR="00492D34" w:rsidRPr="00B0618E">
        <w:rPr>
          <w:color w:val="auto"/>
        </w:rPr>
        <w:t xml:space="preserve"> (Cressie, 198</w:t>
      </w:r>
      <w:r w:rsidR="005867FA" w:rsidRPr="00B0618E">
        <w:rPr>
          <w:color w:val="auto"/>
        </w:rPr>
        <w:t xml:space="preserve">5; </w:t>
      </w:r>
      <w:r w:rsidR="00B51581" w:rsidRPr="00B0618E">
        <w:rPr>
          <w:color w:val="auto"/>
        </w:rPr>
        <w:t>Kitanidis, 1997</w:t>
      </w:r>
      <w:r w:rsidR="00492D34" w:rsidRPr="00B0618E">
        <w:rPr>
          <w:color w:val="auto"/>
        </w:rPr>
        <w:t>)</w:t>
      </w:r>
      <w:r w:rsidR="005256F8" w:rsidRPr="00B0618E">
        <w:rPr>
          <w:color w:val="auto"/>
        </w:rPr>
        <w:t>:</w:t>
      </w:r>
      <w:r w:rsidRPr="00B0618E">
        <w:rPr>
          <w:color w:val="auto"/>
        </w:rPr>
        <w:t xml:space="preserve"> </w:t>
      </w:r>
    </w:p>
    <w:p w14:paraId="66A38314" w14:textId="0FC92507" w:rsidR="005256F8" w:rsidRPr="00B0618E" w:rsidRDefault="007908AC" w:rsidP="0053143D">
      <w:pPr>
        <w:pStyle w:val="BodyText"/>
        <w:tabs>
          <w:tab w:val="center" w:pos="4253"/>
          <w:tab w:val="right" w:pos="9638"/>
        </w:tabs>
        <w:rPr>
          <w:color w:val="auto"/>
        </w:rPr>
      </w:pPr>
      <w:r w:rsidRPr="00B0618E">
        <w:rPr>
          <w:color w:val="auto"/>
        </w:rPr>
        <w:tab/>
      </w:r>
      <m:oMath>
        <m:acc>
          <m:accPr>
            <m:ctrlPr>
              <w:rPr>
                <w:rFonts w:ascii="Cambria Math" w:hAnsi="Cambria Math"/>
                <w:i/>
                <w:color w:val="auto"/>
              </w:rPr>
            </m:ctrlPr>
          </m:accPr>
          <m:e>
            <m:r>
              <w:rPr>
                <w:rFonts w:ascii="Cambria Math" w:hAnsi="Cambria Math"/>
                <w:color w:val="auto"/>
              </w:rPr>
              <m:t>γ</m:t>
            </m:r>
          </m:e>
        </m:acc>
        <m:d>
          <m:dPr>
            <m:ctrlPr>
              <w:rPr>
                <w:rFonts w:ascii="Cambria Math" w:hAnsi="Cambria Math"/>
                <w:i/>
                <w:color w:val="auto"/>
              </w:rPr>
            </m:ctrlPr>
          </m:dPr>
          <m:e>
            <m:r>
              <w:rPr>
                <w:rFonts w:ascii="Cambria Math" w:hAnsi="Cambria Math"/>
                <w:color w:val="auto"/>
              </w:rPr>
              <m:t>h</m:t>
            </m:r>
          </m:e>
        </m:d>
        <m:r>
          <w:rPr>
            <w:rFonts w:ascii="Cambria Math" w:hAnsi="Cambria Math"/>
            <w:color w:val="auto"/>
          </w:rPr>
          <m:t>=</m:t>
        </m:r>
        <m:f>
          <m:fPr>
            <m:ctrlPr>
              <w:rPr>
                <w:rFonts w:ascii="Cambria Math" w:hAnsi="Cambria Math"/>
                <w:i/>
                <w:color w:val="auto"/>
              </w:rPr>
            </m:ctrlPr>
          </m:fPr>
          <m:num>
            <m:r>
              <w:rPr>
                <w:rFonts w:ascii="Cambria Math" w:hAnsi="Cambria Math"/>
                <w:color w:val="auto"/>
              </w:rPr>
              <m:t>1</m:t>
            </m:r>
          </m:num>
          <m:den>
            <m:r>
              <w:rPr>
                <w:rFonts w:ascii="Cambria Math" w:hAnsi="Cambria Math"/>
                <w:color w:val="auto"/>
              </w:rPr>
              <m:t>2 n</m:t>
            </m:r>
            <m:d>
              <m:dPr>
                <m:ctrlPr>
                  <w:rPr>
                    <w:rFonts w:ascii="Cambria Math" w:hAnsi="Cambria Math"/>
                    <w:i/>
                    <w:color w:val="auto"/>
                  </w:rPr>
                </m:ctrlPr>
              </m:dPr>
              <m:e>
                <m:r>
                  <w:rPr>
                    <w:rFonts w:ascii="Cambria Math" w:hAnsi="Cambria Math"/>
                    <w:color w:val="auto"/>
                  </w:rPr>
                  <m:t>h</m:t>
                </m:r>
              </m:e>
            </m:d>
          </m:den>
        </m:f>
        <m:nary>
          <m:naryPr>
            <m:chr m:val="∑"/>
            <m:limLoc m:val="undOvr"/>
            <m:ctrlPr>
              <w:rPr>
                <w:rFonts w:ascii="Cambria Math" w:hAnsi="Cambria Math"/>
                <w:i/>
                <w:color w:val="auto"/>
              </w:rPr>
            </m:ctrlPr>
          </m:naryPr>
          <m:sub>
            <m:r>
              <w:rPr>
                <w:rFonts w:ascii="Cambria Math" w:hAnsi="Cambria Math"/>
                <w:color w:val="auto"/>
              </w:rPr>
              <m:t>i=1</m:t>
            </m:r>
          </m:sub>
          <m:sup>
            <m:r>
              <w:rPr>
                <w:rFonts w:ascii="Cambria Math" w:hAnsi="Cambria Math"/>
                <w:color w:val="auto"/>
              </w:rPr>
              <m:t>n</m:t>
            </m:r>
            <m:d>
              <m:dPr>
                <m:ctrlPr>
                  <w:rPr>
                    <w:rFonts w:ascii="Cambria Math" w:hAnsi="Cambria Math"/>
                    <w:i/>
                    <w:color w:val="auto"/>
                  </w:rPr>
                </m:ctrlPr>
              </m:dPr>
              <m:e>
                <m:r>
                  <w:rPr>
                    <w:rFonts w:ascii="Cambria Math" w:hAnsi="Cambria Math"/>
                    <w:color w:val="auto"/>
                  </w:rPr>
                  <m:t>h</m:t>
                </m:r>
              </m:e>
            </m:d>
          </m:sup>
          <m:e>
            <m:sSup>
              <m:sSupPr>
                <m:ctrlPr>
                  <w:rPr>
                    <w:rFonts w:ascii="Cambria Math" w:hAnsi="Cambria Math"/>
                    <w:i/>
                    <w:color w:val="auto"/>
                  </w:rPr>
                </m:ctrlPr>
              </m:sSupPr>
              <m:e>
                <m:d>
                  <m:dPr>
                    <m:begChr m:val="["/>
                    <m:endChr m:val="]"/>
                    <m:ctrlPr>
                      <w:rPr>
                        <w:rFonts w:ascii="Cambria Math" w:hAnsi="Cambria Math"/>
                        <w:i/>
                        <w:color w:val="auto"/>
                      </w:rPr>
                    </m:ctrlPr>
                  </m:dPr>
                  <m:e>
                    <m:r>
                      <w:rPr>
                        <w:rFonts w:ascii="Cambria Math" w:hAnsi="Cambria Math"/>
                        <w:color w:val="auto"/>
                      </w:rPr>
                      <m:t>z</m:t>
                    </m:r>
                    <m:d>
                      <m:dPr>
                        <m:ctrlPr>
                          <w:rPr>
                            <w:rFonts w:ascii="Cambria Math" w:hAnsi="Cambria Math"/>
                            <w:i/>
                            <w:color w:val="auto"/>
                          </w:rPr>
                        </m:ctrlPr>
                      </m:dPr>
                      <m:e>
                        <m:sSub>
                          <m:sSubPr>
                            <m:ctrlPr>
                              <w:rPr>
                                <w:rFonts w:ascii="Cambria Math" w:hAnsi="Cambria Math"/>
                                <w:i/>
                                <w:color w:val="auto"/>
                              </w:rPr>
                            </m:ctrlPr>
                          </m:sSubPr>
                          <m:e>
                            <m:r>
                              <w:rPr>
                                <w:rFonts w:ascii="Cambria Math" w:hAnsi="Cambria Math"/>
                                <w:color w:val="auto"/>
                              </w:rPr>
                              <m:t>x</m:t>
                            </m:r>
                          </m:e>
                          <m:sub>
                            <m:r>
                              <w:rPr>
                                <w:rFonts w:ascii="Cambria Math" w:hAnsi="Cambria Math"/>
                                <w:color w:val="auto"/>
                              </w:rPr>
                              <m:t>i</m:t>
                            </m:r>
                          </m:sub>
                        </m:sSub>
                        <m:r>
                          <w:rPr>
                            <w:rFonts w:ascii="Cambria Math" w:hAnsi="Cambria Math"/>
                            <w:color w:val="auto"/>
                          </w:rPr>
                          <m:t>+h</m:t>
                        </m:r>
                      </m:e>
                    </m:d>
                    <m:r>
                      <w:rPr>
                        <w:rFonts w:ascii="Cambria Math" w:hAnsi="Cambria Math"/>
                        <w:color w:val="auto"/>
                      </w:rPr>
                      <m:t>-z</m:t>
                    </m:r>
                    <m:d>
                      <m:dPr>
                        <m:ctrlPr>
                          <w:rPr>
                            <w:rFonts w:ascii="Cambria Math" w:hAnsi="Cambria Math"/>
                            <w:i/>
                            <w:color w:val="auto"/>
                          </w:rPr>
                        </m:ctrlPr>
                      </m:dPr>
                      <m:e>
                        <m:sSub>
                          <m:sSubPr>
                            <m:ctrlPr>
                              <w:rPr>
                                <w:rFonts w:ascii="Cambria Math" w:hAnsi="Cambria Math"/>
                                <w:i/>
                                <w:color w:val="auto"/>
                              </w:rPr>
                            </m:ctrlPr>
                          </m:sSubPr>
                          <m:e>
                            <m:r>
                              <w:rPr>
                                <w:rFonts w:ascii="Cambria Math" w:hAnsi="Cambria Math"/>
                                <w:color w:val="auto"/>
                              </w:rPr>
                              <m:t>x</m:t>
                            </m:r>
                          </m:e>
                          <m:sub>
                            <m:r>
                              <w:rPr>
                                <w:rFonts w:ascii="Cambria Math" w:hAnsi="Cambria Math"/>
                                <w:color w:val="auto"/>
                              </w:rPr>
                              <m:t>i</m:t>
                            </m:r>
                          </m:sub>
                        </m:sSub>
                      </m:e>
                    </m:d>
                  </m:e>
                </m:d>
              </m:e>
              <m:sup>
                <m:r>
                  <w:rPr>
                    <w:rFonts w:ascii="Cambria Math" w:hAnsi="Cambria Math"/>
                    <w:color w:val="auto"/>
                  </w:rPr>
                  <m:t>2</m:t>
                </m:r>
              </m:sup>
            </m:sSup>
          </m:e>
        </m:nary>
      </m:oMath>
      <w:r w:rsidRPr="00B0618E">
        <w:rPr>
          <w:color w:val="auto"/>
        </w:rPr>
        <w:tab/>
        <w:t>(</w:t>
      </w:r>
      <w:r w:rsidR="00F63202">
        <w:rPr>
          <w:color w:val="auto"/>
        </w:rPr>
        <w:t>7</w:t>
      </w:r>
      <w:r w:rsidRPr="00B0618E">
        <w:rPr>
          <w:color w:val="auto"/>
        </w:rPr>
        <w:t>)</w:t>
      </w:r>
    </w:p>
    <w:p w14:paraId="08D2C26B" w14:textId="3833105B" w:rsidR="005256F8" w:rsidRPr="00B0618E" w:rsidRDefault="007908AC" w:rsidP="0053143D">
      <w:pPr>
        <w:pStyle w:val="BodyText"/>
      </w:pPr>
      <w:r w:rsidRPr="00B0618E">
        <w:t>w</w:t>
      </w:r>
      <w:r w:rsidR="005256F8" w:rsidRPr="00B0618E">
        <w:t>here</w:t>
      </w:r>
      <w:r w:rsidRPr="00B0618E">
        <w:t xml:space="preserve"> </w:t>
      </w:r>
      <w:r w:rsidR="005256F8" w:rsidRPr="00B0618E">
        <w:rPr>
          <w:i/>
        </w:rPr>
        <w:t>z</w:t>
      </w:r>
      <w:r w:rsidRPr="00B0618E">
        <w:t xml:space="preserve"> is a </w:t>
      </w:r>
      <w:r w:rsidR="005256F8" w:rsidRPr="00B0618E">
        <w:t>dat</w:t>
      </w:r>
      <w:r w:rsidRPr="00B0618E">
        <w:t xml:space="preserve">a value </w:t>
      </w:r>
      <w:r w:rsidR="005256F8" w:rsidRPr="00B0618E">
        <w:t>at a particular location,</w:t>
      </w:r>
      <w:r w:rsidRPr="00B0618E">
        <w:t xml:space="preserve"> </w:t>
      </w:r>
      <w:r w:rsidR="005256F8" w:rsidRPr="00B0618E">
        <w:rPr>
          <w:i/>
        </w:rPr>
        <w:t>h</w:t>
      </w:r>
      <w:r w:rsidRPr="00B0618E">
        <w:t xml:space="preserve"> </w:t>
      </w:r>
      <w:r w:rsidR="005256F8" w:rsidRPr="00B0618E">
        <w:t xml:space="preserve">is the </w:t>
      </w:r>
      <w:r w:rsidRPr="00B0618E">
        <w:t>lag-</w:t>
      </w:r>
      <w:r w:rsidR="005256F8" w:rsidRPr="00B0618E">
        <w:t>distance between ordered data, and</w:t>
      </w:r>
      <w:r w:rsidRPr="00B0618E">
        <w:t xml:space="preserve"> </w:t>
      </w:r>
      <w:r w:rsidR="005256F8" w:rsidRPr="00B0618E">
        <w:rPr>
          <w:i/>
        </w:rPr>
        <w:t>n</w:t>
      </w:r>
      <w:r w:rsidR="005256F8" w:rsidRPr="00B0618E">
        <w:t>(</w:t>
      </w:r>
      <w:r w:rsidR="005256F8" w:rsidRPr="00B0618E">
        <w:rPr>
          <w:i/>
        </w:rPr>
        <w:t>h</w:t>
      </w:r>
      <w:r w:rsidR="005256F8" w:rsidRPr="00B0618E">
        <w:t>) is the number of paired data at a distance of</w:t>
      </w:r>
      <w:r w:rsidRPr="00B0618E">
        <w:t xml:space="preserve"> </w:t>
      </w:r>
      <w:r w:rsidR="005256F8" w:rsidRPr="00B0618E">
        <w:rPr>
          <w:i/>
        </w:rPr>
        <w:t>h</w:t>
      </w:r>
      <w:r w:rsidR="005256F8" w:rsidRPr="00B0618E">
        <w:t xml:space="preserve">. The </w:t>
      </w:r>
      <w:r w:rsidR="00133958" w:rsidRPr="00B0618E">
        <w:t>semi-variance</w:t>
      </w:r>
      <w:r w:rsidR="005256F8" w:rsidRPr="00B0618E">
        <w:t xml:space="preserve"> is half the variance of the</w:t>
      </w:r>
      <w:r w:rsidRPr="00B0618E">
        <w:t xml:space="preserve"> </w:t>
      </w:r>
      <w:r w:rsidR="005256F8" w:rsidRPr="00B0618E">
        <w:t>increments</w:t>
      </w:r>
      <w:r w:rsidRPr="00B0618E">
        <w:t xml:space="preserve"> </w:t>
      </w:r>
      <w:r w:rsidR="005256F8" w:rsidRPr="00B0618E">
        <w:rPr>
          <w:i/>
        </w:rPr>
        <w:t>z</w:t>
      </w:r>
      <w:r w:rsidR="005256F8" w:rsidRPr="00B0618E">
        <w:t>(</w:t>
      </w:r>
      <w:r w:rsidR="005256F8" w:rsidRPr="00B0618E">
        <w:rPr>
          <w:i/>
        </w:rPr>
        <w:t>x</w:t>
      </w:r>
      <w:r w:rsidR="005256F8" w:rsidRPr="00B0618E">
        <w:rPr>
          <w:vertAlign w:val="subscript"/>
        </w:rPr>
        <w:t>i</w:t>
      </w:r>
      <w:r w:rsidR="005256F8" w:rsidRPr="00B0618E">
        <w:t>+</w:t>
      </w:r>
      <w:r w:rsidR="005256F8" w:rsidRPr="00B0618E">
        <w:rPr>
          <w:i/>
        </w:rPr>
        <w:t>h</w:t>
      </w:r>
      <w:r w:rsidR="005256F8" w:rsidRPr="00B0618E">
        <w:t>)-</w:t>
      </w:r>
      <w:r w:rsidR="005256F8" w:rsidRPr="00B0618E">
        <w:rPr>
          <w:i/>
        </w:rPr>
        <w:t>z</w:t>
      </w:r>
      <w:r w:rsidR="005256F8" w:rsidRPr="00B0618E">
        <w:t>(</w:t>
      </w:r>
      <w:r w:rsidR="005256F8" w:rsidRPr="00B0618E">
        <w:rPr>
          <w:i/>
        </w:rPr>
        <w:t>x</w:t>
      </w:r>
      <w:r w:rsidR="005256F8" w:rsidRPr="00B0618E">
        <w:rPr>
          <w:vertAlign w:val="subscript"/>
        </w:rPr>
        <w:t>i</w:t>
      </w:r>
      <w:r w:rsidR="005256F8" w:rsidRPr="00B0618E">
        <w:t>)</w:t>
      </w:r>
      <w:r w:rsidRPr="00B0618E">
        <w:t>.</w:t>
      </w:r>
      <w:r w:rsidR="00D35AE2">
        <w:t xml:space="preserve"> For a data set with </w:t>
      </w:r>
      <w:r w:rsidR="00D35AE2" w:rsidRPr="00D35AE2">
        <w:rPr>
          <w:i/>
        </w:rPr>
        <w:t>m</w:t>
      </w:r>
      <w:r w:rsidR="00D35AE2">
        <w:t xml:space="preserve"> observations, there are </w:t>
      </w:r>
      <w:r w:rsidR="00D35AE2" w:rsidRPr="00D35AE2">
        <w:rPr>
          <w:i/>
        </w:rPr>
        <w:t>m</w:t>
      </w:r>
      <w:r w:rsidR="00D35AE2">
        <w:t>(</w:t>
      </w:r>
      <w:r w:rsidR="00D35AE2" w:rsidRPr="00D35AE2">
        <w:rPr>
          <w:i/>
        </w:rPr>
        <w:t>m</w:t>
      </w:r>
      <w:r w:rsidR="00D35AE2">
        <w:t>-1)/2 unique pairs of data with a lag-distance</w:t>
      </w:r>
      <w:r w:rsidR="00B64351">
        <w:t xml:space="preserve"> </w:t>
      </w:r>
      <w:r w:rsidR="00B64351" w:rsidRPr="00B64351">
        <w:rPr>
          <w:i/>
        </w:rPr>
        <w:t>h</w:t>
      </w:r>
      <w:r w:rsidR="00D35AE2">
        <w:t xml:space="preserve">. </w:t>
      </w:r>
    </w:p>
    <w:p w14:paraId="6B452EEB" w14:textId="120A01BA" w:rsidR="005E7489" w:rsidRPr="00B0618E" w:rsidRDefault="00C619B8" w:rsidP="00C619B8">
      <w:pPr>
        <w:pStyle w:val="BodyText"/>
      </w:pPr>
      <w:r w:rsidRPr="00B0618E">
        <w:rPr>
          <w:color w:val="auto"/>
        </w:rPr>
        <w:t xml:space="preserve">Both EVs appear to approach </w:t>
      </w:r>
      <w:r w:rsidR="00AA0310" w:rsidRPr="00B0618E">
        <w:rPr>
          <w:color w:val="auto"/>
        </w:rPr>
        <w:t>asymptotic</w:t>
      </w:r>
      <w:r w:rsidRPr="00B0618E">
        <w:rPr>
          <w:color w:val="auto"/>
        </w:rPr>
        <w:t xml:space="preserve"> conditions at separation distances of between 100 km and 200 km, with the exception of the final EV data bin for the upper aquitard sequence (harmonic mean approach). </w:t>
      </w:r>
      <w:r w:rsidR="003927A9">
        <w:t xml:space="preserve">Also shown in </w:t>
      </w:r>
      <w:r w:rsidR="003927A9">
        <w:fldChar w:fldCharType="begin"/>
      </w:r>
      <w:r w:rsidR="003927A9">
        <w:instrText xml:space="preserve"> REF _Ref476302056 \h </w:instrText>
      </w:r>
      <w:r w:rsidR="003927A9">
        <w:fldChar w:fldCharType="separate"/>
      </w:r>
      <w:r w:rsidR="000B6FA5" w:rsidRPr="00B0618E">
        <w:t xml:space="preserve">Figure </w:t>
      </w:r>
      <w:r w:rsidR="000B6FA5">
        <w:rPr>
          <w:noProof/>
        </w:rPr>
        <w:t>6</w:t>
      </w:r>
      <w:r w:rsidR="000B6FA5">
        <w:noBreakHyphen/>
      </w:r>
      <w:r w:rsidR="000B6FA5">
        <w:rPr>
          <w:noProof/>
        </w:rPr>
        <w:t>3</w:t>
      </w:r>
      <w:r w:rsidR="003927A9">
        <w:fldChar w:fldCharType="end"/>
      </w:r>
      <w:r w:rsidRPr="00B0618E">
        <w:t xml:space="preserve"> are correlograms (blue filled circles and lines), which represent the reduction in autocorrelation between binned data values with increasing lag distance. Autocorrelation values </w:t>
      </w:r>
      <w:r w:rsidR="0053143D" w:rsidRPr="00B0618E">
        <w:t>(</w:t>
      </w:r>
      <w:r w:rsidR="00CB418A" w:rsidRPr="00B0618E">
        <w:rPr>
          <w:i/>
        </w:rPr>
        <w:t>A</w:t>
      </w:r>
      <w:r w:rsidR="0053143D" w:rsidRPr="00B0618E">
        <w:t xml:space="preserve">) </w:t>
      </w:r>
      <w:r w:rsidRPr="00B0618E">
        <w:t xml:space="preserve">were </w:t>
      </w:r>
      <w:r w:rsidR="005E7489" w:rsidRPr="00B0618E">
        <w:t>calculated</w:t>
      </w:r>
      <w:r w:rsidRPr="00B0618E">
        <w:t xml:space="preserve"> as</w:t>
      </w:r>
      <w:r w:rsidR="005E7489" w:rsidRPr="00B0618E">
        <w:t>:</w:t>
      </w:r>
    </w:p>
    <w:p w14:paraId="69A3E524" w14:textId="329E35D1" w:rsidR="00C619B8" w:rsidRPr="00B0618E" w:rsidRDefault="005E7489" w:rsidP="0053143D">
      <w:pPr>
        <w:pStyle w:val="BodyText"/>
        <w:tabs>
          <w:tab w:val="center" w:pos="3969"/>
          <w:tab w:val="right" w:pos="9638"/>
        </w:tabs>
      </w:pPr>
      <w:r w:rsidRPr="00B0618E">
        <w:rPr>
          <w:color w:val="auto"/>
        </w:rPr>
        <w:tab/>
      </w:r>
      <m:oMath>
        <m:r>
          <w:rPr>
            <w:rFonts w:ascii="Cambria Math" w:hAnsi="Cambria Math"/>
            <w:color w:val="auto"/>
          </w:rPr>
          <m:t>A(h)=</m:t>
        </m:r>
        <m:r>
          <w:rPr>
            <w:rFonts w:ascii="Cambria Math" w:hAnsi="Cambria Math"/>
            <w:color w:val="auto"/>
          </w:rPr>
          <m:t>1-</m:t>
        </m:r>
        <m:acc>
          <m:accPr>
            <m:ctrlPr>
              <w:rPr>
                <w:rFonts w:ascii="Cambria Math" w:hAnsi="Cambria Math"/>
                <w:i/>
                <w:color w:val="auto"/>
              </w:rPr>
            </m:ctrlPr>
          </m:accPr>
          <m:e>
            <m:r>
              <w:rPr>
                <w:rFonts w:ascii="Cambria Math" w:hAnsi="Cambria Math"/>
                <w:color w:val="auto"/>
              </w:rPr>
              <m:t>γ</m:t>
            </m:r>
          </m:e>
        </m:acc>
        <m:d>
          <m:dPr>
            <m:ctrlPr>
              <w:rPr>
                <w:rFonts w:ascii="Cambria Math" w:hAnsi="Cambria Math"/>
                <w:i/>
                <w:color w:val="auto"/>
              </w:rPr>
            </m:ctrlPr>
          </m:dPr>
          <m:e>
            <m:r>
              <w:rPr>
                <w:rFonts w:ascii="Cambria Math" w:hAnsi="Cambria Math"/>
                <w:color w:val="auto"/>
              </w:rPr>
              <m:t>h</m:t>
            </m:r>
          </m:e>
        </m:d>
        <m:r>
          <w:rPr>
            <w:rFonts w:ascii="Cambria Math" w:hAnsi="Cambria Math"/>
            <w:color w:val="auto"/>
          </w:rPr>
          <m:t>/</m:t>
        </m:r>
        <m:sSubSup>
          <m:sSubSupPr>
            <m:ctrlPr>
              <w:rPr>
                <w:rFonts w:ascii="Cambria Math" w:hAnsi="Cambria Math"/>
                <w:i/>
                <w:color w:val="auto"/>
              </w:rPr>
            </m:ctrlPr>
          </m:sSubSupPr>
          <m:e>
            <m:r>
              <w:rPr>
                <w:rFonts w:ascii="Cambria Math" w:hAnsi="Cambria Math"/>
                <w:color w:val="auto"/>
              </w:rPr>
              <m:t>σ</m:t>
            </m:r>
          </m:e>
          <m:sub>
            <m:r>
              <w:rPr>
                <w:rFonts w:ascii="Cambria Math" w:hAnsi="Cambria Math"/>
                <w:color w:val="auto"/>
              </w:rPr>
              <m:t>γ(h)</m:t>
            </m:r>
          </m:sub>
          <m:sup>
            <m:r>
              <w:rPr>
                <w:rFonts w:ascii="Cambria Math" w:hAnsi="Cambria Math"/>
                <w:color w:val="auto"/>
              </w:rPr>
              <m:t>2</m:t>
            </m:r>
          </m:sup>
        </m:sSubSup>
      </m:oMath>
      <w:r w:rsidRPr="00B0618E">
        <w:rPr>
          <w:vertAlign w:val="subscript"/>
        </w:rPr>
        <w:t xml:space="preserve"> </w:t>
      </w:r>
      <w:r w:rsidRPr="00B0618E">
        <w:rPr>
          <w:vertAlign w:val="subscript"/>
        </w:rPr>
        <w:tab/>
      </w:r>
      <w:r w:rsidRPr="00B0618E">
        <w:t>(</w:t>
      </w:r>
      <w:r w:rsidR="00F63202">
        <w:t>8</w:t>
      </w:r>
      <w:r w:rsidRPr="00B0618E">
        <w:t>)</w:t>
      </w:r>
    </w:p>
    <w:p w14:paraId="7614CC8E" w14:textId="22F14E29" w:rsidR="00F579BD" w:rsidRDefault="00F579BD" w:rsidP="005E7489">
      <w:pPr>
        <w:pStyle w:val="BodyText"/>
        <w:tabs>
          <w:tab w:val="center" w:pos="3969"/>
          <w:tab w:val="right" w:pos="8789"/>
        </w:tabs>
        <w:rPr>
          <w:rFonts w:ascii="Arial" w:hAnsi="Arial" w:cs="Arial"/>
          <w:sz w:val="18"/>
          <w:szCs w:val="18"/>
          <w:shd w:val="clear" w:color="auto" w:fill="FFFFFF"/>
        </w:rPr>
      </w:pPr>
      <w:r w:rsidRPr="00B0618E">
        <w:t xml:space="preserve">Autocorrelation measures similarity </w:t>
      </w:r>
      <w:r w:rsidR="00651D9C" w:rsidRPr="00B0618E">
        <w:t xml:space="preserve">of a property or parameter </w:t>
      </w:r>
      <w:r w:rsidRPr="00B0618E">
        <w:t xml:space="preserve">between sites </w:t>
      </w:r>
      <w:r w:rsidR="00651D9C" w:rsidRPr="00B0618E">
        <w:t xml:space="preserve">and is often modelled </w:t>
      </w:r>
      <w:r w:rsidRPr="00B0618E">
        <w:t>as a</w:t>
      </w:r>
      <w:r w:rsidR="00651D9C" w:rsidRPr="00B0618E">
        <w:t>n</w:t>
      </w:r>
      <w:r w:rsidRPr="00B0618E">
        <w:t xml:space="preserve"> exponential decay with distance</w:t>
      </w:r>
      <w:r w:rsidR="00651D9C" w:rsidRPr="00B0618E">
        <w:rPr>
          <w:rFonts w:ascii="Arial" w:hAnsi="Arial" w:cs="Arial"/>
          <w:sz w:val="18"/>
          <w:szCs w:val="18"/>
          <w:shd w:val="clear" w:color="auto" w:fill="FFFFFF"/>
        </w:rPr>
        <w:t xml:space="preserve">. </w:t>
      </w:r>
    </w:p>
    <w:p w14:paraId="39F133D2" w14:textId="77777777" w:rsidR="00B0044D" w:rsidRPr="00B0618E" w:rsidRDefault="00B0044D" w:rsidP="005E7489">
      <w:pPr>
        <w:pStyle w:val="BodyText"/>
        <w:tabs>
          <w:tab w:val="center" w:pos="3969"/>
          <w:tab w:val="right" w:pos="8789"/>
        </w:tabs>
        <w:rPr>
          <w:color w:val="auto"/>
        </w:rPr>
      </w:pPr>
    </w:p>
    <w:p w14:paraId="4F9A89FE" w14:textId="53344676" w:rsidR="00C619B8" w:rsidRPr="00B0618E" w:rsidRDefault="00214E3B" w:rsidP="00214E3B">
      <w:pPr>
        <w:pStyle w:val="BodyText"/>
        <w:keepNext/>
        <w:spacing w:after="0"/>
        <w:rPr>
          <w:color w:val="auto"/>
        </w:rPr>
      </w:pPr>
      <w:r w:rsidRPr="00B0618E">
        <w:rPr>
          <w:noProof/>
        </w:rPr>
        <w:drawing>
          <wp:inline distT="0" distB="0" distL="0" distR="0" wp14:anchorId="6078D5CA" wp14:editId="7EFCB899">
            <wp:extent cx="5759450" cy="1474818"/>
            <wp:effectExtent l="0" t="0" r="0" b="0"/>
            <wp:docPr id="1" name="Picture 1" descr="Experimental variograms and correlograms - upper aquitard" title="Figure 6-3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OWS_FAM\Aquitards\Filtered_porosity_data_from_Irina_040516\Variogram_analysis_v10_Jurassic_130117.png"/>
                    <pic:cNvPicPr>
                      <a:picLocks noChangeAspect="1" noChangeArrowheads="1"/>
                    </pic:cNvPicPr>
                  </pic:nvPicPr>
                  <pic:blipFill rotWithShape="1">
                    <a:blip r:embed="rId65">
                      <a:extLst>
                        <a:ext uri="{28A0092B-C50C-407E-A947-70E740481C1C}">
                          <a14:useLocalDpi xmlns:a14="http://schemas.microsoft.com/office/drawing/2010/main" val="0"/>
                        </a:ext>
                      </a:extLst>
                    </a:blip>
                    <a:srcRect/>
                    <a:stretch/>
                  </pic:blipFill>
                  <pic:spPr bwMode="auto">
                    <a:xfrm>
                      <a:off x="0" y="0"/>
                      <a:ext cx="5759450" cy="1474818"/>
                    </a:xfrm>
                    <a:prstGeom prst="rect">
                      <a:avLst/>
                    </a:prstGeom>
                    <a:noFill/>
                    <a:ln>
                      <a:noFill/>
                    </a:ln>
                    <a:extLst>
                      <a:ext uri="{53640926-AAD7-44D8-BBD7-CCE9431645EC}">
                        <a14:shadowObscured xmlns:a14="http://schemas.microsoft.com/office/drawing/2010/main"/>
                      </a:ext>
                    </a:extLst>
                  </pic:spPr>
                </pic:pic>
              </a:graphicData>
            </a:graphic>
          </wp:inline>
        </w:drawing>
      </w:r>
    </w:p>
    <w:p w14:paraId="15B8CD6A" w14:textId="3049CAF0" w:rsidR="00214E3B" w:rsidRPr="00B0618E" w:rsidRDefault="00214E3B" w:rsidP="00214E3B">
      <w:pPr>
        <w:pStyle w:val="BodyText"/>
        <w:keepNext/>
        <w:spacing w:before="0"/>
        <w:rPr>
          <w:color w:val="auto"/>
        </w:rPr>
      </w:pPr>
      <w:r w:rsidRPr="00B0618E">
        <w:rPr>
          <w:noProof/>
          <w:color w:val="auto"/>
        </w:rPr>
        <w:drawing>
          <wp:inline distT="0" distB="0" distL="0" distR="0" wp14:anchorId="7C26B2BE" wp14:editId="7BBF6997">
            <wp:extent cx="5759450" cy="1482192"/>
            <wp:effectExtent l="0" t="0" r="0" b="3810"/>
            <wp:docPr id="2" name="Picture 2" descr="Experimental variograms and correlograms - lower aquitard" title="Figure 6-3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OWS_FAM\Aquitards\Filtered_porosity_data_from_Irina_040516\Variogram_analysis_v11_Permian_130117.png"/>
                    <pic:cNvPicPr>
                      <a:picLocks noChangeAspect="1" noChangeArrowheads="1"/>
                    </pic:cNvPicPr>
                  </pic:nvPicPr>
                  <pic:blipFill rotWithShape="1">
                    <a:blip r:embed="rId66">
                      <a:extLst>
                        <a:ext uri="{28A0092B-C50C-407E-A947-70E740481C1C}">
                          <a14:useLocalDpi xmlns:a14="http://schemas.microsoft.com/office/drawing/2010/main" val="0"/>
                        </a:ext>
                      </a:extLst>
                    </a:blip>
                    <a:srcRect/>
                    <a:stretch/>
                  </pic:blipFill>
                  <pic:spPr bwMode="auto">
                    <a:xfrm>
                      <a:off x="0" y="0"/>
                      <a:ext cx="5759450" cy="1482192"/>
                    </a:xfrm>
                    <a:prstGeom prst="rect">
                      <a:avLst/>
                    </a:prstGeom>
                    <a:noFill/>
                    <a:ln>
                      <a:noFill/>
                    </a:ln>
                    <a:extLst>
                      <a:ext uri="{53640926-AAD7-44D8-BBD7-CCE9431645EC}">
                        <a14:shadowObscured xmlns:a14="http://schemas.microsoft.com/office/drawing/2010/main"/>
                      </a:ext>
                    </a:extLst>
                  </pic:spPr>
                </pic:pic>
              </a:graphicData>
            </a:graphic>
          </wp:inline>
        </w:drawing>
      </w:r>
    </w:p>
    <w:p w14:paraId="76ACAF09" w14:textId="7A835635" w:rsidR="00C619B8" w:rsidRPr="00B0618E" w:rsidRDefault="00C619B8" w:rsidP="00C619B8">
      <w:pPr>
        <w:pStyle w:val="Caption"/>
        <w:rPr>
          <w:color w:val="FF0000"/>
        </w:rPr>
      </w:pPr>
      <w:bookmarkStart w:id="167" w:name="_Ref476302056"/>
      <w:bookmarkStart w:id="168" w:name="_Toc482034939"/>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3</w:t>
      </w:r>
      <w:r w:rsidR="00A2085C">
        <w:rPr>
          <w:noProof/>
        </w:rPr>
        <w:fldChar w:fldCharType="end"/>
      </w:r>
      <w:bookmarkEnd w:id="167"/>
      <w:r w:rsidRPr="00B0618E">
        <w:t xml:space="preserve">. Experimental variograms (red, based on </w:t>
      </w:r>
      <w:r w:rsidR="00133958" w:rsidRPr="00B0618E">
        <w:t>semi-variance</w:t>
      </w:r>
      <w:r w:rsidRPr="00B0618E">
        <w:t xml:space="preserve"> values) and correlograms (blue, based on autocorrelation values) for the </w:t>
      </w:r>
      <w:r w:rsidR="00C30E53" w:rsidRPr="00B0618E">
        <w:t xml:space="preserve">(a) </w:t>
      </w:r>
      <w:r w:rsidRPr="00B0618E">
        <w:t>upper aquitard sequence</w:t>
      </w:r>
      <w:r w:rsidR="00C30E53" w:rsidRPr="00B0618E">
        <w:t xml:space="preserve"> and (b) lower aquitard sequence</w:t>
      </w:r>
      <w:r w:rsidRPr="00B0618E">
        <w:t>, using vertical hydraulic conductivity values that were upscaled using numerical model averaging.</w:t>
      </w:r>
      <w:bookmarkEnd w:id="168"/>
      <w:r w:rsidRPr="00B0618E">
        <w:rPr>
          <w:color w:val="FF0000"/>
        </w:rPr>
        <w:t xml:space="preserve">  </w:t>
      </w:r>
    </w:p>
    <w:p w14:paraId="0F8982E6" w14:textId="34F2191F" w:rsidR="00C619B8" w:rsidRPr="00B0618E" w:rsidRDefault="00C619B8" w:rsidP="00CB418A">
      <w:pPr>
        <w:pStyle w:val="BodyText"/>
      </w:pPr>
      <w:r w:rsidRPr="00B0618E">
        <w:t xml:space="preserve">Two parametric models were used to characterise the EVs: a spherical model and an exponential model, both of which were parameterised using range, sill and nugget values. </w:t>
      </w:r>
      <w:r w:rsidR="00275196" w:rsidRPr="00B0618E">
        <w:t xml:space="preserve">The range is the lag distance at which the semi-variogram reaches the sill value; the autocorrelation is essentially zero beyond the range. The sill is the </w:t>
      </w:r>
      <w:r w:rsidR="00133958" w:rsidRPr="00B0618E">
        <w:t>semi-variance</w:t>
      </w:r>
      <w:r w:rsidR="00275196" w:rsidRPr="00B0618E">
        <w:t xml:space="preserve"> value at which the variogram levels off. The nugget value represents variability at distances smaller than the typical sample spacing, including measurement error. </w:t>
      </w:r>
      <w:r w:rsidRPr="00B0618E">
        <w:t>The spherical model is given as</w:t>
      </w:r>
      <w:r w:rsidR="00492D34" w:rsidRPr="00B0618E">
        <w:t xml:space="preserve"> (Cressie, 1985</w:t>
      </w:r>
      <w:r w:rsidR="005867FA" w:rsidRPr="00B0618E">
        <w:t xml:space="preserve">; </w:t>
      </w:r>
      <w:r w:rsidR="00B51581" w:rsidRPr="00B0618E">
        <w:rPr>
          <w:color w:val="auto"/>
        </w:rPr>
        <w:t>Kitanidis, 1997</w:t>
      </w:r>
      <w:r w:rsidR="00492D34" w:rsidRPr="00B0618E">
        <w:t>)</w:t>
      </w:r>
      <w:r w:rsidRPr="00B0618E">
        <w:t>:</w:t>
      </w:r>
    </w:p>
    <w:p w14:paraId="296F6C26" w14:textId="1B8F33CE" w:rsidR="00C619B8" w:rsidRPr="00B0618E" w:rsidRDefault="00651D9C" w:rsidP="00CB418A">
      <w:pPr>
        <w:tabs>
          <w:tab w:val="center" w:pos="4253"/>
          <w:tab w:val="right" w:pos="9638"/>
        </w:tabs>
        <w:spacing w:before="120" w:line="264" w:lineRule="auto"/>
        <w:rPr>
          <w:color w:val="auto"/>
          <w:sz w:val="24"/>
        </w:rPr>
      </w:pPr>
      <w:r w:rsidRPr="00B0618E">
        <w:rPr>
          <w:sz w:val="24"/>
        </w:rPr>
        <w:tab/>
      </w:r>
      <m:oMath>
        <m:m>
          <m:mPr>
            <m:mcs>
              <m:mc>
                <m:mcPr>
                  <m:count m:val="1"/>
                  <m:mcJc m:val="center"/>
                </m:mcPr>
              </m:mc>
            </m:mcs>
            <m:ctrlPr>
              <w:rPr>
                <w:rFonts w:ascii="Cambria Math" w:hAnsi="Cambria Math"/>
                <w:i/>
                <w:sz w:val="24"/>
              </w:rPr>
            </m:ctrlPr>
          </m:mPr>
          <m:mr>
            <m:e>
              <m:r>
                <w:rPr>
                  <w:rFonts w:ascii="Cambria Math" w:hAnsi="Cambria Math"/>
                  <w:sz w:val="24"/>
                </w:rPr>
                <m:t>γ</m:t>
              </m:r>
              <m:d>
                <m:dPr>
                  <m:ctrlPr>
                    <w:rPr>
                      <w:rFonts w:ascii="Cambria Math" w:hAnsi="Cambria Math"/>
                      <w:i/>
                      <w:sz w:val="24"/>
                    </w:rPr>
                  </m:ctrlPr>
                </m:dPr>
                <m:e>
                  <m:r>
                    <w:rPr>
                      <w:rFonts w:ascii="Cambria Math" w:hAnsi="Cambria Math"/>
                      <w:sz w:val="24"/>
                    </w:rPr>
                    <m:t>h</m:t>
                  </m:r>
                </m:e>
              </m:d>
              <m:r>
                <w:rPr>
                  <w:rFonts w:ascii="Cambria Math" w:hAnsi="Cambria Math"/>
                  <w:sz w:val="24"/>
                </w:rPr>
                <m:t>=c</m:t>
              </m:r>
              <m:d>
                <m:dPr>
                  <m:begChr m:val="["/>
                  <m:endChr m:val="]"/>
                  <m:ctrlPr>
                    <w:rPr>
                      <w:rFonts w:ascii="Cambria Math" w:hAnsi="Cambria Math"/>
                      <w:i/>
                      <w:sz w:val="24"/>
                    </w:rPr>
                  </m:ctrlPr>
                </m:dPr>
                <m:e>
                  <m:f>
                    <m:fPr>
                      <m:ctrlPr>
                        <w:rPr>
                          <w:rFonts w:ascii="Cambria Math" w:hAnsi="Cambria Math"/>
                          <w:i/>
                          <w:sz w:val="24"/>
                        </w:rPr>
                      </m:ctrlPr>
                    </m:fPr>
                    <m:num>
                      <m:r>
                        <w:rPr>
                          <w:rFonts w:ascii="Cambria Math" w:hAnsi="Cambria Math"/>
                          <w:sz w:val="24"/>
                        </w:rPr>
                        <m:t>3</m:t>
                      </m:r>
                      <m:r>
                        <w:rPr>
                          <w:rFonts w:ascii="Cambria Math" w:hAnsi="Cambria Math"/>
                          <w:sz w:val="24"/>
                        </w:rPr>
                        <m:t>h</m:t>
                      </m:r>
                    </m:num>
                    <m:den>
                      <m:r>
                        <w:rPr>
                          <w:rFonts w:ascii="Cambria Math" w:hAnsi="Cambria Math"/>
                          <w:sz w:val="24"/>
                        </w:rPr>
                        <m:t>2a</m:t>
                      </m:r>
                    </m:den>
                  </m:f>
                  <m:r>
                    <w:rPr>
                      <w:rFonts w:ascii="Cambria Math" w:hAnsi="Cambria Math"/>
                      <w:sz w:val="24"/>
                    </w:rPr>
                    <m:t>-</m:t>
                  </m:r>
                  <m:f>
                    <m:fPr>
                      <m:ctrlPr>
                        <w:rPr>
                          <w:rFonts w:ascii="Cambria Math" w:hAnsi="Cambria Math"/>
                          <w:i/>
                          <w:sz w:val="24"/>
                        </w:rPr>
                      </m:ctrlPr>
                    </m:fPr>
                    <m:num>
                      <m:r>
                        <w:rPr>
                          <w:rFonts w:ascii="Cambria Math" w:hAnsi="Cambria Math"/>
                          <w:sz w:val="24"/>
                        </w:rPr>
                        <m:t>1</m:t>
                      </m:r>
                    </m:num>
                    <m:den>
                      <m:r>
                        <w:rPr>
                          <w:rFonts w:ascii="Cambria Math" w:hAnsi="Cambria Math"/>
                          <w:sz w:val="24"/>
                        </w:rPr>
                        <m:t>2</m:t>
                      </m:r>
                    </m:den>
                  </m:f>
                  <m:sSup>
                    <m:sSupPr>
                      <m:ctrlPr>
                        <w:rPr>
                          <w:rFonts w:ascii="Cambria Math" w:hAnsi="Cambria Math"/>
                          <w:i/>
                          <w:sz w:val="24"/>
                        </w:rPr>
                      </m:ctrlPr>
                    </m:sSupPr>
                    <m:e>
                      <m:d>
                        <m:dPr>
                          <m:ctrlPr>
                            <w:rPr>
                              <w:rFonts w:ascii="Cambria Math" w:hAnsi="Cambria Math"/>
                              <w:i/>
                              <w:sz w:val="24"/>
                            </w:rPr>
                          </m:ctrlPr>
                        </m:dPr>
                        <m:e>
                          <m:f>
                            <m:fPr>
                              <m:ctrlPr>
                                <w:rPr>
                                  <w:rFonts w:ascii="Cambria Math" w:hAnsi="Cambria Math"/>
                                  <w:i/>
                                  <w:sz w:val="24"/>
                                </w:rPr>
                              </m:ctrlPr>
                            </m:fPr>
                            <m:num>
                              <m:r>
                                <w:rPr>
                                  <w:rFonts w:ascii="Cambria Math" w:hAnsi="Cambria Math"/>
                                  <w:sz w:val="24"/>
                                </w:rPr>
                                <m:t>h</m:t>
                              </m:r>
                            </m:num>
                            <m:den>
                              <m:r>
                                <w:rPr>
                                  <w:rFonts w:ascii="Cambria Math" w:hAnsi="Cambria Math"/>
                                  <w:sz w:val="24"/>
                                </w:rPr>
                                <m:t>a</m:t>
                              </m:r>
                            </m:den>
                          </m:f>
                        </m:e>
                      </m:d>
                    </m:e>
                    <m:sup>
                      <m:r>
                        <w:rPr>
                          <w:rFonts w:ascii="Cambria Math" w:hAnsi="Cambria Math"/>
                          <w:sz w:val="24"/>
                        </w:rPr>
                        <m:t>3</m:t>
                      </m:r>
                    </m:sup>
                  </m:sSup>
                </m:e>
              </m:d>
              <m:r>
                <w:rPr>
                  <w:rFonts w:ascii="Cambria Math" w:hAnsi="Cambria Math"/>
                  <w:sz w:val="24"/>
                </w:rPr>
                <m:t>+n   ,   h&lt;a</m:t>
              </m:r>
            </m:e>
          </m:mr>
          <m:mr>
            <m:e>
              <m:r>
                <w:rPr>
                  <w:rFonts w:ascii="Cambria Math" w:hAnsi="Cambria Math"/>
                  <w:sz w:val="24"/>
                </w:rPr>
                <m:t>γ</m:t>
              </m:r>
              <m:d>
                <m:dPr>
                  <m:ctrlPr>
                    <w:rPr>
                      <w:rFonts w:ascii="Cambria Math" w:hAnsi="Cambria Math"/>
                      <w:i/>
                      <w:sz w:val="24"/>
                    </w:rPr>
                  </m:ctrlPr>
                </m:dPr>
                <m:e>
                  <m:r>
                    <w:rPr>
                      <w:rFonts w:ascii="Cambria Math" w:hAnsi="Cambria Math"/>
                      <w:sz w:val="24"/>
                    </w:rPr>
                    <m:t>h</m:t>
                  </m:r>
                </m:e>
              </m:d>
              <m:r>
                <w:rPr>
                  <w:rFonts w:ascii="Cambria Math" w:hAnsi="Cambria Math"/>
                  <w:sz w:val="24"/>
                </w:rPr>
                <m:t>=c+n                              ,   h≥a</m:t>
              </m:r>
            </m:e>
          </m:mr>
        </m:m>
      </m:oMath>
      <w:r w:rsidRPr="00B0618E">
        <w:rPr>
          <w:sz w:val="24"/>
        </w:rPr>
        <w:t xml:space="preserve"> </w:t>
      </w:r>
      <w:r w:rsidRPr="00B0618E">
        <w:rPr>
          <w:sz w:val="24"/>
        </w:rPr>
        <w:tab/>
        <w:t>(</w:t>
      </w:r>
      <w:r w:rsidR="00F63202">
        <w:rPr>
          <w:sz w:val="24"/>
        </w:rPr>
        <w:t>9</w:t>
      </w:r>
      <w:r w:rsidRPr="00B0618E">
        <w:rPr>
          <w:sz w:val="24"/>
        </w:rPr>
        <w:t>)</w:t>
      </w:r>
    </w:p>
    <w:p w14:paraId="3294C94B" w14:textId="402FEC67" w:rsidR="00C619B8" w:rsidRPr="00B0618E" w:rsidRDefault="00C619B8" w:rsidP="00214E3B">
      <w:pPr>
        <w:pStyle w:val="BodyText"/>
      </w:pPr>
      <w:r w:rsidRPr="00B0618E">
        <w:t>while the exponential model is given as</w:t>
      </w:r>
      <w:r w:rsidR="00492D34" w:rsidRPr="00B0618E">
        <w:t xml:space="preserve"> (Cressie, 1985</w:t>
      </w:r>
      <w:r w:rsidR="005867FA" w:rsidRPr="00B0618E">
        <w:t xml:space="preserve">; </w:t>
      </w:r>
      <w:r w:rsidR="00B51581" w:rsidRPr="00B0618E">
        <w:t>Kitanidis, 1997</w:t>
      </w:r>
      <w:r w:rsidR="00492D34" w:rsidRPr="00B0618E">
        <w:t>)</w:t>
      </w:r>
      <w:r w:rsidRPr="00B0618E">
        <w:t>:</w:t>
      </w:r>
    </w:p>
    <w:p w14:paraId="10FB13C5" w14:textId="5FC325C0" w:rsidR="00C619B8" w:rsidRPr="00B0618E" w:rsidRDefault="00651D9C" w:rsidP="00CB418A">
      <w:pPr>
        <w:tabs>
          <w:tab w:val="center" w:pos="4253"/>
          <w:tab w:val="right" w:pos="9638"/>
        </w:tabs>
        <w:spacing w:before="120" w:line="264" w:lineRule="auto"/>
        <w:rPr>
          <w:color w:val="auto"/>
          <w:sz w:val="24"/>
        </w:rPr>
      </w:pPr>
      <w:r w:rsidRPr="00B0618E">
        <w:rPr>
          <w:sz w:val="24"/>
        </w:rPr>
        <w:tab/>
      </w:r>
      <m:oMath>
        <m:r>
          <w:rPr>
            <w:rFonts w:ascii="Cambria Math" w:hAnsi="Cambria Math"/>
            <w:sz w:val="24"/>
          </w:rPr>
          <m:t>γ</m:t>
        </m:r>
        <m:d>
          <m:dPr>
            <m:ctrlPr>
              <w:rPr>
                <w:rFonts w:ascii="Cambria Math" w:hAnsi="Cambria Math"/>
                <w:i/>
                <w:sz w:val="24"/>
              </w:rPr>
            </m:ctrlPr>
          </m:dPr>
          <m:e>
            <m:r>
              <w:rPr>
                <w:rFonts w:ascii="Cambria Math" w:hAnsi="Cambria Math"/>
                <w:sz w:val="24"/>
              </w:rPr>
              <m:t>h</m:t>
            </m:r>
          </m:e>
        </m:d>
        <m:r>
          <w:rPr>
            <w:rFonts w:ascii="Cambria Math" w:hAnsi="Cambria Math"/>
            <w:sz w:val="24"/>
          </w:rPr>
          <m:t>=c</m:t>
        </m:r>
        <m:d>
          <m:dPr>
            <m:begChr m:val="["/>
            <m:endChr m:val="]"/>
            <m:ctrlPr>
              <w:rPr>
                <w:rFonts w:ascii="Cambria Math" w:hAnsi="Cambria Math"/>
                <w:i/>
                <w:sz w:val="24"/>
              </w:rPr>
            </m:ctrlPr>
          </m:dPr>
          <m:e>
            <m:r>
              <w:rPr>
                <w:rFonts w:ascii="Cambria Math" w:hAnsi="Cambria Math"/>
                <w:sz w:val="24"/>
              </w:rPr>
              <m:t>1-</m:t>
            </m:r>
            <m:sSup>
              <m:sSupPr>
                <m:ctrlPr>
                  <w:rPr>
                    <w:rFonts w:ascii="Cambria Math" w:hAnsi="Cambria Math"/>
                    <w:i/>
                    <w:sz w:val="24"/>
                  </w:rPr>
                </m:ctrlPr>
              </m:sSupPr>
              <m:e>
                <m:r>
                  <w:rPr>
                    <w:rFonts w:ascii="Cambria Math" w:hAnsi="Cambria Math"/>
                    <w:sz w:val="24"/>
                  </w:rPr>
                  <m:t>e</m:t>
                </m:r>
              </m:e>
              <m:sup>
                <m:r>
                  <w:rPr>
                    <w:rFonts w:ascii="Cambria Math" w:hAnsi="Cambria Math"/>
                    <w:sz w:val="24"/>
                  </w:rPr>
                  <m:t>-</m:t>
                </m:r>
                <m:f>
                  <m:fPr>
                    <m:type m:val="lin"/>
                    <m:ctrlPr>
                      <w:rPr>
                        <w:rFonts w:ascii="Cambria Math" w:hAnsi="Cambria Math"/>
                        <w:i/>
                        <w:sz w:val="24"/>
                      </w:rPr>
                    </m:ctrlPr>
                  </m:fPr>
                  <m:num>
                    <m:r>
                      <w:rPr>
                        <w:rFonts w:ascii="Cambria Math" w:hAnsi="Cambria Math"/>
                        <w:sz w:val="24"/>
                      </w:rPr>
                      <m:t>h</m:t>
                    </m:r>
                  </m:num>
                  <m:den>
                    <m:r>
                      <w:rPr>
                        <w:rFonts w:ascii="Cambria Math" w:hAnsi="Cambria Math"/>
                        <w:sz w:val="24"/>
                      </w:rPr>
                      <m:t>a</m:t>
                    </m:r>
                  </m:den>
                </m:f>
              </m:sup>
            </m:sSup>
          </m:e>
        </m:d>
        <m:r>
          <w:rPr>
            <w:rFonts w:ascii="Cambria Math" w:hAnsi="Cambria Math"/>
            <w:sz w:val="24"/>
          </w:rPr>
          <m:t>+n</m:t>
        </m:r>
      </m:oMath>
      <w:r w:rsidRPr="00B0618E">
        <w:rPr>
          <w:sz w:val="24"/>
        </w:rPr>
        <w:tab/>
        <w:t>(</w:t>
      </w:r>
      <w:r w:rsidR="00F63202">
        <w:rPr>
          <w:sz w:val="24"/>
        </w:rPr>
        <w:t>10</w:t>
      </w:r>
      <w:r w:rsidRPr="00B0618E">
        <w:rPr>
          <w:sz w:val="24"/>
        </w:rPr>
        <w:t>)</w:t>
      </w:r>
    </w:p>
    <w:p w14:paraId="34E318A7" w14:textId="5F4F2A94" w:rsidR="00E23580" w:rsidRDefault="00C619B8" w:rsidP="00CB418A">
      <w:pPr>
        <w:pStyle w:val="BodyText"/>
      </w:pPr>
      <w:r w:rsidRPr="00B0618E">
        <w:t xml:space="preserve">where </w:t>
      </w:r>
      <w:r w:rsidRPr="00B0618E">
        <w:rPr>
          <w:i/>
        </w:rPr>
        <w:t>γ</w:t>
      </w:r>
      <w:r w:rsidRPr="00B0618E">
        <w:t xml:space="preserve"> </w:t>
      </w:r>
      <w:r w:rsidR="00E23580" w:rsidRPr="00B0618E">
        <w:t>is</w:t>
      </w:r>
      <w:r w:rsidRPr="00B0618E">
        <w:t xml:space="preserve"> </w:t>
      </w:r>
      <w:r w:rsidR="00133958" w:rsidRPr="00B0618E">
        <w:t>semi-variance</w:t>
      </w:r>
      <w:r w:rsidRPr="00B0618E">
        <w:t xml:space="preserve">, </w:t>
      </w:r>
      <w:r w:rsidRPr="00B0618E">
        <w:rPr>
          <w:i/>
        </w:rPr>
        <w:t>h</w:t>
      </w:r>
      <w:r w:rsidRPr="00B0618E">
        <w:t xml:space="preserve"> </w:t>
      </w:r>
      <w:r w:rsidR="00E23580" w:rsidRPr="00B0618E">
        <w:t>is</w:t>
      </w:r>
      <w:r w:rsidRPr="00B0618E">
        <w:t xml:space="preserve"> lag distance, </w:t>
      </w:r>
      <w:r w:rsidRPr="00B0618E">
        <w:rPr>
          <w:i/>
        </w:rPr>
        <w:t>c</w:t>
      </w:r>
      <w:r w:rsidRPr="00B0618E">
        <w:t xml:space="preserve"> </w:t>
      </w:r>
      <w:r w:rsidR="00E23580" w:rsidRPr="00B0618E">
        <w:t>is</w:t>
      </w:r>
      <w:r w:rsidRPr="00B0618E">
        <w:t xml:space="preserve"> sill, </w:t>
      </w:r>
      <w:r w:rsidRPr="00B0618E">
        <w:rPr>
          <w:i/>
        </w:rPr>
        <w:t>a</w:t>
      </w:r>
      <w:r w:rsidRPr="00B0618E">
        <w:t xml:space="preserve"> </w:t>
      </w:r>
      <w:r w:rsidR="00E23580" w:rsidRPr="00B0618E">
        <w:t>is</w:t>
      </w:r>
      <w:r w:rsidRPr="00B0618E">
        <w:t xml:space="preserve"> range, and </w:t>
      </w:r>
      <w:r w:rsidRPr="00B0618E">
        <w:rPr>
          <w:i/>
        </w:rPr>
        <w:t>n</w:t>
      </w:r>
      <w:r w:rsidRPr="00B0618E">
        <w:t xml:space="preserve"> </w:t>
      </w:r>
      <w:r w:rsidR="00E23580" w:rsidRPr="00B0618E">
        <w:t>is the</w:t>
      </w:r>
      <w:r w:rsidRPr="00B0618E">
        <w:t xml:space="preserve"> nugget. </w:t>
      </w:r>
      <w:r w:rsidR="00E23580" w:rsidRPr="00B0618E">
        <w:t>The spherical model reach</w:t>
      </w:r>
      <w:r w:rsidR="00DB3FC3" w:rsidRPr="00B0618E">
        <w:t>es</w:t>
      </w:r>
      <w:r w:rsidR="00E23580" w:rsidRPr="00B0618E">
        <w:t xml:space="preserve"> the specified sill value, </w:t>
      </w:r>
      <w:r w:rsidR="00E23580" w:rsidRPr="00B0618E">
        <w:rPr>
          <w:i/>
        </w:rPr>
        <w:t>c</w:t>
      </w:r>
      <w:r w:rsidR="00E23580" w:rsidRPr="00B0618E">
        <w:t xml:space="preserve">, at the specified range, </w:t>
      </w:r>
      <w:r w:rsidR="00E23580" w:rsidRPr="00B0618E">
        <w:rPr>
          <w:i/>
        </w:rPr>
        <w:t>a</w:t>
      </w:r>
      <w:r w:rsidR="00E23580" w:rsidRPr="00B0618E">
        <w:t xml:space="preserve">. </w:t>
      </w:r>
      <w:r w:rsidR="00B0618E" w:rsidRPr="00B0618E">
        <w:t>Conversely</w:t>
      </w:r>
      <w:r w:rsidR="00DB3FC3" w:rsidRPr="00B0618E">
        <w:t>, t</w:t>
      </w:r>
      <w:r w:rsidR="00E23580" w:rsidRPr="00B0618E">
        <w:t xml:space="preserve">he exponential model approaches the sill asymptotically, where </w:t>
      </w:r>
      <w:r w:rsidR="00E23580" w:rsidRPr="00B0618E">
        <w:rPr>
          <w:i/>
        </w:rPr>
        <w:t>a</w:t>
      </w:r>
      <w:r w:rsidR="00E23580" w:rsidRPr="00B0618E">
        <w:t xml:space="preserve"> represent</w:t>
      </w:r>
      <w:r w:rsidR="00DB3FC3" w:rsidRPr="00B0618E">
        <w:t>s</w:t>
      </w:r>
      <w:r w:rsidR="00E23580" w:rsidRPr="00B0618E">
        <w:t xml:space="preserve"> the </w:t>
      </w:r>
      <w:r w:rsidR="00DB3FC3" w:rsidRPr="00B0618E">
        <w:t>“</w:t>
      </w:r>
      <w:r w:rsidR="00E23580" w:rsidRPr="00B0618E">
        <w:t>practical range</w:t>
      </w:r>
      <w:r w:rsidR="00DB3FC3" w:rsidRPr="00B0618E">
        <w:t>”;</w:t>
      </w:r>
      <w:r w:rsidR="00E23580" w:rsidRPr="00B0618E">
        <w:t xml:space="preserve"> i.e.</w:t>
      </w:r>
      <w:r w:rsidR="00DB3FC3" w:rsidRPr="00B0618E">
        <w:t>,</w:t>
      </w:r>
      <w:r w:rsidR="00E23580" w:rsidRPr="00B0618E">
        <w:t xml:space="preserve"> the distance at which the </w:t>
      </w:r>
      <w:r w:rsidR="00133958" w:rsidRPr="00B0618E">
        <w:t>semi-variance</w:t>
      </w:r>
      <w:r w:rsidR="00E23580" w:rsidRPr="00B0618E">
        <w:t xml:space="preserve"> reaches 95</w:t>
      </w:r>
      <w:r w:rsidR="002103DA" w:rsidRPr="00B0618E">
        <w:t xml:space="preserve"> </w:t>
      </w:r>
      <w:r w:rsidR="00E23580" w:rsidRPr="00B0618E">
        <w:t>% of the sill value</w:t>
      </w:r>
      <w:r w:rsidR="00FA5070" w:rsidRPr="00B0618E">
        <w:t xml:space="preserve"> (</w:t>
      </w:r>
      <w:r w:rsidR="00FA5070" w:rsidRPr="00B0618E">
        <w:fldChar w:fldCharType="begin"/>
      </w:r>
      <w:r w:rsidR="00FA5070" w:rsidRPr="00B0618E">
        <w:instrText xml:space="preserve"> REF _Ref477435029 \h </w:instrText>
      </w:r>
      <w:r w:rsidR="00CB418A" w:rsidRPr="00B0618E">
        <w:instrText xml:space="preserve"> \* MERGEFORMAT </w:instrText>
      </w:r>
      <w:r w:rsidR="00FA5070" w:rsidRPr="00B0618E">
        <w:fldChar w:fldCharType="separate"/>
      </w:r>
      <w:r w:rsidR="000B6FA5" w:rsidRPr="00B0618E">
        <w:t xml:space="preserve">Figure </w:t>
      </w:r>
      <w:r w:rsidR="000B6FA5">
        <w:rPr>
          <w:noProof/>
        </w:rPr>
        <w:t>6</w:t>
      </w:r>
      <w:r w:rsidR="000B6FA5">
        <w:rPr>
          <w:noProof/>
        </w:rPr>
        <w:noBreakHyphen/>
        <w:t>4</w:t>
      </w:r>
      <w:r w:rsidR="00FA5070" w:rsidRPr="00B0618E">
        <w:fldChar w:fldCharType="end"/>
      </w:r>
      <w:r w:rsidR="00FA5070" w:rsidRPr="00B0618E">
        <w:t>)</w:t>
      </w:r>
      <w:r w:rsidR="00E23580" w:rsidRPr="00B0618E">
        <w:t>.</w:t>
      </w:r>
    </w:p>
    <w:p w14:paraId="1844273C" w14:textId="6C74A914" w:rsidR="00102D78" w:rsidRDefault="00102D78" w:rsidP="00102D78">
      <w:pPr>
        <w:spacing w:before="120" w:line="264" w:lineRule="auto"/>
        <w:rPr>
          <w:color w:val="auto"/>
          <w:sz w:val="24"/>
        </w:rPr>
      </w:pPr>
      <w:r w:rsidRPr="00B0618E">
        <w:rPr>
          <w:color w:val="auto"/>
          <w:sz w:val="24"/>
        </w:rPr>
        <w:t xml:space="preserve">The spherical and exponential models were, in part, selected as they are suitable for use in subsequent Sequential Gaussian Simulation of spatial parameter distributions. The models were fitted to EVs through the use of the Python language least squares algorithm </w:t>
      </w:r>
      <w:r w:rsidRPr="00B0618E">
        <w:rPr>
          <w:i/>
          <w:color w:val="auto"/>
          <w:sz w:val="24"/>
        </w:rPr>
        <w:t>curvefit</w:t>
      </w:r>
      <w:r w:rsidRPr="00B0618E">
        <w:rPr>
          <w:color w:val="auto"/>
          <w:sz w:val="24"/>
        </w:rPr>
        <w:t>. Parameters of the fitted models and associated coefficient of determination (</w:t>
      </w:r>
      <w:r w:rsidRPr="00B0618E">
        <w:rPr>
          <w:i/>
          <w:color w:val="auto"/>
          <w:sz w:val="24"/>
        </w:rPr>
        <w:t>R</w:t>
      </w:r>
      <w:r w:rsidRPr="00B0618E">
        <w:rPr>
          <w:color w:val="auto"/>
          <w:sz w:val="24"/>
          <w:vertAlign w:val="superscript"/>
        </w:rPr>
        <w:t>2</w:t>
      </w:r>
      <w:r w:rsidRPr="00B0618E">
        <w:rPr>
          <w:color w:val="auto"/>
          <w:sz w:val="24"/>
        </w:rPr>
        <w:t>) values are summarised in</w:t>
      </w:r>
      <w:r w:rsidR="00350269">
        <w:rPr>
          <w:color w:val="auto"/>
          <w:sz w:val="24"/>
        </w:rPr>
        <w:t xml:space="preserve"> </w:t>
      </w:r>
      <w:r w:rsidR="00350269">
        <w:rPr>
          <w:color w:val="auto"/>
          <w:sz w:val="24"/>
        </w:rPr>
        <w:fldChar w:fldCharType="begin"/>
      </w:r>
      <w:r w:rsidR="00350269">
        <w:rPr>
          <w:color w:val="auto"/>
          <w:sz w:val="24"/>
        </w:rPr>
        <w:instrText xml:space="preserve"> REF _Ref482035018 \h  \* MERGEFORMAT </w:instrText>
      </w:r>
      <w:r w:rsidR="00350269">
        <w:rPr>
          <w:color w:val="auto"/>
          <w:sz w:val="24"/>
        </w:rPr>
      </w:r>
      <w:r w:rsidR="00350269">
        <w:rPr>
          <w:color w:val="auto"/>
          <w:sz w:val="24"/>
        </w:rPr>
        <w:fldChar w:fldCharType="separate"/>
      </w:r>
      <w:r w:rsidR="000B6FA5" w:rsidRPr="000B6FA5">
        <w:rPr>
          <w:color w:val="auto"/>
          <w:sz w:val="24"/>
        </w:rPr>
        <w:t>Table 6</w:t>
      </w:r>
      <w:r w:rsidR="000B6FA5" w:rsidRPr="000B6FA5">
        <w:rPr>
          <w:color w:val="auto"/>
          <w:sz w:val="24"/>
        </w:rPr>
        <w:noBreakHyphen/>
        <w:t>1</w:t>
      </w:r>
      <w:r w:rsidR="00350269">
        <w:rPr>
          <w:color w:val="auto"/>
          <w:sz w:val="24"/>
        </w:rPr>
        <w:fldChar w:fldCharType="end"/>
      </w:r>
      <w:r w:rsidRPr="00B0618E">
        <w:rPr>
          <w:color w:val="auto"/>
          <w:sz w:val="24"/>
        </w:rPr>
        <w:t xml:space="preserve">. </w:t>
      </w:r>
    </w:p>
    <w:p w14:paraId="206CC809" w14:textId="5C8C0E44" w:rsidR="00102D78" w:rsidRPr="00B0618E" w:rsidRDefault="00102D78" w:rsidP="00102D78">
      <w:pPr>
        <w:spacing w:before="120" w:line="264" w:lineRule="auto"/>
        <w:rPr>
          <w:color w:val="auto"/>
          <w:sz w:val="24"/>
        </w:rPr>
      </w:pPr>
      <w:r w:rsidRPr="00B0618E">
        <w:rPr>
          <w:color w:val="auto"/>
          <w:sz w:val="24"/>
        </w:rPr>
        <w:t>Both variogram models fitted the experimental variogram equally well up to a lag distance of approximately 100 km</w:t>
      </w:r>
      <w:r>
        <w:rPr>
          <w:color w:val="auto"/>
          <w:sz w:val="24"/>
        </w:rPr>
        <w:t xml:space="preserve"> (</w:t>
      </w:r>
      <w:r>
        <w:rPr>
          <w:color w:val="auto"/>
          <w:sz w:val="24"/>
        </w:rPr>
        <w:fldChar w:fldCharType="begin"/>
      </w:r>
      <w:r>
        <w:rPr>
          <w:color w:val="auto"/>
          <w:sz w:val="24"/>
        </w:rPr>
        <w:instrText xml:space="preserve"> REF _Ref467659158 \h </w:instrText>
      </w:r>
      <w:r w:rsidR="00E920C3">
        <w:rPr>
          <w:color w:val="auto"/>
          <w:sz w:val="24"/>
        </w:rPr>
        <w:instrText xml:space="preserve"> \* MERGEFORMAT </w:instrText>
      </w:r>
      <w:r>
        <w:rPr>
          <w:color w:val="auto"/>
          <w:sz w:val="24"/>
        </w:rPr>
      </w:r>
      <w:r>
        <w:rPr>
          <w:color w:val="auto"/>
          <w:sz w:val="24"/>
        </w:rPr>
        <w:fldChar w:fldCharType="separate"/>
      </w:r>
      <w:r w:rsidR="000B6FA5" w:rsidRPr="000B6FA5">
        <w:rPr>
          <w:color w:val="auto"/>
          <w:sz w:val="24"/>
        </w:rPr>
        <w:t>Figure 6</w:t>
      </w:r>
      <w:r w:rsidR="000B6FA5" w:rsidRPr="000B6FA5">
        <w:rPr>
          <w:color w:val="auto"/>
          <w:sz w:val="24"/>
        </w:rPr>
        <w:noBreakHyphen/>
        <w:t>5</w:t>
      </w:r>
      <w:r>
        <w:rPr>
          <w:color w:val="auto"/>
          <w:sz w:val="24"/>
        </w:rPr>
        <w:fldChar w:fldCharType="end"/>
      </w:r>
      <w:r>
        <w:rPr>
          <w:color w:val="auto"/>
          <w:sz w:val="24"/>
        </w:rPr>
        <w:t>)</w:t>
      </w:r>
      <w:r w:rsidRPr="00B0618E">
        <w:rPr>
          <w:color w:val="auto"/>
          <w:sz w:val="24"/>
        </w:rPr>
        <w:t>. For larger distances, the spherical model reached a constant value (i.e., the sill) and remained close to the experimental variogram. In comparison, exponential model values continued to increase beyond this lag distance and approached the sill asymptotically. These differences between the two variogram models explained the consistently larger sill and range values for the exponential model. In addition, the nugget values of both variogram models are very similar since both models fitted the exponential variogram equally well at short (i.e., &lt;100 km) lag distances.</w:t>
      </w:r>
    </w:p>
    <w:p w14:paraId="7AC5FB3C" w14:textId="77777777" w:rsidR="00102D78" w:rsidRPr="00B0618E" w:rsidRDefault="00102D78" w:rsidP="00CB418A">
      <w:pPr>
        <w:pStyle w:val="BodyText"/>
      </w:pPr>
    </w:p>
    <w:p w14:paraId="59A92CF7" w14:textId="712F5B7E" w:rsidR="00E3211C" w:rsidRPr="00B0618E" w:rsidRDefault="00E3211C" w:rsidP="008E5D3E">
      <w:pPr>
        <w:keepNext/>
        <w:spacing w:before="120" w:line="264" w:lineRule="auto"/>
        <w:jc w:val="center"/>
        <w:rPr>
          <w:color w:val="auto"/>
          <w:sz w:val="24"/>
        </w:rPr>
      </w:pPr>
      <w:r w:rsidRPr="00B0618E">
        <w:rPr>
          <w:noProof/>
        </w:rPr>
        <w:drawing>
          <wp:inline distT="0" distB="0" distL="0" distR="0" wp14:anchorId="40D5E284" wp14:editId="428C7C27">
            <wp:extent cx="4168491" cy="3153833"/>
            <wp:effectExtent l="0" t="0" r="3810" b="8890"/>
            <wp:docPr id="56" name="Picture 56" descr="Chart of theoretical variogram model outputs" title="Fig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175500" cy="3159136"/>
                    </a:xfrm>
                    <a:prstGeom prst="rect">
                      <a:avLst/>
                    </a:prstGeom>
                  </pic:spPr>
                </pic:pic>
              </a:graphicData>
            </a:graphic>
          </wp:inline>
        </w:drawing>
      </w:r>
    </w:p>
    <w:p w14:paraId="734208AA" w14:textId="040C268A" w:rsidR="00E3211C" w:rsidRPr="00B0618E" w:rsidRDefault="00E3211C" w:rsidP="00E3211C">
      <w:pPr>
        <w:pStyle w:val="Caption"/>
        <w:rPr>
          <w:color w:val="auto"/>
          <w:sz w:val="24"/>
        </w:rPr>
      </w:pPr>
      <w:bookmarkStart w:id="169" w:name="_Ref477435029"/>
      <w:bookmarkStart w:id="170" w:name="_Toc482034940"/>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4</w:t>
      </w:r>
      <w:r w:rsidR="00A2085C">
        <w:rPr>
          <w:noProof/>
        </w:rPr>
        <w:fldChar w:fldCharType="end"/>
      </w:r>
      <w:bookmarkEnd w:id="169"/>
      <w:r w:rsidRPr="00B0618E">
        <w:t xml:space="preserve"> Theoretical variogram models (spherical, exponential, Gaussian) with indication of the practical range (Bohling, 2005).</w:t>
      </w:r>
      <w:bookmarkEnd w:id="170"/>
    </w:p>
    <w:p w14:paraId="5FC94A2B" w14:textId="77777777" w:rsidR="00102D78" w:rsidRPr="00B0618E" w:rsidRDefault="00102D78" w:rsidP="00102D78">
      <w:pPr>
        <w:pStyle w:val="BodyText"/>
        <w:keepNext/>
        <w:spacing w:after="0"/>
        <w:jc w:val="center"/>
        <w:rPr>
          <w:color w:val="FF0000"/>
        </w:rPr>
      </w:pPr>
      <w:r w:rsidRPr="00B0618E">
        <w:rPr>
          <w:noProof/>
          <w:color w:val="auto"/>
        </w:rPr>
        <w:drawing>
          <wp:inline distT="0" distB="0" distL="0" distR="0" wp14:anchorId="5A91EB8D" wp14:editId="6580792D">
            <wp:extent cx="6135751" cy="1579034"/>
            <wp:effectExtent l="0" t="0" r="0" b="2540"/>
            <wp:docPr id="72" name="Picture 72" descr="Experimental variograms and correlograms - upper aquitard" title="Figure 6-5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OWS_FAM\Aquitards\Filtered_porosity_data_from_Irina_040516\Spat_dist_Kv_fields\Variogram_analysis_v14_Jurassic_090217.png"/>
                    <pic:cNvPicPr>
                      <a:picLocks noChangeAspect="1" noChangeArrowheads="1"/>
                    </pic:cNvPicPr>
                  </pic:nvPicPr>
                  <pic:blipFill rotWithShape="1">
                    <a:blip r:embed="rId68">
                      <a:extLst>
                        <a:ext uri="{28A0092B-C50C-407E-A947-70E740481C1C}">
                          <a14:useLocalDpi xmlns:a14="http://schemas.microsoft.com/office/drawing/2010/main" val="0"/>
                        </a:ext>
                      </a:extLst>
                    </a:blip>
                    <a:srcRect/>
                    <a:stretch/>
                  </pic:blipFill>
                  <pic:spPr bwMode="auto">
                    <a:xfrm>
                      <a:off x="0" y="0"/>
                      <a:ext cx="6144908" cy="1581391"/>
                    </a:xfrm>
                    <a:prstGeom prst="rect">
                      <a:avLst/>
                    </a:prstGeom>
                    <a:noFill/>
                    <a:ln>
                      <a:noFill/>
                    </a:ln>
                    <a:extLst>
                      <a:ext uri="{53640926-AAD7-44D8-BBD7-CCE9431645EC}">
                        <a14:shadowObscured xmlns:a14="http://schemas.microsoft.com/office/drawing/2010/main"/>
                      </a:ext>
                    </a:extLst>
                  </pic:spPr>
                </pic:pic>
              </a:graphicData>
            </a:graphic>
          </wp:inline>
        </w:drawing>
      </w:r>
    </w:p>
    <w:p w14:paraId="482F4AE8" w14:textId="77777777" w:rsidR="00102D78" w:rsidRPr="00B0618E" w:rsidRDefault="00102D78" w:rsidP="00102D78">
      <w:pPr>
        <w:pStyle w:val="BodyText"/>
        <w:keepNext/>
        <w:spacing w:before="0"/>
        <w:jc w:val="center"/>
        <w:rPr>
          <w:color w:val="FF0000"/>
        </w:rPr>
      </w:pPr>
      <w:r w:rsidRPr="00B0618E">
        <w:rPr>
          <w:noProof/>
          <w:color w:val="FF0000"/>
        </w:rPr>
        <w:drawing>
          <wp:inline distT="0" distB="0" distL="0" distR="0" wp14:anchorId="30CD860D" wp14:editId="4073DE5A">
            <wp:extent cx="6083772" cy="1557867"/>
            <wp:effectExtent l="0" t="0" r="0" b="4445"/>
            <wp:docPr id="74" name="Picture 74" descr="Experimental variograms and correlograms - Lower aquitard" title="Figure 6-5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OWS_FAM\Aquitards\Filtered_porosity_data_from_Irina_040516\Spat_dist_Kv_fields\Variogram_analysis_v15_Permian_090217.png"/>
                    <pic:cNvPicPr>
                      <a:picLocks noChangeAspect="1" noChangeArrowheads="1"/>
                    </pic:cNvPicPr>
                  </pic:nvPicPr>
                  <pic:blipFill rotWithShape="1">
                    <a:blip r:embed="rId69">
                      <a:extLst>
                        <a:ext uri="{28A0092B-C50C-407E-A947-70E740481C1C}">
                          <a14:useLocalDpi xmlns:a14="http://schemas.microsoft.com/office/drawing/2010/main" val="0"/>
                        </a:ext>
                      </a:extLst>
                    </a:blip>
                    <a:srcRect/>
                    <a:stretch/>
                  </pic:blipFill>
                  <pic:spPr bwMode="auto">
                    <a:xfrm>
                      <a:off x="0" y="0"/>
                      <a:ext cx="6094458" cy="1560603"/>
                    </a:xfrm>
                    <a:prstGeom prst="rect">
                      <a:avLst/>
                    </a:prstGeom>
                    <a:noFill/>
                    <a:ln>
                      <a:noFill/>
                    </a:ln>
                    <a:extLst>
                      <a:ext uri="{53640926-AAD7-44D8-BBD7-CCE9431645EC}">
                        <a14:shadowObscured xmlns:a14="http://schemas.microsoft.com/office/drawing/2010/main"/>
                      </a:ext>
                    </a:extLst>
                  </pic:spPr>
                </pic:pic>
              </a:graphicData>
            </a:graphic>
          </wp:inline>
        </w:drawing>
      </w:r>
    </w:p>
    <w:p w14:paraId="37AD652E" w14:textId="612F3BD2" w:rsidR="00892391" w:rsidRPr="00B0618E" w:rsidRDefault="00102D78" w:rsidP="00892391">
      <w:pPr>
        <w:pStyle w:val="Caption"/>
      </w:pPr>
      <w:bookmarkStart w:id="171" w:name="_Ref467659158"/>
      <w:bookmarkStart w:id="172" w:name="_Toc482034941"/>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5</w:t>
      </w:r>
      <w:r w:rsidR="00A2085C">
        <w:rPr>
          <w:noProof/>
        </w:rPr>
        <w:fldChar w:fldCharType="end"/>
      </w:r>
      <w:bookmarkEnd w:id="171"/>
      <w:r w:rsidRPr="00B0618E">
        <w:t xml:space="preserve">. Geostatistical analysis of (a) upper aquitard sequence and (b) lower aquitard sequence </w:t>
      </w:r>
      <w:r w:rsidRPr="00BA7ABB">
        <w:rPr>
          <w:i/>
        </w:rPr>
        <w:t>K</w:t>
      </w:r>
      <w:r w:rsidRPr="00BA7ABB">
        <w:rPr>
          <w:vertAlign w:val="subscript"/>
        </w:rPr>
        <w:t>V</w:t>
      </w:r>
      <w:r w:rsidRPr="00B0618E">
        <w:t xml:space="preserve"> values upscaled using a 1-D numerical groundwater flow model. Grey closed circles = data points [</w:t>
      </w:r>
      <w:r w:rsidRPr="00102D78">
        <w:t>z</w:t>
      </w:r>
      <w:r w:rsidRPr="00B0618E">
        <w:t>(</w:t>
      </w:r>
      <w:r w:rsidRPr="00102D78">
        <w:t>x</w:t>
      </w:r>
      <w:r w:rsidRPr="00BA7ABB">
        <w:rPr>
          <w:vertAlign w:val="subscript"/>
        </w:rPr>
        <w:t>i</w:t>
      </w:r>
      <w:r w:rsidRPr="00B0618E">
        <w:t>+</w:t>
      </w:r>
      <w:r w:rsidRPr="00102D78">
        <w:t>h</w:t>
      </w:r>
      <w:r w:rsidRPr="00B0618E">
        <w:t>)-</w:t>
      </w:r>
      <w:r w:rsidRPr="00102D78">
        <w:t>z</w:t>
      </w:r>
      <w:r w:rsidRPr="00B0618E">
        <w:t>(</w:t>
      </w:r>
      <w:r w:rsidRPr="00102D78">
        <w:t>x</w:t>
      </w:r>
      <w:r w:rsidRPr="00BA7ABB">
        <w:rPr>
          <w:vertAlign w:val="subscript"/>
        </w:rPr>
        <w:t>i</w:t>
      </w:r>
      <w:r w:rsidRPr="00B0618E">
        <w:t>)]</w:t>
      </w:r>
      <w:r w:rsidRPr="00BA7ABB">
        <w:rPr>
          <w:vertAlign w:val="superscript"/>
        </w:rPr>
        <w:t>2</w:t>
      </w:r>
      <w:r w:rsidRPr="00B0618E">
        <w:t>, red closed circles</w:t>
      </w:r>
      <w:r w:rsidR="00892391">
        <w:t xml:space="preserve"> </w:t>
      </w:r>
      <w:r w:rsidR="00892391" w:rsidRPr="00B0618E">
        <w:t>and lines = experimental variograms, solid green line = spherical variogram model, and dashed blue line = exponential variogram model.</w:t>
      </w:r>
      <w:bookmarkEnd w:id="172"/>
    </w:p>
    <w:p w14:paraId="5F627903" w14:textId="77F61C6C" w:rsidR="00102D78" w:rsidRDefault="00102D78" w:rsidP="00102D78">
      <w:pPr>
        <w:pStyle w:val="Caption"/>
      </w:pPr>
    </w:p>
    <w:p w14:paraId="26875579" w14:textId="77777777" w:rsidR="00102D78" w:rsidRDefault="00102D78" w:rsidP="00102D78">
      <w:pPr>
        <w:pStyle w:val="BodyText"/>
        <w:rPr>
          <w:color w:val="auto"/>
        </w:rPr>
      </w:pPr>
    </w:p>
    <w:p w14:paraId="209BEE49" w14:textId="290EE062" w:rsidR="00C619B8" w:rsidRDefault="00B0044D" w:rsidP="00C619B8">
      <w:pPr>
        <w:pStyle w:val="BodyText"/>
        <w:rPr>
          <w:color w:val="auto"/>
        </w:rPr>
      </w:pPr>
      <w:r>
        <w:rPr>
          <w:color w:val="auto"/>
        </w:rPr>
        <w:t>Close inspection of the experimental variogram</w:t>
      </w:r>
      <w:r w:rsidR="00102D78">
        <w:rPr>
          <w:color w:val="auto"/>
        </w:rPr>
        <w:t xml:space="preserve"> in </w:t>
      </w:r>
      <w:r w:rsidR="00102D78">
        <w:rPr>
          <w:color w:val="auto"/>
        </w:rPr>
        <w:fldChar w:fldCharType="begin"/>
      </w:r>
      <w:r w:rsidR="00102D78">
        <w:rPr>
          <w:color w:val="auto"/>
        </w:rPr>
        <w:instrText xml:space="preserve"> REF _Ref467659158 \h </w:instrText>
      </w:r>
      <w:r w:rsidR="00102D78">
        <w:rPr>
          <w:color w:val="auto"/>
        </w:rPr>
      </w:r>
      <w:r w:rsidR="00102D78">
        <w:rPr>
          <w:color w:val="auto"/>
        </w:rPr>
        <w:fldChar w:fldCharType="separate"/>
      </w:r>
      <w:r w:rsidR="000B6FA5" w:rsidRPr="00B0618E">
        <w:t xml:space="preserve">Figure </w:t>
      </w:r>
      <w:r w:rsidR="000B6FA5">
        <w:rPr>
          <w:noProof/>
        </w:rPr>
        <w:t>6</w:t>
      </w:r>
      <w:r w:rsidR="000B6FA5">
        <w:noBreakHyphen/>
      </w:r>
      <w:r w:rsidR="000B6FA5">
        <w:rPr>
          <w:noProof/>
        </w:rPr>
        <w:t>5</w:t>
      </w:r>
      <w:r w:rsidR="00102D78">
        <w:rPr>
          <w:color w:val="auto"/>
        </w:rPr>
        <w:fldChar w:fldCharType="end"/>
      </w:r>
      <w:r w:rsidR="00102D78">
        <w:rPr>
          <w:color w:val="auto"/>
        </w:rPr>
        <w:t xml:space="preserve"> </w:t>
      </w:r>
      <w:r>
        <w:rPr>
          <w:color w:val="auto"/>
        </w:rPr>
        <w:t xml:space="preserve"> for the upper aquitard sequence shows signs of short-range variability up to about 30 km lag distance in combination with large-range variability for lag distance up to 100 km. These double</w:t>
      </w:r>
      <w:r w:rsidR="00F942D5">
        <w:rPr>
          <w:color w:val="auto"/>
        </w:rPr>
        <w:t>-</w:t>
      </w:r>
      <w:r>
        <w:rPr>
          <w:color w:val="auto"/>
        </w:rPr>
        <w:t xml:space="preserve">hump </w:t>
      </w:r>
      <w:r w:rsidR="0040628E">
        <w:rPr>
          <w:color w:val="auto"/>
        </w:rPr>
        <w:t xml:space="preserve">or multiple-hump </w:t>
      </w:r>
      <w:r>
        <w:rPr>
          <w:color w:val="auto"/>
        </w:rPr>
        <w:t xml:space="preserve">features have previously been discussed by Ababou et al. (1989), </w:t>
      </w:r>
      <w:r w:rsidR="002F1D9B">
        <w:rPr>
          <w:color w:val="auto"/>
        </w:rPr>
        <w:t>Gelhar (1993</w:t>
      </w:r>
      <w:r w:rsidR="0040628E">
        <w:rPr>
          <w:color w:val="auto"/>
        </w:rPr>
        <w:t>, 1989</w:t>
      </w:r>
      <w:r w:rsidR="001C4F97">
        <w:rPr>
          <w:color w:val="auto"/>
        </w:rPr>
        <w:t>) and others, and have been related to spatial variability at different scales. Indeed, one can envisage scales of heterogeneity</w:t>
      </w:r>
      <w:r w:rsidR="00E24A1D">
        <w:rPr>
          <w:color w:val="auto"/>
        </w:rPr>
        <w:t xml:space="preserve"> (</w:t>
      </w:r>
      <w:r w:rsidR="00E24A1D">
        <w:rPr>
          <w:color w:val="auto"/>
        </w:rPr>
        <w:fldChar w:fldCharType="begin"/>
      </w:r>
      <w:r w:rsidR="00E24A1D">
        <w:rPr>
          <w:color w:val="auto"/>
        </w:rPr>
        <w:instrText xml:space="preserve"> REF _Ref479522402 \h </w:instrText>
      </w:r>
      <w:r w:rsidR="00E24A1D">
        <w:rPr>
          <w:color w:val="auto"/>
        </w:rPr>
      </w:r>
      <w:r w:rsidR="00E24A1D">
        <w:rPr>
          <w:color w:val="auto"/>
        </w:rPr>
        <w:fldChar w:fldCharType="separate"/>
      </w:r>
      <w:r w:rsidR="000B6FA5">
        <w:t xml:space="preserve">Figure </w:t>
      </w:r>
      <w:r w:rsidR="000B6FA5">
        <w:rPr>
          <w:noProof/>
        </w:rPr>
        <w:t>6</w:t>
      </w:r>
      <w:r w:rsidR="000B6FA5">
        <w:noBreakHyphen/>
      </w:r>
      <w:r w:rsidR="000B6FA5">
        <w:rPr>
          <w:noProof/>
        </w:rPr>
        <w:t>6</w:t>
      </w:r>
      <w:r w:rsidR="00E24A1D">
        <w:rPr>
          <w:color w:val="auto"/>
        </w:rPr>
        <w:fldChar w:fldCharType="end"/>
      </w:r>
      <w:r w:rsidR="00E24A1D">
        <w:rPr>
          <w:color w:val="auto"/>
        </w:rPr>
        <w:t>):</w:t>
      </w:r>
      <w:r w:rsidR="001C4F97">
        <w:rPr>
          <w:color w:val="auto"/>
        </w:rPr>
        <w:t xml:space="preserve"> i) at the regional scale due to different geological formations</w:t>
      </w:r>
      <w:r w:rsidR="007A2F20">
        <w:rPr>
          <w:color w:val="auto"/>
        </w:rPr>
        <w:t xml:space="preserve"> (scale </w:t>
      </w:r>
      <w:r w:rsidR="007A2F20">
        <w:rPr>
          <w:rFonts w:ascii="Lucida Sans Unicode" w:hAnsi="Lucida Sans Unicode" w:cs="Lucida Sans Unicode"/>
          <w:color w:val="auto"/>
        </w:rPr>
        <w:t>ℒ</w:t>
      </w:r>
      <w:r w:rsidR="007A2F20">
        <w:rPr>
          <w:color w:val="auto"/>
        </w:rPr>
        <w:t>)</w:t>
      </w:r>
      <w:r w:rsidR="001C4F97">
        <w:rPr>
          <w:color w:val="auto"/>
        </w:rPr>
        <w:t>, ii) at the scale of an individual geological formation due to variation in facies</w:t>
      </w:r>
      <w:r w:rsidR="007A2F20">
        <w:rPr>
          <w:color w:val="auto"/>
        </w:rPr>
        <w:t xml:space="preserve"> (scale of the flow domain, </w:t>
      </w:r>
      <w:r w:rsidR="007A2F20" w:rsidRPr="007A2F20">
        <w:rPr>
          <w:i/>
          <w:color w:val="auto"/>
        </w:rPr>
        <w:t>L</w:t>
      </w:r>
      <w:r w:rsidR="007A2F20">
        <w:rPr>
          <w:color w:val="auto"/>
        </w:rPr>
        <w:t>)</w:t>
      </w:r>
      <w:r w:rsidR="001C4F97">
        <w:rPr>
          <w:color w:val="auto"/>
        </w:rPr>
        <w:t xml:space="preserve">, and iii) at the scale of an individual facies due to differences in cementation of pores </w:t>
      </w:r>
      <w:r w:rsidR="00326681">
        <w:rPr>
          <w:color w:val="auto"/>
        </w:rPr>
        <w:t xml:space="preserve">(scale </w:t>
      </w:r>
      <w:r w:rsidR="00326681">
        <w:rPr>
          <w:rFonts w:ascii="Lucida Sans Unicode" w:hAnsi="Lucida Sans Unicode" w:cs="Lucida Sans Unicode"/>
          <w:color w:val="auto"/>
        </w:rPr>
        <w:t>λ</w:t>
      </w:r>
      <w:r w:rsidR="00326681">
        <w:rPr>
          <w:color w:val="auto"/>
        </w:rPr>
        <w:t xml:space="preserve">) </w:t>
      </w:r>
      <w:r w:rsidR="001C4F97">
        <w:rPr>
          <w:color w:val="auto"/>
        </w:rPr>
        <w:t>(Weber</w:t>
      </w:r>
      <w:r w:rsidR="008F59C0">
        <w:rPr>
          <w:color w:val="auto"/>
        </w:rPr>
        <w:t>,</w:t>
      </w:r>
      <w:r w:rsidR="001C4F97">
        <w:rPr>
          <w:color w:val="auto"/>
        </w:rPr>
        <w:t xml:space="preserve"> 1986). </w:t>
      </w:r>
      <w:r w:rsidR="007A2F20">
        <w:rPr>
          <w:color w:val="auto"/>
        </w:rPr>
        <w:t xml:space="preserve">Typically, the </w:t>
      </w:r>
      <w:r w:rsidR="00326681">
        <w:rPr>
          <w:color w:val="auto"/>
        </w:rPr>
        <w:t xml:space="preserve">regional </w:t>
      </w:r>
      <w:r w:rsidR="007A2F20">
        <w:rPr>
          <w:color w:val="auto"/>
        </w:rPr>
        <w:t xml:space="preserve">scale </w:t>
      </w:r>
      <w:r w:rsidR="00326681">
        <w:rPr>
          <w:rFonts w:ascii="Lucida Sans Unicode" w:hAnsi="Lucida Sans Unicode" w:cs="Lucida Sans Unicode"/>
          <w:color w:val="auto"/>
        </w:rPr>
        <w:t>ℒ</w:t>
      </w:r>
      <w:r w:rsidR="00326681">
        <w:rPr>
          <w:color w:val="auto"/>
        </w:rPr>
        <w:t xml:space="preserve"> could be </w:t>
      </w:r>
      <w:r w:rsidR="00326681" w:rsidRPr="007A2F20">
        <w:rPr>
          <w:color w:val="auto"/>
        </w:rPr>
        <w:t>on the order of 50 -100 km</w:t>
      </w:r>
      <w:r w:rsidR="00326681">
        <w:rPr>
          <w:color w:val="auto"/>
        </w:rPr>
        <w:t xml:space="preserve">, the scale of the </w:t>
      </w:r>
      <w:r w:rsidR="007A2F20">
        <w:rPr>
          <w:color w:val="auto"/>
        </w:rPr>
        <w:t xml:space="preserve">flow domain </w:t>
      </w:r>
      <w:r w:rsidR="00326681" w:rsidRPr="00326681">
        <w:rPr>
          <w:i/>
          <w:color w:val="auto"/>
        </w:rPr>
        <w:t>L</w:t>
      </w:r>
      <w:r w:rsidR="00326681">
        <w:rPr>
          <w:color w:val="auto"/>
        </w:rPr>
        <w:t xml:space="preserve"> </w:t>
      </w:r>
      <w:r w:rsidR="007A2F20">
        <w:rPr>
          <w:color w:val="auto"/>
        </w:rPr>
        <w:t>could be o</w:t>
      </w:r>
      <w:r w:rsidR="00326681">
        <w:rPr>
          <w:color w:val="auto"/>
        </w:rPr>
        <w:t>n</w:t>
      </w:r>
      <w:r w:rsidR="007A2F20">
        <w:rPr>
          <w:color w:val="auto"/>
        </w:rPr>
        <w:t xml:space="preserve"> the order 1 – 10 km</w:t>
      </w:r>
      <w:r w:rsidR="00326681">
        <w:rPr>
          <w:color w:val="auto"/>
        </w:rPr>
        <w:t xml:space="preserve">, and the scale of fluctuation </w:t>
      </w:r>
      <w:r w:rsidR="00326681">
        <w:rPr>
          <w:rFonts w:ascii="Lucida Sans Unicode" w:hAnsi="Lucida Sans Unicode" w:cs="Lucida Sans Unicode"/>
          <w:color w:val="auto"/>
        </w:rPr>
        <w:t xml:space="preserve">λ </w:t>
      </w:r>
      <w:r w:rsidR="00326681" w:rsidRPr="00326681">
        <w:rPr>
          <w:color w:val="auto"/>
        </w:rPr>
        <w:t>on the order of 10 – 100 m.</w:t>
      </w:r>
      <w:r w:rsidR="00326681">
        <w:rPr>
          <w:color w:val="auto"/>
        </w:rPr>
        <w:t xml:space="preserve"> As shown in </w:t>
      </w:r>
      <w:r w:rsidR="00822693">
        <w:rPr>
          <w:color w:val="auto"/>
        </w:rPr>
        <w:fldChar w:fldCharType="begin"/>
      </w:r>
      <w:r w:rsidR="00822693">
        <w:rPr>
          <w:color w:val="auto"/>
        </w:rPr>
        <w:instrText xml:space="preserve"> REF _Ref479522402 \h </w:instrText>
      </w:r>
      <w:r w:rsidR="00822693">
        <w:rPr>
          <w:color w:val="auto"/>
        </w:rPr>
      </w:r>
      <w:r w:rsidR="00822693">
        <w:rPr>
          <w:color w:val="auto"/>
        </w:rPr>
        <w:fldChar w:fldCharType="separate"/>
      </w:r>
      <w:r w:rsidR="000B6FA5">
        <w:t xml:space="preserve">Figure </w:t>
      </w:r>
      <w:r w:rsidR="000B6FA5">
        <w:rPr>
          <w:noProof/>
        </w:rPr>
        <w:t>6</w:t>
      </w:r>
      <w:r w:rsidR="000B6FA5">
        <w:noBreakHyphen/>
      </w:r>
      <w:r w:rsidR="000B6FA5">
        <w:rPr>
          <w:noProof/>
        </w:rPr>
        <w:t>6</w:t>
      </w:r>
      <w:r w:rsidR="00822693">
        <w:rPr>
          <w:color w:val="auto"/>
        </w:rPr>
        <w:fldChar w:fldCharType="end"/>
      </w:r>
      <w:r w:rsidR="00326681">
        <w:rPr>
          <w:color w:val="auto"/>
        </w:rPr>
        <w:t xml:space="preserve">, a composite semi-variogram can be assumed which describes the different spatial scales. The increasingly higher sill values are consistent with the higher variability in ln </w:t>
      </w:r>
      <w:r w:rsidR="00326681" w:rsidRPr="00326681">
        <w:rPr>
          <w:i/>
          <w:color w:val="auto"/>
        </w:rPr>
        <w:t>K</w:t>
      </w:r>
      <w:r w:rsidR="00326681" w:rsidRPr="00326681">
        <w:rPr>
          <w:color w:val="auto"/>
          <w:vertAlign w:val="subscript"/>
        </w:rPr>
        <w:t>V</w:t>
      </w:r>
      <w:r w:rsidR="00326681">
        <w:rPr>
          <w:color w:val="auto"/>
        </w:rPr>
        <w:t xml:space="preserve"> that is expected when increasingly larger spatial domains (i.e. greater variability in geological strata) are sampled.</w:t>
      </w:r>
    </w:p>
    <w:p w14:paraId="0F93B7BF" w14:textId="77777777" w:rsidR="00102D78" w:rsidRDefault="00102D78" w:rsidP="00C619B8">
      <w:pPr>
        <w:pStyle w:val="BodyText"/>
        <w:rPr>
          <w:color w:val="auto"/>
        </w:rPr>
      </w:pPr>
    </w:p>
    <w:p w14:paraId="7B8C2128" w14:textId="50F136BE" w:rsidR="00E24A1D" w:rsidRDefault="00E24A1D" w:rsidP="00E24A1D">
      <w:pPr>
        <w:pStyle w:val="BodyText"/>
        <w:jc w:val="center"/>
        <w:rPr>
          <w:color w:val="auto"/>
        </w:rPr>
      </w:pPr>
      <w:r w:rsidRPr="00E24A1D">
        <w:rPr>
          <w:noProof/>
        </w:rPr>
        <w:drawing>
          <wp:inline distT="0" distB="0" distL="0" distR="0" wp14:anchorId="6B1DDE7D" wp14:editId="03A102A3">
            <wp:extent cx="6120130" cy="4380178"/>
            <wp:effectExtent l="0" t="0" r="0" b="0"/>
            <wp:docPr id="114" name="Picture 114" descr="Charts showing multiple scales of heterogeneity" title="Fig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4380178"/>
                    </a:xfrm>
                    <a:prstGeom prst="rect">
                      <a:avLst/>
                    </a:prstGeom>
                    <a:noFill/>
                    <a:ln>
                      <a:noFill/>
                    </a:ln>
                  </pic:spPr>
                </pic:pic>
              </a:graphicData>
            </a:graphic>
          </wp:inline>
        </w:drawing>
      </w:r>
    </w:p>
    <w:p w14:paraId="7CD097D3" w14:textId="6C16D043" w:rsidR="00822693" w:rsidRDefault="00E24A1D" w:rsidP="00E24A1D">
      <w:pPr>
        <w:pStyle w:val="Caption"/>
      </w:pPr>
      <w:bookmarkStart w:id="173" w:name="_Ref479522402"/>
      <w:bookmarkStart w:id="174" w:name="_Toc482034942"/>
      <w:r>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6</w:t>
      </w:r>
      <w:r w:rsidR="00A2085C">
        <w:rPr>
          <w:noProof/>
        </w:rPr>
        <w:fldChar w:fldCharType="end"/>
      </w:r>
      <w:bookmarkEnd w:id="173"/>
      <w:r>
        <w:t xml:space="preserve"> Multiple scales of heterogeneity. (top) Identification of scales: regional scale (</w:t>
      </w:r>
      <w:r>
        <w:rPr>
          <w:rFonts w:ascii="Lucida Sans Unicode" w:hAnsi="Lucida Sans Unicode" w:cs="Lucida Sans Unicode"/>
        </w:rPr>
        <w:t>ℒ</w:t>
      </w:r>
      <w:r>
        <w:t xml:space="preserve">), scale of the flow domain (L), and </w:t>
      </w:r>
      <w:r w:rsidR="007A2F20">
        <w:t xml:space="preserve">local-scale </w:t>
      </w:r>
      <w:r>
        <w:t>correlation scale</w:t>
      </w:r>
      <w:r w:rsidR="00DA06D6">
        <w:t xml:space="preserve"> (</w:t>
      </w:r>
      <w:r w:rsidR="00DA06D6">
        <w:rPr>
          <w:rFonts w:ascii="Lucida Sans Unicode" w:hAnsi="Lucida Sans Unicode" w:cs="Lucida Sans Unicode"/>
        </w:rPr>
        <w:t>λ</w:t>
      </w:r>
      <w:r w:rsidR="00DA06D6">
        <w:t>).</w:t>
      </w:r>
      <w:r>
        <w:t xml:space="preserve">  </w:t>
      </w:r>
      <w:r w:rsidR="00DA06D6">
        <w:t>(</w:t>
      </w:r>
      <w:r w:rsidR="00F73CA5">
        <w:t>b</w:t>
      </w:r>
      <w:r w:rsidR="00DA06D6">
        <w:t>ottom) Hypothetical multi-scale semi-variogram corresponding with multiple scales of heterogeneity (modified from Ababou et al. [1989])</w:t>
      </w:r>
      <w:r w:rsidR="00822693">
        <w:t>.</w:t>
      </w:r>
      <w:bookmarkEnd w:id="174"/>
    </w:p>
    <w:p w14:paraId="41F619DC" w14:textId="77777777" w:rsidR="00822693" w:rsidRDefault="00822693" w:rsidP="00822693">
      <w:pPr>
        <w:pStyle w:val="BodyText"/>
      </w:pPr>
    </w:p>
    <w:p w14:paraId="78C3C94F" w14:textId="695D78F4" w:rsidR="00E24A1D" w:rsidRPr="00B0618E" w:rsidRDefault="00DA06D6" w:rsidP="00822693">
      <w:pPr>
        <w:pStyle w:val="BodyText"/>
        <w:rPr>
          <w:color w:val="auto"/>
        </w:rPr>
      </w:pPr>
      <w:r>
        <w:t xml:space="preserve"> </w:t>
      </w:r>
    </w:p>
    <w:p w14:paraId="319E9F14" w14:textId="2E1794EB" w:rsidR="00472C37" w:rsidRDefault="00472C37" w:rsidP="00472C37">
      <w:pPr>
        <w:spacing w:before="120" w:line="264" w:lineRule="auto"/>
        <w:rPr>
          <w:color w:val="auto"/>
          <w:sz w:val="24"/>
        </w:rPr>
      </w:pPr>
      <w:r>
        <w:rPr>
          <w:color w:val="auto"/>
          <w:sz w:val="24"/>
        </w:rPr>
        <w:t>The question of how many heterogeneous random fields suffice in a stochastic analysis has been addressed by Ababou (1988) and Ababou et al. (1989). These authors used, as an extreme case, a single realization and developed some guidance in regards to minimum acceptable size of the model domain and maximum grid si</w:t>
      </w:r>
      <w:r w:rsidR="007B2B19">
        <w:rPr>
          <w:color w:val="auto"/>
          <w:sz w:val="24"/>
        </w:rPr>
        <w:t>z</w:t>
      </w:r>
      <w:r>
        <w:rPr>
          <w:color w:val="auto"/>
          <w:sz w:val="24"/>
        </w:rPr>
        <w:t xml:space="preserve">e, for the model to be statistically meaningful. </w:t>
      </w:r>
      <w:r w:rsidRPr="00ED3B39">
        <w:rPr>
          <w:color w:val="auto"/>
          <w:sz w:val="24"/>
        </w:rPr>
        <w:t>When a single realization approach is used, inference of statistical moments of the distribution of relevant variables requires a flow domain that is sufficiently large compared with the correlation scales of the pertinent formation properties. In addition, in order to preserve details of the spatial structure of the formation properties, the size of the numerical cells must be small compared with the characteristic length scale of the heterogeneity of the relevant formation properties. Ababou</w:t>
      </w:r>
      <w:r>
        <w:rPr>
          <w:color w:val="auto"/>
          <w:sz w:val="24"/>
        </w:rPr>
        <w:t xml:space="preserve"> (1988) and Ababou et al. (1989)</w:t>
      </w:r>
      <w:r w:rsidRPr="00ED3B39">
        <w:rPr>
          <w:color w:val="auto"/>
          <w:sz w:val="24"/>
        </w:rPr>
        <w:t xml:space="preserve"> suggested the following two criteria: i) the domain size should be at least 10 to </w:t>
      </w:r>
      <w:r>
        <w:rPr>
          <w:color w:val="auto"/>
          <w:sz w:val="24"/>
        </w:rPr>
        <w:t xml:space="preserve">50 times the correlation length, and ii) </w:t>
      </w:r>
      <w:r w:rsidRPr="00ED3B39">
        <w:rPr>
          <w:color w:val="auto"/>
          <w:sz w:val="24"/>
        </w:rPr>
        <w:t xml:space="preserve">at least four nodes </w:t>
      </w:r>
      <w:r>
        <w:rPr>
          <w:color w:val="auto"/>
          <w:sz w:val="24"/>
        </w:rPr>
        <w:t xml:space="preserve">or grid cells </w:t>
      </w:r>
      <w:r w:rsidRPr="00ED3B39">
        <w:rPr>
          <w:color w:val="auto"/>
          <w:sz w:val="24"/>
        </w:rPr>
        <w:t>per correlation length</w:t>
      </w:r>
      <w:r>
        <w:rPr>
          <w:color w:val="auto"/>
          <w:sz w:val="24"/>
        </w:rPr>
        <w:t>.</w:t>
      </w:r>
      <w:r w:rsidRPr="00ED3B39">
        <w:rPr>
          <w:color w:val="auto"/>
          <w:sz w:val="24"/>
        </w:rPr>
        <w:t xml:space="preserve"> </w:t>
      </w:r>
      <w:r>
        <w:rPr>
          <w:color w:val="auto"/>
          <w:sz w:val="24"/>
        </w:rPr>
        <w:t xml:space="preserve"> </w:t>
      </w:r>
    </w:p>
    <w:p w14:paraId="06F48FC2" w14:textId="1C37D8DB" w:rsidR="00E920C3" w:rsidRPr="00B0618E" w:rsidRDefault="00E920C3" w:rsidP="00E920C3">
      <w:pPr>
        <w:pStyle w:val="Caption"/>
        <w:keepLines/>
        <w:rPr>
          <w:color w:val="auto"/>
        </w:rPr>
      </w:pPr>
      <w:bookmarkStart w:id="175" w:name="_Ref482035018"/>
      <w:bookmarkStart w:id="176" w:name="_Toc503253893"/>
      <w:r w:rsidRPr="00B0618E">
        <w:t xml:space="preserve">Table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1</w:t>
      </w:r>
      <w:r w:rsidR="00A2085C">
        <w:rPr>
          <w:noProof/>
        </w:rPr>
        <w:fldChar w:fldCharType="end"/>
      </w:r>
      <w:bookmarkEnd w:id="175"/>
      <w:r w:rsidRPr="00B0618E">
        <w:t>. Variogram model parameter (i.e., range, sill and nugget) values and associated coefficient of determination (</w:t>
      </w:r>
      <w:r w:rsidRPr="00B0618E">
        <w:rPr>
          <w:i/>
        </w:rPr>
        <w:t>R</w:t>
      </w:r>
      <w:r w:rsidRPr="00B0618E">
        <w:rPr>
          <w:vertAlign w:val="superscript"/>
        </w:rPr>
        <w:t>2</w:t>
      </w:r>
      <w:r w:rsidRPr="00B0618E">
        <w:t xml:space="preserve">) values for power and logarithmic variogram models used to characterise the spatial correlation between upscaled </w:t>
      </w:r>
      <w:r w:rsidRPr="00B0618E">
        <w:rPr>
          <w:i/>
        </w:rPr>
        <w:t>K</w:t>
      </w:r>
      <w:r>
        <w:rPr>
          <w:i/>
          <w:vertAlign w:val="subscript"/>
        </w:rPr>
        <w:t>V</w:t>
      </w:r>
      <w:r w:rsidRPr="00B0618E">
        <w:rPr>
          <w:i/>
        </w:rPr>
        <w:t xml:space="preserve"> </w:t>
      </w:r>
      <w:r w:rsidRPr="00B0618E">
        <w:t>values for the upper and lower aquitard sequences. *Note that “Practical range” refers to the distance at which semi-variance values generated using an exponential variogram model reach 95 % of the sill value.</w:t>
      </w:r>
      <w:bookmarkEnd w:id="176"/>
    </w:p>
    <w:tbl>
      <w:tblPr>
        <w:tblStyle w:val="TableCSIRO"/>
        <w:tblW w:w="0" w:type="auto"/>
        <w:tblLayout w:type="fixed"/>
        <w:tblLook w:val="04A0" w:firstRow="1" w:lastRow="0" w:firstColumn="1" w:lastColumn="0" w:noHBand="0" w:noVBand="1"/>
        <w:tblCaption w:val="Table 6-1"/>
        <w:tblDescription w:val="Table of variogram model parameters"/>
      </w:tblPr>
      <w:tblGrid>
        <w:gridCol w:w="1189"/>
        <w:gridCol w:w="1191"/>
        <w:gridCol w:w="1191"/>
        <w:gridCol w:w="1190"/>
        <w:gridCol w:w="1191"/>
        <w:gridCol w:w="1191"/>
        <w:gridCol w:w="1191"/>
        <w:gridCol w:w="1191"/>
      </w:tblGrid>
      <w:tr w:rsidR="00E920C3" w:rsidRPr="00B0618E" w14:paraId="65A202AB" w14:textId="77777777" w:rsidTr="007256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9" w:type="dxa"/>
          </w:tcPr>
          <w:p w14:paraId="6F3BAA90" w14:textId="77777777" w:rsidR="00E920C3" w:rsidRPr="00B0618E" w:rsidRDefault="00E920C3" w:rsidP="00725649">
            <w:pPr>
              <w:pStyle w:val="BodyText"/>
              <w:keepNext/>
              <w:spacing w:before="60" w:after="60"/>
              <w:rPr>
                <w:color w:val="auto"/>
                <w:sz w:val="18"/>
                <w:szCs w:val="18"/>
              </w:rPr>
            </w:pPr>
            <w:r w:rsidRPr="00B0618E">
              <w:rPr>
                <w:color w:val="auto"/>
                <w:sz w:val="18"/>
                <w:szCs w:val="18"/>
              </w:rPr>
              <w:t>Aquitard  sequence</w:t>
            </w:r>
          </w:p>
        </w:tc>
        <w:tc>
          <w:tcPr>
            <w:tcW w:w="1191" w:type="dxa"/>
          </w:tcPr>
          <w:p w14:paraId="5F0B5324" w14:textId="77777777" w:rsidR="00E920C3" w:rsidRPr="00B0618E" w:rsidRDefault="00E920C3" w:rsidP="00725649">
            <w:pPr>
              <w:pStyle w:val="BodyText"/>
              <w:keepNext/>
              <w:spacing w:before="60" w:after="60"/>
              <w:cnfStyle w:val="100000000000" w:firstRow="1"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Model               type</w:t>
            </w:r>
          </w:p>
        </w:tc>
        <w:tc>
          <w:tcPr>
            <w:tcW w:w="1191" w:type="dxa"/>
          </w:tcPr>
          <w:p w14:paraId="50817D98" w14:textId="77777777" w:rsidR="00E920C3" w:rsidRPr="00B0618E" w:rsidRDefault="00E920C3" w:rsidP="00725649">
            <w:pPr>
              <w:pStyle w:val="BodyText"/>
              <w:keepNext/>
              <w:spacing w:before="60" w:after="60"/>
              <w:cnfStyle w:val="100000000000" w:firstRow="1"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Upscaled          data type</w:t>
            </w:r>
          </w:p>
        </w:tc>
        <w:tc>
          <w:tcPr>
            <w:tcW w:w="1190" w:type="dxa"/>
          </w:tcPr>
          <w:p w14:paraId="12BC112E" w14:textId="77777777" w:rsidR="00E920C3" w:rsidRPr="00B0618E" w:rsidRDefault="00E920C3" w:rsidP="00725649">
            <w:pPr>
              <w:pStyle w:val="BodyText"/>
              <w:keepNext/>
              <w:spacing w:before="60" w:after="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Range</w:t>
            </w:r>
          </w:p>
          <w:p w14:paraId="53EBC6D6" w14:textId="77777777" w:rsidR="00E920C3" w:rsidRPr="00B0618E" w:rsidRDefault="00E920C3" w:rsidP="00725649">
            <w:pPr>
              <w:pStyle w:val="BodyText"/>
              <w:keepNext/>
              <w:spacing w:before="0" w:after="0"/>
              <w:jc w:val="center"/>
              <w:cnfStyle w:val="100000000000" w:firstRow="1" w:lastRow="0" w:firstColumn="0" w:lastColumn="0" w:oddVBand="0" w:evenVBand="0" w:oddHBand="0" w:evenHBand="0" w:firstRowFirstColumn="0" w:firstRowLastColumn="0" w:lastRowFirstColumn="0" w:lastRowLastColumn="0"/>
              <w:rPr>
                <w:color w:val="auto"/>
                <w:sz w:val="18"/>
                <w:szCs w:val="18"/>
              </w:rPr>
            </w:pPr>
          </w:p>
          <w:p w14:paraId="1737D144" w14:textId="77777777" w:rsidR="00E920C3" w:rsidRPr="00B0618E" w:rsidRDefault="00E920C3" w:rsidP="00725649">
            <w:pPr>
              <w:pStyle w:val="BodyText"/>
              <w:keepNext/>
              <w:spacing w:before="0" w:after="6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(km)</w:t>
            </w:r>
          </w:p>
        </w:tc>
        <w:tc>
          <w:tcPr>
            <w:tcW w:w="1191" w:type="dxa"/>
          </w:tcPr>
          <w:p w14:paraId="5363E928" w14:textId="77777777" w:rsidR="00E920C3" w:rsidRPr="00B0618E" w:rsidRDefault="00E920C3" w:rsidP="00725649">
            <w:pPr>
              <w:pStyle w:val="BodyText"/>
              <w:keepNext/>
              <w:spacing w:before="60" w:after="60"/>
              <w:ind w:left="170"/>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B0618E">
              <w:rPr>
                <w:color w:val="FFFFFF" w:themeColor="background1"/>
                <w:sz w:val="18"/>
                <w:szCs w:val="18"/>
              </w:rPr>
              <w:t>Practical range*  (km)</w:t>
            </w:r>
          </w:p>
        </w:tc>
        <w:tc>
          <w:tcPr>
            <w:tcW w:w="1191" w:type="dxa"/>
            <w:vAlign w:val="bottom"/>
          </w:tcPr>
          <w:p w14:paraId="3AF47A00" w14:textId="77777777" w:rsidR="00E920C3" w:rsidRPr="00B0618E" w:rsidRDefault="00E920C3" w:rsidP="00725649">
            <w:pPr>
              <w:pStyle w:val="BodyText"/>
              <w:keepNext/>
              <w:spacing w:before="60" w:after="0"/>
              <w:ind w:left="170"/>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B0618E">
              <w:rPr>
                <w:color w:val="FFFFFF" w:themeColor="background1"/>
                <w:sz w:val="18"/>
                <w:szCs w:val="18"/>
              </w:rPr>
              <w:t>Sill</w:t>
            </w:r>
          </w:p>
          <w:p w14:paraId="4FF91D01" w14:textId="77777777" w:rsidR="00E920C3" w:rsidRPr="00B0618E" w:rsidRDefault="00E920C3" w:rsidP="00725649">
            <w:pPr>
              <w:pStyle w:val="BodyText"/>
              <w:keepNext/>
              <w:spacing w:before="0" w:after="0"/>
              <w:ind w:left="170"/>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p>
          <w:p w14:paraId="22DA8263" w14:textId="77777777" w:rsidR="00E920C3" w:rsidRPr="00B0618E" w:rsidRDefault="00E920C3" w:rsidP="00725649">
            <w:pPr>
              <w:pStyle w:val="BodyText"/>
              <w:keepNext/>
              <w:spacing w:before="0" w:after="60"/>
              <w:ind w:left="170"/>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B0618E">
              <w:rPr>
                <w:color w:val="FFFFFF" w:themeColor="background1"/>
                <w:sz w:val="18"/>
                <w:szCs w:val="18"/>
              </w:rPr>
              <w:t>(m/d)</w:t>
            </w:r>
            <w:r w:rsidRPr="00B0618E">
              <w:rPr>
                <w:color w:val="FFFFFF" w:themeColor="background1"/>
                <w:sz w:val="18"/>
                <w:szCs w:val="18"/>
                <w:vertAlign w:val="superscript"/>
              </w:rPr>
              <w:t>2</w:t>
            </w:r>
          </w:p>
        </w:tc>
        <w:tc>
          <w:tcPr>
            <w:tcW w:w="1191" w:type="dxa"/>
            <w:vAlign w:val="bottom"/>
          </w:tcPr>
          <w:p w14:paraId="33C8CD55" w14:textId="77777777" w:rsidR="00E920C3" w:rsidRPr="00B0618E" w:rsidRDefault="00E920C3" w:rsidP="00725649">
            <w:pPr>
              <w:pStyle w:val="BodyText"/>
              <w:keepNext/>
              <w:spacing w:before="60" w:after="0"/>
              <w:ind w:left="170"/>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B0618E">
              <w:rPr>
                <w:color w:val="FFFFFF" w:themeColor="background1"/>
                <w:sz w:val="18"/>
                <w:szCs w:val="18"/>
              </w:rPr>
              <w:t>Nugget</w:t>
            </w:r>
          </w:p>
          <w:p w14:paraId="397A06A7" w14:textId="77777777" w:rsidR="00E920C3" w:rsidRPr="00B0618E" w:rsidRDefault="00E920C3" w:rsidP="00725649">
            <w:pPr>
              <w:pStyle w:val="BodyText"/>
              <w:keepNext/>
              <w:spacing w:before="0" w:after="0"/>
              <w:ind w:left="170"/>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p>
          <w:p w14:paraId="195E072B" w14:textId="77777777" w:rsidR="00E920C3" w:rsidRPr="00B0618E" w:rsidRDefault="00E920C3" w:rsidP="00725649">
            <w:pPr>
              <w:pStyle w:val="BodyText"/>
              <w:keepNext/>
              <w:spacing w:before="0" w:after="60"/>
              <w:ind w:left="170"/>
              <w:jc w:val="center"/>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B0618E">
              <w:rPr>
                <w:color w:val="FFFFFF" w:themeColor="background1"/>
                <w:sz w:val="18"/>
                <w:szCs w:val="18"/>
              </w:rPr>
              <w:t>(m/d)</w:t>
            </w:r>
            <w:r w:rsidRPr="00B0618E">
              <w:rPr>
                <w:color w:val="FFFFFF" w:themeColor="background1"/>
                <w:sz w:val="18"/>
                <w:szCs w:val="18"/>
                <w:vertAlign w:val="superscript"/>
              </w:rPr>
              <w:t>2</w:t>
            </w:r>
          </w:p>
        </w:tc>
        <w:tc>
          <w:tcPr>
            <w:tcW w:w="1191" w:type="dxa"/>
            <w:vAlign w:val="bottom"/>
          </w:tcPr>
          <w:p w14:paraId="4745AF92" w14:textId="77777777" w:rsidR="00E920C3" w:rsidRPr="00B0618E" w:rsidRDefault="00E920C3" w:rsidP="00725649">
            <w:pPr>
              <w:pStyle w:val="BodyText"/>
              <w:keepNext/>
              <w:spacing w:before="60" w:after="0"/>
              <w:ind w:left="17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B0618E">
              <w:rPr>
                <w:i/>
                <w:color w:val="auto"/>
                <w:sz w:val="18"/>
                <w:szCs w:val="18"/>
              </w:rPr>
              <w:t>R</w:t>
            </w:r>
            <w:r w:rsidRPr="00B0618E">
              <w:rPr>
                <w:color w:val="auto"/>
                <w:sz w:val="18"/>
                <w:szCs w:val="18"/>
                <w:vertAlign w:val="superscript"/>
              </w:rPr>
              <w:t>2</w:t>
            </w:r>
          </w:p>
          <w:p w14:paraId="576D61A8" w14:textId="77777777" w:rsidR="00E920C3" w:rsidRPr="00B0618E" w:rsidRDefault="00E920C3" w:rsidP="00725649">
            <w:pPr>
              <w:pStyle w:val="BodyText"/>
              <w:keepNext/>
              <w:spacing w:before="0" w:after="0"/>
              <w:ind w:left="170"/>
              <w:jc w:val="center"/>
              <w:cnfStyle w:val="100000000000" w:firstRow="1" w:lastRow="0" w:firstColumn="0" w:lastColumn="0" w:oddVBand="0" w:evenVBand="0" w:oddHBand="0" w:evenHBand="0" w:firstRowFirstColumn="0" w:firstRowLastColumn="0" w:lastRowFirstColumn="0" w:lastRowLastColumn="0"/>
              <w:rPr>
                <w:color w:val="auto"/>
                <w:sz w:val="18"/>
                <w:szCs w:val="18"/>
              </w:rPr>
            </w:pPr>
          </w:p>
          <w:p w14:paraId="1A486045" w14:textId="77777777" w:rsidR="00E920C3" w:rsidRPr="00B0618E" w:rsidRDefault="00E920C3" w:rsidP="00725649">
            <w:pPr>
              <w:pStyle w:val="BodyText"/>
              <w:keepNext/>
              <w:spacing w:before="0" w:after="60"/>
              <w:ind w:left="17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w:t>
            </w:r>
          </w:p>
        </w:tc>
      </w:tr>
      <w:tr w:rsidR="00E920C3" w:rsidRPr="00B0618E" w14:paraId="7B2093A0" w14:textId="77777777" w:rsidTr="00725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9" w:type="dxa"/>
          </w:tcPr>
          <w:p w14:paraId="134D3E87" w14:textId="77777777" w:rsidR="00E920C3" w:rsidRPr="00B0618E" w:rsidRDefault="00E920C3" w:rsidP="00725649">
            <w:pPr>
              <w:pStyle w:val="BodyText"/>
              <w:keepNext/>
              <w:spacing w:before="60" w:after="60"/>
              <w:rPr>
                <w:b w:val="0"/>
                <w:color w:val="auto"/>
                <w:sz w:val="18"/>
                <w:szCs w:val="18"/>
              </w:rPr>
            </w:pPr>
            <w:r w:rsidRPr="00B0618E">
              <w:rPr>
                <w:b w:val="0"/>
                <w:color w:val="auto"/>
                <w:sz w:val="18"/>
                <w:szCs w:val="18"/>
              </w:rPr>
              <w:t>Upper</w:t>
            </w:r>
          </w:p>
        </w:tc>
        <w:tc>
          <w:tcPr>
            <w:tcW w:w="1191" w:type="dxa"/>
          </w:tcPr>
          <w:p w14:paraId="156483CF" w14:textId="77777777" w:rsidR="00E920C3" w:rsidRPr="00B0618E" w:rsidRDefault="00E920C3" w:rsidP="00725649">
            <w:pPr>
              <w:pStyle w:val="BodyText"/>
              <w:keepNext/>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spherical</w:t>
            </w:r>
          </w:p>
        </w:tc>
        <w:tc>
          <w:tcPr>
            <w:tcW w:w="1191" w:type="dxa"/>
          </w:tcPr>
          <w:p w14:paraId="4C21499B" w14:textId="77777777" w:rsidR="00E920C3" w:rsidRPr="00B0618E" w:rsidRDefault="00E920C3" w:rsidP="00725649">
            <w:pPr>
              <w:pStyle w:val="BodyText"/>
              <w:keepNext/>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harmonic</w:t>
            </w:r>
          </w:p>
        </w:tc>
        <w:tc>
          <w:tcPr>
            <w:tcW w:w="1190" w:type="dxa"/>
          </w:tcPr>
          <w:p w14:paraId="34119BFF"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129</w:t>
            </w:r>
          </w:p>
        </w:tc>
        <w:tc>
          <w:tcPr>
            <w:tcW w:w="1191" w:type="dxa"/>
          </w:tcPr>
          <w:p w14:paraId="229A5390"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N/A</w:t>
            </w:r>
          </w:p>
        </w:tc>
        <w:tc>
          <w:tcPr>
            <w:tcW w:w="1191" w:type="dxa"/>
          </w:tcPr>
          <w:p w14:paraId="1584918F"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0.764</w:t>
            </w:r>
          </w:p>
        </w:tc>
        <w:tc>
          <w:tcPr>
            <w:tcW w:w="1191" w:type="dxa"/>
          </w:tcPr>
          <w:p w14:paraId="19D0D10D"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0.327</w:t>
            </w:r>
          </w:p>
        </w:tc>
        <w:tc>
          <w:tcPr>
            <w:tcW w:w="1191" w:type="dxa"/>
          </w:tcPr>
          <w:p w14:paraId="7AF098BD"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0.964</w:t>
            </w:r>
          </w:p>
        </w:tc>
      </w:tr>
      <w:tr w:rsidR="00E920C3" w:rsidRPr="00B0618E" w14:paraId="26D95281" w14:textId="77777777" w:rsidTr="00725649">
        <w:tc>
          <w:tcPr>
            <w:cnfStyle w:val="001000000000" w:firstRow="0" w:lastRow="0" w:firstColumn="1" w:lastColumn="0" w:oddVBand="0" w:evenVBand="0" w:oddHBand="0" w:evenHBand="0" w:firstRowFirstColumn="0" w:firstRowLastColumn="0" w:lastRowFirstColumn="0" w:lastRowLastColumn="0"/>
            <w:tcW w:w="1189" w:type="dxa"/>
          </w:tcPr>
          <w:p w14:paraId="2BCC62D4" w14:textId="77777777" w:rsidR="00E920C3" w:rsidRPr="00B0618E" w:rsidRDefault="00E920C3" w:rsidP="00725649">
            <w:pPr>
              <w:pStyle w:val="BodyText"/>
              <w:keepNext/>
              <w:spacing w:before="60" w:after="60"/>
              <w:rPr>
                <w:b w:val="0"/>
                <w:color w:val="auto"/>
                <w:sz w:val="18"/>
                <w:szCs w:val="18"/>
              </w:rPr>
            </w:pPr>
          </w:p>
        </w:tc>
        <w:tc>
          <w:tcPr>
            <w:tcW w:w="1191" w:type="dxa"/>
          </w:tcPr>
          <w:p w14:paraId="5AF822AD" w14:textId="77777777" w:rsidR="00E920C3" w:rsidRPr="00B0618E" w:rsidRDefault="00E920C3" w:rsidP="00725649">
            <w:pPr>
              <w:pStyle w:val="BodyText"/>
              <w:keepNext/>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p>
        </w:tc>
        <w:tc>
          <w:tcPr>
            <w:tcW w:w="1191" w:type="dxa"/>
          </w:tcPr>
          <w:p w14:paraId="7C572182" w14:textId="77777777" w:rsidR="00E920C3" w:rsidRPr="00B0618E" w:rsidRDefault="00E920C3" w:rsidP="00725649">
            <w:pPr>
              <w:pStyle w:val="BodyText"/>
              <w:keepNext/>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numerical</w:t>
            </w:r>
          </w:p>
        </w:tc>
        <w:tc>
          <w:tcPr>
            <w:tcW w:w="1190" w:type="dxa"/>
          </w:tcPr>
          <w:p w14:paraId="35AD7030"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100</w:t>
            </w:r>
          </w:p>
        </w:tc>
        <w:tc>
          <w:tcPr>
            <w:tcW w:w="1191" w:type="dxa"/>
          </w:tcPr>
          <w:p w14:paraId="59B5B3EF"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N/A</w:t>
            </w:r>
          </w:p>
        </w:tc>
        <w:tc>
          <w:tcPr>
            <w:tcW w:w="1191" w:type="dxa"/>
          </w:tcPr>
          <w:p w14:paraId="2AC4B124"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0.987</w:t>
            </w:r>
          </w:p>
        </w:tc>
        <w:tc>
          <w:tcPr>
            <w:tcW w:w="1191" w:type="dxa"/>
          </w:tcPr>
          <w:p w14:paraId="56CC7955"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0.269</w:t>
            </w:r>
          </w:p>
        </w:tc>
        <w:tc>
          <w:tcPr>
            <w:tcW w:w="1191" w:type="dxa"/>
          </w:tcPr>
          <w:p w14:paraId="7D57A81D"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0.964</w:t>
            </w:r>
          </w:p>
        </w:tc>
      </w:tr>
      <w:tr w:rsidR="00E920C3" w:rsidRPr="00B0618E" w14:paraId="679B6EF3" w14:textId="77777777" w:rsidTr="00725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9" w:type="dxa"/>
            <w:tcBorders>
              <w:bottom w:val="nil"/>
            </w:tcBorders>
          </w:tcPr>
          <w:p w14:paraId="7A3EDCFA" w14:textId="77777777" w:rsidR="00E920C3" w:rsidRPr="00B0618E" w:rsidRDefault="00E920C3" w:rsidP="00725649">
            <w:pPr>
              <w:pStyle w:val="BodyText"/>
              <w:keepNext/>
              <w:spacing w:before="60" w:after="60"/>
              <w:rPr>
                <w:b w:val="0"/>
                <w:color w:val="auto"/>
                <w:sz w:val="18"/>
                <w:szCs w:val="18"/>
              </w:rPr>
            </w:pPr>
          </w:p>
        </w:tc>
        <w:tc>
          <w:tcPr>
            <w:tcW w:w="1191" w:type="dxa"/>
            <w:tcBorders>
              <w:bottom w:val="nil"/>
            </w:tcBorders>
          </w:tcPr>
          <w:p w14:paraId="58B052E9" w14:textId="77777777" w:rsidR="00E920C3" w:rsidRPr="00B0618E" w:rsidRDefault="00E920C3" w:rsidP="00725649">
            <w:pPr>
              <w:pStyle w:val="BodyText"/>
              <w:keepNext/>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exponential</w:t>
            </w:r>
          </w:p>
        </w:tc>
        <w:tc>
          <w:tcPr>
            <w:tcW w:w="1191" w:type="dxa"/>
            <w:tcBorders>
              <w:bottom w:val="nil"/>
            </w:tcBorders>
          </w:tcPr>
          <w:p w14:paraId="7F69AAA7" w14:textId="77777777" w:rsidR="00E920C3" w:rsidRPr="00B0618E" w:rsidRDefault="00E920C3" w:rsidP="00725649">
            <w:pPr>
              <w:pStyle w:val="BodyText"/>
              <w:keepNext/>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harmonic</w:t>
            </w:r>
          </w:p>
        </w:tc>
        <w:tc>
          <w:tcPr>
            <w:tcW w:w="1190" w:type="dxa"/>
            <w:tcBorders>
              <w:bottom w:val="nil"/>
            </w:tcBorders>
          </w:tcPr>
          <w:p w14:paraId="13C4CC18"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298</w:t>
            </w:r>
          </w:p>
        </w:tc>
        <w:tc>
          <w:tcPr>
            <w:tcW w:w="1191" w:type="dxa"/>
            <w:tcBorders>
              <w:bottom w:val="nil"/>
            </w:tcBorders>
          </w:tcPr>
          <w:p w14:paraId="7FD67F45"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283</w:t>
            </w:r>
          </w:p>
        </w:tc>
        <w:tc>
          <w:tcPr>
            <w:tcW w:w="1191" w:type="dxa"/>
            <w:tcBorders>
              <w:bottom w:val="nil"/>
            </w:tcBorders>
          </w:tcPr>
          <w:p w14:paraId="62DD7000"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2.570</w:t>
            </w:r>
          </w:p>
        </w:tc>
        <w:tc>
          <w:tcPr>
            <w:tcW w:w="1191" w:type="dxa"/>
            <w:tcBorders>
              <w:bottom w:val="nil"/>
            </w:tcBorders>
          </w:tcPr>
          <w:p w14:paraId="641EAC9B"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0.337</w:t>
            </w:r>
          </w:p>
        </w:tc>
        <w:tc>
          <w:tcPr>
            <w:tcW w:w="1191" w:type="dxa"/>
            <w:tcBorders>
              <w:bottom w:val="nil"/>
            </w:tcBorders>
          </w:tcPr>
          <w:p w14:paraId="07D092C6"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0.964</w:t>
            </w:r>
          </w:p>
        </w:tc>
      </w:tr>
      <w:tr w:rsidR="00E920C3" w:rsidRPr="00B0618E" w14:paraId="3E0504D2" w14:textId="77777777" w:rsidTr="00725649">
        <w:tc>
          <w:tcPr>
            <w:cnfStyle w:val="001000000000" w:firstRow="0" w:lastRow="0" w:firstColumn="1" w:lastColumn="0" w:oddVBand="0" w:evenVBand="0" w:oddHBand="0" w:evenHBand="0" w:firstRowFirstColumn="0" w:firstRowLastColumn="0" w:lastRowFirstColumn="0" w:lastRowLastColumn="0"/>
            <w:tcW w:w="1189" w:type="dxa"/>
            <w:tcBorders>
              <w:bottom w:val="single" w:sz="4" w:space="0" w:color="auto"/>
            </w:tcBorders>
          </w:tcPr>
          <w:p w14:paraId="50FC42E2" w14:textId="77777777" w:rsidR="00E920C3" w:rsidRPr="00B0618E" w:rsidRDefault="00E920C3" w:rsidP="00725649">
            <w:pPr>
              <w:pStyle w:val="BodyText"/>
              <w:keepNext/>
              <w:spacing w:before="60" w:after="60"/>
              <w:rPr>
                <w:b w:val="0"/>
                <w:color w:val="auto"/>
                <w:sz w:val="18"/>
                <w:szCs w:val="18"/>
              </w:rPr>
            </w:pPr>
          </w:p>
        </w:tc>
        <w:tc>
          <w:tcPr>
            <w:tcW w:w="1191" w:type="dxa"/>
            <w:tcBorders>
              <w:bottom w:val="single" w:sz="4" w:space="0" w:color="auto"/>
            </w:tcBorders>
          </w:tcPr>
          <w:p w14:paraId="789EB370" w14:textId="77777777" w:rsidR="00E920C3" w:rsidRPr="00B0618E" w:rsidRDefault="00E920C3" w:rsidP="00725649">
            <w:pPr>
              <w:pStyle w:val="BodyText"/>
              <w:keepNext/>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p>
        </w:tc>
        <w:tc>
          <w:tcPr>
            <w:tcW w:w="1191" w:type="dxa"/>
            <w:tcBorders>
              <w:bottom w:val="single" w:sz="4" w:space="0" w:color="auto"/>
            </w:tcBorders>
          </w:tcPr>
          <w:p w14:paraId="7B56B9A2" w14:textId="77777777" w:rsidR="00E920C3" w:rsidRPr="00B0618E" w:rsidRDefault="00E920C3" w:rsidP="00725649">
            <w:pPr>
              <w:pStyle w:val="BodyText"/>
              <w:keepNext/>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numerical</w:t>
            </w:r>
          </w:p>
        </w:tc>
        <w:tc>
          <w:tcPr>
            <w:tcW w:w="1190" w:type="dxa"/>
            <w:tcBorders>
              <w:bottom w:val="single" w:sz="4" w:space="0" w:color="auto"/>
            </w:tcBorders>
          </w:tcPr>
          <w:p w14:paraId="491C760F"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133</w:t>
            </w:r>
          </w:p>
        </w:tc>
        <w:tc>
          <w:tcPr>
            <w:tcW w:w="1191" w:type="dxa"/>
            <w:tcBorders>
              <w:bottom w:val="single" w:sz="4" w:space="0" w:color="auto"/>
            </w:tcBorders>
          </w:tcPr>
          <w:p w14:paraId="63EA012D"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126</w:t>
            </w:r>
          </w:p>
        </w:tc>
        <w:tc>
          <w:tcPr>
            <w:tcW w:w="1191" w:type="dxa"/>
            <w:tcBorders>
              <w:bottom w:val="single" w:sz="4" w:space="0" w:color="auto"/>
            </w:tcBorders>
          </w:tcPr>
          <w:p w14:paraId="233C127C"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2.000</w:t>
            </w:r>
          </w:p>
        </w:tc>
        <w:tc>
          <w:tcPr>
            <w:tcW w:w="1191" w:type="dxa"/>
            <w:tcBorders>
              <w:bottom w:val="single" w:sz="4" w:space="0" w:color="auto"/>
            </w:tcBorders>
          </w:tcPr>
          <w:p w14:paraId="529DF18B"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0.290</w:t>
            </w:r>
          </w:p>
        </w:tc>
        <w:tc>
          <w:tcPr>
            <w:tcW w:w="1191" w:type="dxa"/>
            <w:tcBorders>
              <w:bottom w:val="single" w:sz="4" w:space="0" w:color="auto"/>
            </w:tcBorders>
          </w:tcPr>
          <w:p w14:paraId="10483AD0"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0.960</w:t>
            </w:r>
          </w:p>
        </w:tc>
      </w:tr>
      <w:tr w:rsidR="00E920C3" w:rsidRPr="00B0618E" w14:paraId="206C7F5F" w14:textId="77777777" w:rsidTr="00725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9" w:type="dxa"/>
            <w:tcBorders>
              <w:top w:val="single" w:sz="4" w:space="0" w:color="auto"/>
            </w:tcBorders>
          </w:tcPr>
          <w:p w14:paraId="6196BC29" w14:textId="77777777" w:rsidR="00E920C3" w:rsidRPr="00B0618E" w:rsidRDefault="00E920C3" w:rsidP="00725649">
            <w:pPr>
              <w:pStyle w:val="BodyText"/>
              <w:keepNext/>
              <w:spacing w:before="60" w:after="60"/>
              <w:rPr>
                <w:b w:val="0"/>
                <w:color w:val="auto"/>
                <w:sz w:val="18"/>
                <w:szCs w:val="18"/>
              </w:rPr>
            </w:pPr>
            <w:r w:rsidRPr="00B0618E">
              <w:rPr>
                <w:b w:val="0"/>
                <w:color w:val="auto"/>
                <w:sz w:val="18"/>
                <w:szCs w:val="18"/>
              </w:rPr>
              <w:t>Lower</w:t>
            </w:r>
          </w:p>
        </w:tc>
        <w:tc>
          <w:tcPr>
            <w:tcW w:w="1191" w:type="dxa"/>
            <w:tcBorders>
              <w:top w:val="single" w:sz="4" w:space="0" w:color="auto"/>
            </w:tcBorders>
          </w:tcPr>
          <w:p w14:paraId="6EBD62DC" w14:textId="77777777" w:rsidR="00E920C3" w:rsidRPr="00B0618E" w:rsidRDefault="00E920C3" w:rsidP="00725649">
            <w:pPr>
              <w:pStyle w:val="BodyText"/>
              <w:keepNext/>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spherical</w:t>
            </w:r>
          </w:p>
        </w:tc>
        <w:tc>
          <w:tcPr>
            <w:tcW w:w="1191" w:type="dxa"/>
            <w:tcBorders>
              <w:top w:val="single" w:sz="4" w:space="0" w:color="auto"/>
            </w:tcBorders>
          </w:tcPr>
          <w:p w14:paraId="72867653" w14:textId="77777777" w:rsidR="00E920C3" w:rsidRPr="00B0618E" w:rsidRDefault="00E920C3" w:rsidP="00725649">
            <w:pPr>
              <w:pStyle w:val="BodyText"/>
              <w:keepNext/>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harmonic</w:t>
            </w:r>
          </w:p>
        </w:tc>
        <w:tc>
          <w:tcPr>
            <w:tcW w:w="1190" w:type="dxa"/>
            <w:tcBorders>
              <w:top w:val="single" w:sz="4" w:space="0" w:color="auto"/>
            </w:tcBorders>
          </w:tcPr>
          <w:p w14:paraId="2B763747"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319</w:t>
            </w:r>
          </w:p>
        </w:tc>
        <w:tc>
          <w:tcPr>
            <w:tcW w:w="1191" w:type="dxa"/>
            <w:tcBorders>
              <w:top w:val="single" w:sz="4" w:space="0" w:color="auto"/>
            </w:tcBorders>
          </w:tcPr>
          <w:p w14:paraId="713372A3"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N/A</w:t>
            </w:r>
          </w:p>
        </w:tc>
        <w:tc>
          <w:tcPr>
            <w:tcW w:w="1191" w:type="dxa"/>
            <w:tcBorders>
              <w:top w:val="single" w:sz="4" w:space="0" w:color="auto"/>
            </w:tcBorders>
          </w:tcPr>
          <w:p w14:paraId="5DC1BADE"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1.320</w:t>
            </w:r>
          </w:p>
        </w:tc>
        <w:tc>
          <w:tcPr>
            <w:tcW w:w="1191" w:type="dxa"/>
            <w:tcBorders>
              <w:top w:val="single" w:sz="4" w:space="0" w:color="auto"/>
            </w:tcBorders>
          </w:tcPr>
          <w:p w14:paraId="6C2AC6F7"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0.133</w:t>
            </w:r>
          </w:p>
        </w:tc>
        <w:tc>
          <w:tcPr>
            <w:tcW w:w="1191" w:type="dxa"/>
            <w:tcBorders>
              <w:top w:val="single" w:sz="4" w:space="0" w:color="auto"/>
            </w:tcBorders>
          </w:tcPr>
          <w:p w14:paraId="401FD649"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0.947</w:t>
            </w:r>
          </w:p>
        </w:tc>
      </w:tr>
      <w:tr w:rsidR="00E920C3" w:rsidRPr="00B0618E" w14:paraId="7B856D22" w14:textId="77777777" w:rsidTr="00725649">
        <w:tc>
          <w:tcPr>
            <w:cnfStyle w:val="001000000000" w:firstRow="0" w:lastRow="0" w:firstColumn="1" w:lastColumn="0" w:oddVBand="0" w:evenVBand="0" w:oddHBand="0" w:evenHBand="0" w:firstRowFirstColumn="0" w:firstRowLastColumn="0" w:lastRowFirstColumn="0" w:lastRowLastColumn="0"/>
            <w:tcW w:w="1189" w:type="dxa"/>
          </w:tcPr>
          <w:p w14:paraId="7D5F129C" w14:textId="77777777" w:rsidR="00E920C3" w:rsidRPr="00B0618E" w:rsidRDefault="00E920C3" w:rsidP="00725649">
            <w:pPr>
              <w:pStyle w:val="BodyText"/>
              <w:keepNext/>
              <w:spacing w:before="60" w:after="60"/>
              <w:rPr>
                <w:b w:val="0"/>
                <w:color w:val="auto"/>
                <w:sz w:val="18"/>
                <w:szCs w:val="18"/>
              </w:rPr>
            </w:pPr>
          </w:p>
        </w:tc>
        <w:tc>
          <w:tcPr>
            <w:tcW w:w="1191" w:type="dxa"/>
          </w:tcPr>
          <w:p w14:paraId="4359E63B" w14:textId="77777777" w:rsidR="00E920C3" w:rsidRPr="00B0618E" w:rsidRDefault="00E920C3" w:rsidP="00725649">
            <w:pPr>
              <w:pStyle w:val="BodyText"/>
              <w:keepNext/>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p>
        </w:tc>
        <w:tc>
          <w:tcPr>
            <w:tcW w:w="1191" w:type="dxa"/>
          </w:tcPr>
          <w:p w14:paraId="6AE22D23" w14:textId="77777777" w:rsidR="00E920C3" w:rsidRPr="00B0618E" w:rsidRDefault="00E920C3" w:rsidP="00725649">
            <w:pPr>
              <w:pStyle w:val="BodyText"/>
              <w:keepNext/>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numerical</w:t>
            </w:r>
          </w:p>
        </w:tc>
        <w:tc>
          <w:tcPr>
            <w:tcW w:w="1190" w:type="dxa"/>
          </w:tcPr>
          <w:p w14:paraId="01EA9167"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128</w:t>
            </w:r>
          </w:p>
        </w:tc>
        <w:tc>
          <w:tcPr>
            <w:tcW w:w="1191" w:type="dxa"/>
          </w:tcPr>
          <w:p w14:paraId="1ED8CF4C"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N/A</w:t>
            </w:r>
          </w:p>
        </w:tc>
        <w:tc>
          <w:tcPr>
            <w:tcW w:w="1191" w:type="dxa"/>
          </w:tcPr>
          <w:p w14:paraId="7E9556E6"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0.811</w:t>
            </w:r>
          </w:p>
        </w:tc>
        <w:tc>
          <w:tcPr>
            <w:tcW w:w="1191" w:type="dxa"/>
          </w:tcPr>
          <w:p w14:paraId="4233A08D"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0.175</w:t>
            </w:r>
          </w:p>
        </w:tc>
        <w:tc>
          <w:tcPr>
            <w:tcW w:w="1191" w:type="dxa"/>
          </w:tcPr>
          <w:p w14:paraId="51A329BF"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0.985</w:t>
            </w:r>
          </w:p>
        </w:tc>
      </w:tr>
      <w:tr w:rsidR="00E920C3" w:rsidRPr="00B0618E" w14:paraId="7B196686" w14:textId="77777777" w:rsidTr="007256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89" w:type="dxa"/>
          </w:tcPr>
          <w:p w14:paraId="48B8AF02" w14:textId="77777777" w:rsidR="00E920C3" w:rsidRPr="00B0618E" w:rsidRDefault="00E920C3" w:rsidP="00725649">
            <w:pPr>
              <w:pStyle w:val="BodyText"/>
              <w:keepNext/>
              <w:spacing w:before="60" w:after="60"/>
              <w:rPr>
                <w:b w:val="0"/>
                <w:color w:val="auto"/>
                <w:sz w:val="18"/>
                <w:szCs w:val="18"/>
              </w:rPr>
            </w:pPr>
          </w:p>
        </w:tc>
        <w:tc>
          <w:tcPr>
            <w:tcW w:w="1191" w:type="dxa"/>
          </w:tcPr>
          <w:p w14:paraId="701EAABA" w14:textId="77777777" w:rsidR="00E920C3" w:rsidRPr="00B0618E" w:rsidRDefault="00E920C3" w:rsidP="00725649">
            <w:pPr>
              <w:pStyle w:val="BodyText"/>
              <w:keepNext/>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exponential</w:t>
            </w:r>
          </w:p>
        </w:tc>
        <w:tc>
          <w:tcPr>
            <w:tcW w:w="1191" w:type="dxa"/>
          </w:tcPr>
          <w:p w14:paraId="63889AF4" w14:textId="77777777" w:rsidR="00E920C3" w:rsidRPr="00B0618E" w:rsidRDefault="00E920C3" w:rsidP="00725649">
            <w:pPr>
              <w:pStyle w:val="BodyText"/>
              <w:keepNext/>
              <w:spacing w:before="60" w:after="60"/>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harmonic</w:t>
            </w:r>
          </w:p>
        </w:tc>
        <w:tc>
          <w:tcPr>
            <w:tcW w:w="1190" w:type="dxa"/>
          </w:tcPr>
          <w:p w14:paraId="0AAD6660"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43 400</w:t>
            </w:r>
          </w:p>
        </w:tc>
        <w:tc>
          <w:tcPr>
            <w:tcW w:w="1191" w:type="dxa"/>
          </w:tcPr>
          <w:p w14:paraId="393D1B49"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41 300</w:t>
            </w:r>
          </w:p>
        </w:tc>
        <w:tc>
          <w:tcPr>
            <w:tcW w:w="1191" w:type="dxa"/>
          </w:tcPr>
          <w:p w14:paraId="784C9203"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262</w:t>
            </w:r>
          </w:p>
        </w:tc>
        <w:tc>
          <w:tcPr>
            <w:tcW w:w="1191" w:type="dxa"/>
          </w:tcPr>
          <w:p w14:paraId="2C8A7CC5"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0.136</w:t>
            </w:r>
          </w:p>
        </w:tc>
        <w:tc>
          <w:tcPr>
            <w:tcW w:w="1191" w:type="dxa"/>
          </w:tcPr>
          <w:p w14:paraId="57E158D2" w14:textId="77777777" w:rsidR="00E920C3" w:rsidRPr="00B0618E" w:rsidRDefault="00E920C3" w:rsidP="00725649">
            <w:pPr>
              <w:pStyle w:val="BodyText"/>
              <w:keepNext/>
              <w:spacing w:before="60" w:after="60"/>
              <w:ind w:right="284"/>
              <w:jc w:val="right"/>
              <w:cnfStyle w:val="000000100000" w:firstRow="0" w:lastRow="0" w:firstColumn="0" w:lastColumn="0" w:oddVBand="0" w:evenVBand="0" w:oddHBand="1" w:evenHBand="0" w:firstRowFirstColumn="0" w:firstRowLastColumn="0" w:lastRowFirstColumn="0" w:lastRowLastColumn="0"/>
              <w:rPr>
                <w:color w:val="auto"/>
                <w:sz w:val="18"/>
                <w:szCs w:val="18"/>
              </w:rPr>
            </w:pPr>
            <w:r w:rsidRPr="00B0618E">
              <w:rPr>
                <w:color w:val="auto"/>
                <w:sz w:val="18"/>
                <w:szCs w:val="18"/>
              </w:rPr>
              <w:t>0.947</w:t>
            </w:r>
          </w:p>
        </w:tc>
      </w:tr>
      <w:tr w:rsidR="00E920C3" w:rsidRPr="00B0618E" w14:paraId="56B6244D" w14:textId="77777777" w:rsidTr="00725649">
        <w:tc>
          <w:tcPr>
            <w:cnfStyle w:val="001000000000" w:firstRow="0" w:lastRow="0" w:firstColumn="1" w:lastColumn="0" w:oddVBand="0" w:evenVBand="0" w:oddHBand="0" w:evenHBand="0" w:firstRowFirstColumn="0" w:firstRowLastColumn="0" w:lastRowFirstColumn="0" w:lastRowLastColumn="0"/>
            <w:tcW w:w="1189" w:type="dxa"/>
          </w:tcPr>
          <w:p w14:paraId="187F14A6" w14:textId="77777777" w:rsidR="00E920C3" w:rsidRPr="00B0618E" w:rsidRDefault="00E920C3" w:rsidP="00725649">
            <w:pPr>
              <w:pStyle w:val="BodyText"/>
              <w:keepNext/>
              <w:spacing w:before="60" w:after="60"/>
              <w:rPr>
                <w:b w:val="0"/>
                <w:color w:val="auto"/>
                <w:sz w:val="18"/>
                <w:szCs w:val="18"/>
              </w:rPr>
            </w:pPr>
          </w:p>
        </w:tc>
        <w:tc>
          <w:tcPr>
            <w:tcW w:w="1191" w:type="dxa"/>
          </w:tcPr>
          <w:p w14:paraId="5E47E26B" w14:textId="77777777" w:rsidR="00E920C3" w:rsidRPr="00B0618E" w:rsidRDefault="00E920C3" w:rsidP="00725649">
            <w:pPr>
              <w:pStyle w:val="BodyText"/>
              <w:keepNext/>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p>
        </w:tc>
        <w:tc>
          <w:tcPr>
            <w:tcW w:w="1191" w:type="dxa"/>
          </w:tcPr>
          <w:p w14:paraId="06C612F8" w14:textId="77777777" w:rsidR="00E920C3" w:rsidRPr="00B0618E" w:rsidRDefault="00E920C3" w:rsidP="00725649">
            <w:pPr>
              <w:pStyle w:val="BodyText"/>
              <w:keepNext/>
              <w:spacing w:before="60" w:after="60"/>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numerical</w:t>
            </w:r>
          </w:p>
        </w:tc>
        <w:tc>
          <w:tcPr>
            <w:tcW w:w="1190" w:type="dxa"/>
          </w:tcPr>
          <w:p w14:paraId="77D25D60"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255</w:t>
            </w:r>
          </w:p>
        </w:tc>
        <w:tc>
          <w:tcPr>
            <w:tcW w:w="1191" w:type="dxa"/>
          </w:tcPr>
          <w:p w14:paraId="5C552F4C"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242</w:t>
            </w:r>
          </w:p>
        </w:tc>
        <w:tc>
          <w:tcPr>
            <w:tcW w:w="1191" w:type="dxa"/>
          </w:tcPr>
          <w:p w14:paraId="4B046787"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2.420</w:t>
            </w:r>
          </w:p>
        </w:tc>
        <w:tc>
          <w:tcPr>
            <w:tcW w:w="1191" w:type="dxa"/>
          </w:tcPr>
          <w:p w14:paraId="0304759F"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0.183</w:t>
            </w:r>
          </w:p>
        </w:tc>
        <w:tc>
          <w:tcPr>
            <w:tcW w:w="1191" w:type="dxa"/>
          </w:tcPr>
          <w:p w14:paraId="5D21047D" w14:textId="77777777" w:rsidR="00E920C3" w:rsidRPr="00B0618E" w:rsidRDefault="00E920C3" w:rsidP="00725649">
            <w:pPr>
              <w:pStyle w:val="BodyText"/>
              <w:keepNext/>
              <w:spacing w:before="60" w:after="60"/>
              <w:ind w:right="284"/>
              <w:jc w:val="right"/>
              <w:cnfStyle w:val="000000000000" w:firstRow="0" w:lastRow="0" w:firstColumn="0" w:lastColumn="0" w:oddVBand="0" w:evenVBand="0" w:oddHBand="0" w:evenHBand="0" w:firstRowFirstColumn="0" w:firstRowLastColumn="0" w:lastRowFirstColumn="0" w:lastRowLastColumn="0"/>
              <w:rPr>
                <w:color w:val="auto"/>
                <w:sz w:val="18"/>
                <w:szCs w:val="18"/>
              </w:rPr>
            </w:pPr>
            <w:r w:rsidRPr="00B0618E">
              <w:rPr>
                <w:color w:val="auto"/>
                <w:sz w:val="18"/>
                <w:szCs w:val="18"/>
              </w:rPr>
              <w:t>0.984</w:t>
            </w:r>
          </w:p>
        </w:tc>
      </w:tr>
    </w:tbl>
    <w:p w14:paraId="025EDA78" w14:textId="77777777" w:rsidR="00E920C3" w:rsidRPr="00ED3B39" w:rsidRDefault="00E920C3" w:rsidP="00472C37">
      <w:pPr>
        <w:spacing w:before="120" w:line="264" w:lineRule="auto"/>
        <w:rPr>
          <w:color w:val="auto"/>
          <w:sz w:val="24"/>
        </w:rPr>
      </w:pPr>
    </w:p>
    <w:p w14:paraId="59085AB3" w14:textId="1C4F6D0F" w:rsidR="00C619B8" w:rsidRDefault="00892391" w:rsidP="00C619B8">
      <w:pPr>
        <w:pStyle w:val="BodyText"/>
        <w:rPr>
          <w:color w:val="auto"/>
        </w:rPr>
      </w:pPr>
      <w:r>
        <w:rPr>
          <w:color w:val="auto"/>
        </w:rPr>
        <w:t>A re-analysis of the experimental variogram for</w:t>
      </w:r>
      <w:r w:rsidR="00053FC3">
        <w:rPr>
          <w:color w:val="auto"/>
        </w:rPr>
        <w:t xml:space="preserve"> both</w:t>
      </w:r>
      <w:r>
        <w:rPr>
          <w:color w:val="auto"/>
        </w:rPr>
        <w:t xml:space="preserve"> the upper </w:t>
      </w:r>
      <w:r w:rsidR="00053FC3">
        <w:rPr>
          <w:color w:val="auto"/>
        </w:rPr>
        <w:t xml:space="preserve">and lower </w:t>
      </w:r>
      <w:r>
        <w:rPr>
          <w:color w:val="auto"/>
        </w:rPr>
        <w:t>aquitard sequence</w:t>
      </w:r>
      <w:r w:rsidR="00053FC3">
        <w:rPr>
          <w:color w:val="auto"/>
        </w:rPr>
        <w:t>s</w:t>
      </w:r>
      <w:r>
        <w:rPr>
          <w:color w:val="auto"/>
        </w:rPr>
        <w:t xml:space="preserve"> was undertaken in which data points featuring lag distances in excess of 30 km were excluded. In this way the local-scale correlation length was determined which included mainly data from the focus study area with the highest data density (see </w:t>
      </w:r>
      <w:r>
        <w:rPr>
          <w:color w:val="auto"/>
        </w:rPr>
        <w:fldChar w:fldCharType="begin"/>
      </w:r>
      <w:r>
        <w:rPr>
          <w:color w:val="auto"/>
        </w:rPr>
        <w:instrText xml:space="preserve"> REF _Ref475974521 \h </w:instrText>
      </w:r>
      <w:r>
        <w:rPr>
          <w:color w:val="auto"/>
        </w:rPr>
      </w:r>
      <w:r>
        <w:rPr>
          <w:color w:val="auto"/>
        </w:rPr>
        <w:fldChar w:fldCharType="separate"/>
      </w:r>
      <w:r w:rsidR="000B6FA5" w:rsidRPr="00B0618E">
        <w:t xml:space="preserve">Figure </w:t>
      </w:r>
      <w:r w:rsidR="000B6FA5">
        <w:rPr>
          <w:noProof/>
        </w:rPr>
        <w:t>6</w:t>
      </w:r>
      <w:r w:rsidR="000B6FA5">
        <w:noBreakHyphen/>
      </w:r>
      <w:r w:rsidR="000B6FA5">
        <w:rPr>
          <w:noProof/>
        </w:rPr>
        <w:t>1</w:t>
      </w:r>
      <w:r>
        <w:rPr>
          <w:color w:val="auto"/>
        </w:rPr>
        <w:fldChar w:fldCharType="end"/>
      </w:r>
      <w:r>
        <w:rPr>
          <w:color w:val="auto"/>
        </w:rPr>
        <w:t>).</w:t>
      </w:r>
      <w:r w:rsidR="004D0643">
        <w:rPr>
          <w:color w:val="auto"/>
        </w:rPr>
        <w:t xml:space="preserve"> </w:t>
      </w:r>
      <w:r w:rsidR="00053FC3">
        <w:rPr>
          <w:color w:val="auto"/>
        </w:rPr>
        <w:t>Based on the numerically upscaled data, the spherical sem</w:t>
      </w:r>
      <w:r w:rsidR="007B56AD">
        <w:rPr>
          <w:color w:val="auto"/>
        </w:rPr>
        <w:t>i</w:t>
      </w:r>
      <w:r w:rsidR="00053FC3">
        <w:rPr>
          <w:color w:val="auto"/>
        </w:rPr>
        <w:t>-variogram model revealed a correlation length of 20 km for the upper aquitard and 30 km for the lower aquitard. With a model domain that is approximately 230×230 km</w:t>
      </w:r>
      <w:r w:rsidR="00053FC3" w:rsidRPr="00BA7ABB">
        <w:rPr>
          <w:color w:val="auto"/>
          <w:vertAlign w:val="superscript"/>
        </w:rPr>
        <w:t>2</w:t>
      </w:r>
      <w:r w:rsidR="00053FC3">
        <w:rPr>
          <w:color w:val="auto"/>
        </w:rPr>
        <w:t xml:space="preserve">, the </w:t>
      </w:r>
      <w:r w:rsidR="00472C37">
        <w:rPr>
          <w:color w:val="auto"/>
        </w:rPr>
        <w:t xml:space="preserve">first </w:t>
      </w:r>
      <w:r w:rsidR="003C09F0">
        <w:rPr>
          <w:color w:val="auto"/>
        </w:rPr>
        <w:t xml:space="preserve">criterion of at least 25 correlation lengths within the modelling domain </w:t>
      </w:r>
      <w:r w:rsidR="00BA7ABB">
        <w:rPr>
          <w:color w:val="auto"/>
        </w:rPr>
        <w:t>is not e</w:t>
      </w:r>
      <w:r w:rsidR="007B56AD">
        <w:rPr>
          <w:color w:val="auto"/>
        </w:rPr>
        <w:t xml:space="preserve">ntirely satisfied. Nevertheless, with about half the required number of correlation lengths included in the flow model, the number of realizations required to derive meaningful statistics is not expected to be excessive. </w:t>
      </w:r>
      <w:r w:rsidR="00226AA4">
        <w:rPr>
          <w:color w:val="auto"/>
        </w:rPr>
        <w:t>Therefore, i</w:t>
      </w:r>
      <w:r w:rsidR="007B56AD">
        <w:rPr>
          <w:color w:val="auto"/>
        </w:rPr>
        <w:t xml:space="preserve">n the subsequent section, a total of 50 realizations has been generated </w:t>
      </w:r>
      <w:r w:rsidR="00226AA4">
        <w:rPr>
          <w:color w:val="auto"/>
        </w:rPr>
        <w:t>for subsequent flow modelling.</w:t>
      </w:r>
      <w:r w:rsidR="00472C37">
        <w:rPr>
          <w:color w:val="auto"/>
        </w:rPr>
        <w:t xml:space="preserve"> As to the second criterion, there should be four nodes every 20 km (i.e. correlation length). </w:t>
      </w:r>
      <w:r w:rsidR="00E920C3">
        <w:rPr>
          <w:color w:val="auto"/>
        </w:rPr>
        <w:t>For the minimum grid size of 1×1 km</w:t>
      </w:r>
      <w:r w:rsidR="00E920C3" w:rsidRPr="00472C37">
        <w:rPr>
          <w:color w:val="auto"/>
          <w:vertAlign w:val="superscript"/>
        </w:rPr>
        <w:t>2</w:t>
      </w:r>
      <w:r w:rsidR="00E920C3">
        <w:rPr>
          <w:color w:val="auto"/>
          <w:vertAlign w:val="superscript"/>
        </w:rPr>
        <w:t xml:space="preserve"> </w:t>
      </w:r>
      <w:r w:rsidR="00E920C3" w:rsidRPr="00E920C3">
        <w:rPr>
          <w:color w:val="auto"/>
        </w:rPr>
        <w:t xml:space="preserve">there </w:t>
      </w:r>
      <w:r w:rsidR="00E920C3">
        <w:rPr>
          <w:color w:val="auto"/>
        </w:rPr>
        <w:t xml:space="preserve">were 20 nodes per correlation length, thus satisfying the second criterion. </w:t>
      </w:r>
      <w:r w:rsidR="00472C37">
        <w:rPr>
          <w:color w:val="auto"/>
        </w:rPr>
        <w:t>Th</w:t>
      </w:r>
      <w:r w:rsidR="00E920C3">
        <w:rPr>
          <w:color w:val="auto"/>
        </w:rPr>
        <w:t>e criterion is also satisfied for</w:t>
      </w:r>
      <w:r w:rsidR="00472C37">
        <w:rPr>
          <w:color w:val="auto"/>
        </w:rPr>
        <w:t xml:space="preserve"> the largest grid size</w:t>
      </w:r>
      <w:r w:rsidR="00E920C3">
        <w:rPr>
          <w:color w:val="auto"/>
        </w:rPr>
        <w:t>, i.e.,</w:t>
      </w:r>
      <w:r w:rsidR="00472C37">
        <w:rPr>
          <w:color w:val="auto"/>
        </w:rPr>
        <w:t xml:space="preserve"> 5×5 km</w:t>
      </w:r>
      <w:r w:rsidR="00472C37" w:rsidRPr="00472C37">
        <w:rPr>
          <w:color w:val="auto"/>
          <w:vertAlign w:val="superscript"/>
        </w:rPr>
        <w:t>2</w:t>
      </w:r>
      <w:r w:rsidR="00472C37">
        <w:rPr>
          <w:color w:val="auto"/>
        </w:rPr>
        <w:t>.</w:t>
      </w:r>
      <w:r w:rsidR="007B2B19">
        <w:rPr>
          <w:color w:val="auto"/>
        </w:rPr>
        <w:t xml:space="preserve"> </w:t>
      </w:r>
    </w:p>
    <w:p w14:paraId="0A761F22" w14:textId="77777777" w:rsidR="00C619B8" w:rsidRPr="00B0618E" w:rsidRDefault="00C619B8" w:rsidP="00C619B8">
      <w:pPr>
        <w:pStyle w:val="Heading2"/>
      </w:pPr>
      <w:bookmarkStart w:id="177" w:name="_Ref479509538"/>
      <w:bookmarkStart w:id="178" w:name="_Toc483127586"/>
      <w:r w:rsidRPr="00B0618E">
        <w:t>Stochastic generation of spatially distributed parameter fields</w:t>
      </w:r>
      <w:bookmarkEnd w:id="177"/>
      <w:bookmarkEnd w:id="178"/>
    </w:p>
    <w:p w14:paraId="7EC2556A" w14:textId="09BFF43E" w:rsidR="008B02E3" w:rsidRPr="00B0618E" w:rsidRDefault="00C619B8" w:rsidP="00C619B8">
      <w:pPr>
        <w:spacing w:before="120" w:line="264" w:lineRule="auto"/>
        <w:rPr>
          <w:color w:val="auto"/>
          <w:sz w:val="24"/>
        </w:rPr>
      </w:pPr>
      <w:r w:rsidRPr="00B0618E">
        <w:rPr>
          <w:color w:val="auto"/>
          <w:sz w:val="24"/>
        </w:rPr>
        <w:t xml:space="preserve">Geostatistical characterisation of the spatial variability of the upper and lower aquitard sequences, as described above, enabled the stochastic generation of spatial distributions of vertical hydraulic conductivity. In comparison to the generation of uniform parameter fields, these heterogeneous fields provided a means of investigating the effects of spatial parameter variability on the four predictions of interest. Heterogeneous parameter fields were generated according to the relevant spherical variogram model and were conditioned to the relevant observations of vertical hydraulic conductivity. A </w:t>
      </w:r>
      <w:r w:rsidR="000C2221" w:rsidRPr="00B0618E">
        <w:rPr>
          <w:color w:val="auto"/>
          <w:sz w:val="24"/>
        </w:rPr>
        <w:t xml:space="preserve">conditional </w:t>
      </w:r>
      <w:r w:rsidRPr="00B0618E">
        <w:rPr>
          <w:color w:val="auto"/>
          <w:sz w:val="24"/>
        </w:rPr>
        <w:t xml:space="preserve">Sequential Gaussian Simulation algorithm, which used ordinary kriging to interpolate between populated cell values, was used to generate </w:t>
      </w:r>
      <w:r w:rsidR="00EA33DC" w:rsidRPr="00B0618E">
        <w:rPr>
          <w:color w:val="auto"/>
          <w:sz w:val="24"/>
        </w:rPr>
        <w:t xml:space="preserve">multiple and equally probable </w:t>
      </w:r>
      <w:r w:rsidRPr="00B0618E">
        <w:rPr>
          <w:color w:val="auto"/>
          <w:sz w:val="24"/>
        </w:rPr>
        <w:t>parameter fields</w:t>
      </w:r>
      <w:r w:rsidR="00EA33DC" w:rsidRPr="00B0618E">
        <w:rPr>
          <w:color w:val="auto"/>
          <w:sz w:val="24"/>
        </w:rPr>
        <w:t xml:space="preserve"> or realisations</w:t>
      </w:r>
      <w:r w:rsidRPr="00B0618E">
        <w:rPr>
          <w:color w:val="auto"/>
          <w:sz w:val="24"/>
        </w:rPr>
        <w:t xml:space="preserve">. </w:t>
      </w:r>
      <w:r w:rsidR="008B02E3" w:rsidRPr="00B0618E">
        <w:rPr>
          <w:color w:val="auto"/>
          <w:sz w:val="24"/>
        </w:rPr>
        <w:t>The conditional simulation approach takes into account the spatial variation of actual data at sampled locations</w:t>
      </w:r>
      <w:r w:rsidR="00214E3B" w:rsidRPr="00B0618E">
        <w:rPr>
          <w:color w:val="auto"/>
          <w:sz w:val="24"/>
        </w:rPr>
        <w:t xml:space="preserve">, while </w:t>
      </w:r>
      <w:r w:rsidR="008B02E3" w:rsidRPr="00B0618E">
        <w:rPr>
          <w:color w:val="auto"/>
          <w:sz w:val="24"/>
        </w:rPr>
        <w:t>the variation of estimates at unsampled locations</w:t>
      </w:r>
      <w:r w:rsidR="00091D49" w:rsidRPr="00B0618E">
        <w:rPr>
          <w:color w:val="auto"/>
          <w:sz w:val="24"/>
        </w:rPr>
        <w:t xml:space="preserve"> is </w:t>
      </w:r>
      <w:r w:rsidR="00214E3B" w:rsidRPr="00B0618E">
        <w:rPr>
          <w:color w:val="auto"/>
          <w:sz w:val="24"/>
        </w:rPr>
        <w:t xml:space="preserve">interpolated using </w:t>
      </w:r>
      <w:r w:rsidR="00091D49" w:rsidRPr="00B0618E">
        <w:rPr>
          <w:color w:val="auto"/>
          <w:sz w:val="24"/>
        </w:rPr>
        <w:t>kriging</w:t>
      </w:r>
      <w:r w:rsidR="00214E3B" w:rsidRPr="00B0618E">
        <w:rPr>
          <w:color w:val="auto"/>
          <w:sz w:val="24"/>
        </w:rPr>
        <w:t xml:space="preserve">. </w:t>
      </w:r>
      <w:r w:rsidR="008B02E3" w:rsidRPr="00B0618E">
        <w:rPr>
          <w:color w:val="auto"/>
          <w:sz w:val="24"/>
        </w:rPr>
        <w:t xml:space="preserve">Conditional stochastic simulation reproduces the statistics </w:t>
      </w:r>
      <w:r w:rsidR="002103DA" w:rsidRPr="00B0618E">
        <w:rPr>
          <w:color w:val="auto"/>
          <w:sz w:val="24"/>
        </w:rPr>
        <w:t xml:space="preserve">of a given sample set </w:t>
      </w:r>
      <w:r w:rsidR="008B02E3" w:rsidRPr="00B0618E">
        <w:rPr>
          <w:color w:val="auto"/>
          <w:sz w:val="24"/>
        </w:rPr>
        <w:t>(</w:t>
      </w:r>
      <w:r w:rsidR="002103DA" w:rsidRPr="00B0618E">
        <w:rPr>
          <w:color w:val="auto"/>
          <w:sz w:val="24"/>
        </w:rPr>
        <w:t xml:space="preserve">e.g., </w:t>
      </w:r>
      <w:r w:rsidR="00214E3B" w:rsidRPr="00B0618E">
        <w:rPr>
          <w:color w:val="auto"/>
          <w:sz w:val="24"/>
        </w:rPr>
        <w:t xml:space="preserve">the </w:t>
      </w:r>
      <w:r w:rsidR="008B02E3" w:rsidRPr="00B0618E">
        <w:rPr>
          <w:color w:val="auto"/>
          <w:sz w:val="24"/>
        </w:rPr>
        <w:t xml:space="preserve">histogram </w:t>
      </w:r>
      <w:r w:rsidR="00214E3B" w:rsidRPr="00B0618E">
        <w:rPr>
          <w:color w:val="auto"/>
          <w:sz w:val="24"/>
        </w:rPr>
        <w:t xml:space="preserve">of values </w:t>
      </w:r>
      <w:r w:rsidR="008B02E3" w:rsidRPr="00B0618E">
        <w:rPr>
          <w:color w:val="auto"/>
          <w:sz w:val="24"/>
        </w:rPr>
        <w:t xml:space="preserve">and </w:t>
      </w:r>
      <w:r w:rsidR="00214E3B" w:rsidRPr="00B0618E">
        <w:rPr>
          <w:color w:val="auto"/>
          <w:sz w:val="24"/>
        </w:rPr>
        <w:t xml:space="preserve">the specified </w:t>
      </w:r>
      <w:r w:rsidR="008B02E3" w:rsidRPr="00B0618E">
        <w:rPr>
          <w:color w:val="auto"/>
          <w:sz w:val="24"/>
        </w:rPr>
        <w:t xml:space="preserve">model of spatial </w:t>
      </w:r>
      <w:r w:rsidR="002103DA" w:rsidRPr="00B0618E">
        <w:rPr>
          <w:color w:val="auto"/>
          <w:sz w:val="24"/>
        </w:rPr>
        <w:t>correlation</w:t>
      </w:r>
      <w:r w:rsidR="008B02E3" w:rsidRPr="00B0618E">
        <w:rPr>
          <w:color w:val="auto"/>
          <w:sz w:val="24"/>
        </w:rPr>
        <w:t xml:space="preserve">, </w:t>
      </w:r>
      <w:r w:rsidR="002103DA" w:rsidRPr="00B0618E">
        <w:rPr>
          <w:color w:val="auto"/>
          <w:sz w:val="24"/>
        </w:rPr>
        <w:t>such as a</w:t>
      </w:r>
      <w:r w:rsidR="008B02E3" w:rsidRPr="00B0618E">
        <w:rPr>
          <w:color w:val="auto"/>
          <w:sz w:val="24"/>
        </w:rPr>
        <w:t xml:space="preserve"> semi</w:t>
      </w:r>
      <w:r w:rsidR="00133958" w:rsidRPr="00B0618E">
        <w:rPr>
          <w:color w:val="auto"/>
          <w:sz w:val="24"/>
        </w:rPr>
        <w:t>-</w:t>
      </w:r>
      <w:r w:rsidR="008B02E3" w:rsidRPr="00B0618E">
        <w:rPr>
          <w:color w:val="auto"/>
          <w:sz w:val="24"/>
        </w:rPr>
        <w:t>variogram model)</w:t>
      </w:r>
      <w:r w:rsidR="002103DA" w:rsidRPr="00B0618E">
        <w:rPr>
          <w:color w:val="auto"/>
          <w:sz w:val="24"/>
        </w:rPr>
        <w:t xml:space="preserve"> while</w:t>
      </w:r>
      <w:r w:rsidR="00214E3B" w:rsidRPr="00B0618E">
        <w:rPr>
          <w:color w:val="auto"/>
          <w:sz w:val="24"/>
        </w:rPr>
        <w:t>,</w:t>
      </w:r>
      <w:r w:rsidR="002103DA" w:rsidRPr="00B0618E">
        <w:rPr>
          <w:color w:val="auto"/>
          <w:sz w:val="24"/>
        </w:rPr>
        <w:t xml:space="preserve"> </w:t>
      </w:r>
      <w:r w:rsidR="00214E3B" w:rsidRPr="00B0618E">
        <w:rPr>
          <w:color w:val="auto"/>
          <w:sz w:val="24"/>
        </w:rPr>
        <w:t xml:space="preserve">for cases in which the nugget value is zero, </w:t>
      </w:r>
      <w:r w:rsidR="002103DA" w:rsidRPr="00B0618E">
        <w:rPr>
          <w:color w:val="auto"/>
          <w:sz w:val="24"/>
        </w:rPr>
        <w:t xml:space="preserve">honouring data values </w:t>
      </w:r>
      <w:r w:rsidR="008B02E3" w:rsidRPr="00B0618E">
        <w:rPr>
          <w:color w:val="auto"/>
          <w:sz w:val="24"/>
        </w:rPr>
        <w:t xml:space="preserve">at their </w:t>
      </w:r>
      <w:r w:rsidR="002103DA" w:rsidRPr="00B0618E">
        <w:rPr>
          <w:color w:val="auto"/>
          <w:sz w:val="24"/>
        </w:rPr>
        <w:t xml:space="preserve">sampled </w:t>
      </w:r>
      <w:r w:rsidR="008B02E3" w:rsidRPr="00B0618E">
        <w:rPr>
          <w:color w:val="auto"/>
          <w:sz w:val="24"/>
        </w:rPr>
        <w:t>locations</w:t>
      </w:r>
      <w:r w:rsidR="00214E3B" w:rsidRPr="00B0618E">
        <w:rPr>
          <w:color w:val="auto"/>
          <w:sz w:val="24"/>
        </w:rPr>
        <w:t>. I</w:t>
      </w:r>
      <w:r w:rsidR="00091D49" w:rsidRPr="00B0618E">
        <w:rPr>
          <w:color w:val="auto"/>
          <w:sz w:val="24"/>
        </w:rPr>
        <w:t xml:space="preserve">n cases where the nugget </w:t>
      </w:r>
      <w:r w:rsidR="00214E3B" w:rsidRPr="00B0618E">
        <w:rPr>
          <w:color w:val="auto"/>
          <w:sz w:val="24"/>
        </w:rPr>
        <w:t xml:space="preserve">value </w:t>
      </w:r>
      <w:r w:rsidR="00091D49" w:rsidRPr="00B0618E">
        <w:rPr>
          <w:color w:val="auto"/>
          <w:sz w:val="24"/>
        </w:rPr>
        <w:t xml:space="preserve">is </w:t>
      </w:r>
      <w:r w:rsidR="00214E3B" w:rsidRPr="00B0618E">
        <w:rPr>
          <w:color w:val="auto"/>
          <w:sz w:val="24"/>
        </w:rPr>
        <w:t>non-</w:t>
      </w:r>
      <w:r w:rsidR="00091D49" w:rsidRPr="00B0618E">
        <w:rPr>
          <w:color w:val="auto"/>
          <w:sz w:val="24"/>
        </w:rPr>
        <w:t>zero</w:t>
      </w:r>
      <w:r w:rsidR="00214E3B" w:rsidRPr="00B0618E">
        <w:rPr>
          <w:color w:val="auto"/>
          <w:sz w:val="24"/>
        </w:rPr>
        <w:t>, values at sampled locations will vary according to the degree of inherent variability described by the nugget effect</w:t>
      </w:r>
      <w:r w:rsidR="00091D49" w:rsidRPr="00B0618E">
        <w:rPr>
          <w:color w:val="auto"/>
          <w:sz w:val="24"/>
        </w:rPr>
        <w:t xml:space="preserve">. </w:t>
      </w:r>
      <w:r w:rsidR="00CF0E8C" w:rsidRPr="00B0618E">
        <w:rPr>
          <w:color w:val="auto"/>
          <w:sz w:val="24"/>
        </w:rPr>
        <w:t>The software utility FIELDGEN (WNC, 2016) was used to undertake spatial field generation.</w:t>
      </w:r>
    </w:p>
    <w:p w14:paraId="709508C1" w14:textId="3FC69678" w:rsidR="00C619B8" w:rsidRDefault="00C619B8" w:rsidP="00C619B8">
      <w:pPr>
        <w:spacing w:before="120" w:line="264" w:lineRule="auto"/>
        <w:rPr>
          <w:color w:val="auto"/>
          <w:sz w:val="24"/>
        </w:rPr>
      </w:pPr>
      <w:r w:rsidRPr="00B0618E">
        <w:rPr>
          <w:color w:val="auto"/>
          <w:sz w:val="24"/>
        </w:rPr>
        <w:t xml:space="preserve">Two </w:t>
      </w:r>
      <w:r w:rsidR="0034157C" w:rsidRPr="00B0618E">
        <w:rPr>
          <w:color w:val="auto"/>
          <w:sz w:val="24"/>
        </w:rPr>
        <w:t xml:space="preserve">example aquitard </w:t>
      </w:r>
      <w:r w:rsidR="0034157C" w:rsidRPr="00B0618E">
        <w:rPr>
          <w:i/>
          <w:color w:val="auto"/>
          <w:sz w:val="24"/>
        </w:rPr>
        <w:t>K</w:t>
      </w:r>
      <w:r w:rsidR="0034157C" w:rsidRPr="00B0618E">
        <w:rPr>
          <w:i/>
          <w:color w:val="auto"/>
          <w:sz w:val="24"/>
          <w:vertAlign w:val="subscript"/>
        </w:rPr>
        <w:t>V</w:t>
      </w:r>
      <w:r w:rsidR="0034157C" w:rsidRPr="00B0618E">
        <w:rPr>
          <w:color w:val="auto"/>
          <w:sz w:val="24"/>
        </w:rPr>
        <w:t xml:space="preserve"> spatial distributions </w:t>
      </w:r>
      <w:r w:rsidRPr="00B0618E">
        <w:rPr>
          <w:color w:val="auto"/>
          <w:sz w:val="24"/>
        </w:rPr>
        <w:t xml:space="preserve">are presented in </w:t>
      </w:r>
      <w:r w:rsidRPr="00B0618E">
        <w:rPr>
          <w:rStyle w:val="BodyTextChar"/>
        </w:rPr>
        <w:fldChar w:fldCharType="begin"/>
      </w:r>
      <w:r w:rsidRPr="00B0618E">
        <w:rPr>
          <w:rStyle w:val="BodyTextChar"/>
        </w:rPr>
        <w:instrText xml:space="preserve"> REF _Ref475111793 \h </w:instrText>
      </w:r>
      <w:r w:rsidR="001E7CE9" w:rsidRPr="00B0618E">
        <w:rPr>
          <w:rStyle w:val="BodyTextChar"/>
        </w:rPr>
        <w:instrText xml:space="preserve"> \* MERGEFORMAT </w:instrText>
      </w:r>
      <w:r w:rsidRPr="00B0618E">
        <w:rPr>
          <w:rStyle w:val="BodyTextChar"/>
        </w:rPr>
      </w:r>
      <w:r w:rsidRPr="00B0618E">
        <w:rPr>
          <w:rStyle w:val="BodyTextChar"/>
        </w:rPr>
        <w:fldChar w:fldCharType="separate"/>
      </w:r>
      <w:r w:rsidR="000B6FA5" w:rsidRPr="000B6FA5">
        <w:rPr>
          <w:rStyle w:val="BodyTextChar"/>
        </w:rPr>
        <w:t>Figure 6</w:t>
      </w:r>
      <w:r w:rsidR="000B6FA5" w:rsidRPr="000B6FA5">
        <w:rPr>
          <w:rStyle w:val="BodyTextChar"/>
        </w:rPr>
        <w:noBreakHyphen/>
        <w:t>7</w:t>
      </w:r>
      <w:r w:rsidRPr="00B0618E">
        <w:rPr>
          <w:rStyle w:val="BodyTextChar"/>
        </w:rPr>
        <w:fldChar w:fldCharType="end"/>
      </w:r>
      <w:r w:rsidRPr="00B0618E">
        <w:rPr>
          <w:rStyle w:val="BodyTextChar"/>
        </w:rPr>
        <w:t>.</w:t>
      </w:r>
      <w:r w:rsidR="001E7CE9" w:rsidRPr="00B0618E">
        <w:rPr>
          <w:color w:val="auto"/>
          <w:sz w:val="24"/>
        </w:rPr>
        <w:t xml:space="preserve"> </w:t>
      </w:r>
      <w:r w:rsidR="00341064">
        <w:rPr>
          <w:color w:val="auto"/>
          <w:sz w:val="24"/>
        </w:rPr>
        <w:t xml:space="preserve">Note that only lateral spatial heterogeneity is represented for each aquitard sequence: the vertical heterogeneity is replaced by the upscaled </w:t>
      </w:r>
      <w:r w:rsidR="00341064" w:rsidRPr="00341064">
        <w:rPr>
          <w:i/>
          <w:color w:val="auto"/>
          <w:sz w:val="24"/>
        </w:rPr>
        <w:t>K</w:t>
      </w:r>
      <w:r w:rsidR="00341064" w:rsidRPr="00341064">
        <w:rPr>
          <w:color w:val="auto"/>
          <w:sz w:val="24"/>
          <w:vertAlign w:val="subscript"/>
        </w:rPr>
        <w:t>V</w:t>
      </w:r>
      <w:r w:rsidR="00341064">
        <w:rPr>
          <w:color w:val="auto"/>
          <w:sz w:val="24"/>
        </w:rPr>
        <w:t xml:space="preserve"> value. </w:t>
      </w:r>
      <w:r w:rsidR="0034157C" w:rsidRPr="00B0618E">
        <w:rPr>
          <w:color w:val="auto"/>
          <w:sz w:val="24"/>
        </w:rPr>
        <w:t>It should be n</w:t>
      </w:r>
      <w:r w:rsidR="001135B5" w:rsidRPr="00B0618E">
        <w:rPr>
          <w:color w:val="auto"/>
          <w:sz w:val="24"/>
        </w:rPr>
        <w:t>ote</w:t>
      </w:r>
      <w:r w:rsidR="0034157C" w:rsidRPr="00B0618E">
        <w:rPr>
          <w:color w:val="auto"/>
          <w:sz w:val="24"/>
        </w:rPr>
        <w:t>d</w:t>
      </w:r>
      <w:r w:rsidR="001135B5" w:rsidRPr="00B0618E">
        <w:rPr>
          <w:color w:val="auto"/>
          <w:sz w:val="24"/>
        </w:rPr>
        <w:t xml:space="preserve"> that individual </w:t>
      </w:r>
      <w:r w:rsidR="0034157C" w:rsidRPr="00B0618E">
        <w:rPr>
          <w:color w:val="auto"/>
          <w:sz w:val="24"/>
        </w:rPr>
        <w:t xml:space="preserve">stochastic </w:t>
      </w:r>
      <w:r w:rsidR="001135B5" w:rsidRPr="00B0618E">
        <w:rPr>
          <w:color w:val="auto"/>
          <w:sz w:val="24"/>
        </w:rPr>
        <w:t xml:space="preserve">realisations </w:t>
      </w:r>
      <w:r w:rsidR="0034157C" w:rsidRPr="00B0618E">
        <w:rPr>
          <w:color w:val="auto"/>
          <w:sz w:val="24"/>
        </w:rPr>
        <w:t xml:space="preserve">may </w:t>
      </w:r>
      <w:r w:rsidR="001135B5" w:rsidRPr="00B0618E">
        <w:rPr>
          <w:color w:val="auto"/>
          <w:sz w:val="24"/>
        </w:rPr>
        <w:t xml:space="preserve">differ significantly from </w:t>
      </w:r>
      <w:r w:rsidR="0034157C" w:rsidRPr="00B0618E">
        <w:rPr>
          <w:color w:val="auto"/>
          <w:sz w:val="24"/>
        </w:rPr>
        <w:t>one</w:t>
      </w:r>
      <w:r w:rsidR="001135B5" w:rsidRPr="00B0618E">
        <w:rPr>
          <w:color w:val="auto"/>
          <w:sz w:val="24"/>
        </w:rPr>
        <w:t xml:space="preserve"> </w:t>
      </w:r>
      <w:r w:rsidR="0034157C" w:rsidRPr="00B0618E">
        <w:rPr>
          <w:color w:val="auto"/>
          <w:sz w:val="24"/>
        </w:rPr>
        <w:t>an</w:t>
      </w:r>
      <w:r w:rsidR="001135B5" w:rsidRPr="00B0618E">
        <w:rPr>
          <w:color w:val="auto"/>
          <w:sz w:val="24"/>
        </w:rPr>
        <w:t>other</w:t>
      </w:r>
      <w:r w:rsidR="0025619A" w:rsidRPr="00B0618E">
        <w:rPr>
          <w:color w:val="auto"/>
          <w:sz w:val="24"/>
        </w:rPr>
        <w:t>,</w:t>
      </w:r>
      <w:r w:rsidR="001135B5" w:rsidRPr="00B0618E">
        <w:rPr>
          <w:color w:val="auto"/>
          <w:sz w:val="24"/>
        </w:rPr>
        <w:t xml:space="preserve"> even </w:t>
      </w:r>
      <w:r w:rsidR="0025619A" w:rsidRPr="00B0618E">
        <w:rPr>
          <w:color w:val="auto"/>
          <w:sz w:val="24"/>
        </w:rPr>
        <w:t xml:space="preserve">while </w:t>
      </w:r>
      <w:r w:rsidR="001135B5" w:rsidRPr="00B0618E">
        <w:rPr>
          <w:color w:val="auto"/>
          <w:sz w:val="24"/>
        </w:rPr>
        <w:t xml:space="preserve">the underlying statistical </w:t>
      </w:r>
      <w:r w:rsidR="0025619A" w:rsidRPr="00B0618E">
        <w:rPr>
          <w:color w:val="auto"/>
          <w:sz w:val="24"/>
        </w:rPr>
        <w:t xml:space="preserve">correlation </w:t>
      </w:r>
      <w:r w:rsidR="001135B5" w:rsidRPr="00B0618E">
        <w:rPr>
          <w:color w:val="auto"/>
          <w:sz w:val="24"/>
        </w:rPr>
        <w:t>structure</w:t>
      </w:r>
      <w:r w:rsidR="0025619A" w:rsidRPr="00B0618E">
        <w:rPr>
          <w:color w:val="auto"/>
          <w:sz w:val="24"/>
        </w:rPr>
        <w:t xml:space="preserve"> remains the same</w:t>
      </w:r>
      <w:r w:rsidR="001135B5" w:rsidRPr="00B0618E">
        <w:rPr>
          <w:color w:val="auto"/>
          <w:sz w:val="24"/>
        </w:rPr>
        <w:t xml:space="preserve">. </w:t>
      </w:r>
      <w:r w:rsidR="0025619A" w:rsidRPr="00B0618E">
        <w:rPr>
          <w:color w:val="auto"/>
          <w:sz w:val="24"/>
        </w:rPr>
        <w:t xml:space="preserve">Statistics of the </w:t>
      </w:r>
      <w:r w:rsidR="00B16E87" w:rsidRPr="00B0618E">
        <w:rPr>
          <w:color w:val="auto"/>
          <w:sz w:val="24"/>
        </w:rPr>
        <w:t xml:space="preserve">equivalent aquitard </w:t>
      </w:r>
      <w:r w:rsidR="00B16E87" w:rsidRPr="00B0618E">
        <w:rPr>
          <w:i/>
          <w:color w:val="auto"/>
          <w:sz w:val="24"/>
        </w:rPr>
        <w:t>K</w:t>
      </w:r>
      <w:r w:rsidR="00B16E87" w:rsidRPr="00B0618E">
        <w:rPr>
          <w:i/>
          <w:color w:val="auto"/>
          <w:sz w:val="24"/>
          <w:vertAlign w:val="subscript"/>
        </w:rPr>
        <w:t>V</w:t>
      </w:r>
      <w:r w:rsidR="00B16E87" w:rsidRPr="00B0618E">
        <w:rPr>
          <w:color w:val="auto"/>
          <w:sz w:val="24"/>
        </w:rPr>
        <w:t xml:space="preserve"> values of the </w:t>
      </w:r>
      <w:r w:rsidR="0025619A" w:rsidRPr="00B0618E">
        <w:rPr>
          <w:color w:val="auto"/>
          <w:sz w:val="24"/>
        </w:rPr>
        <w:t xml:space="preserve">50 spatial distributions generated for the upper and lower aquitard sequences are summarised in </w:t>
      </w:r>
      <w:r w:rsidR="0025619A" w:rsidRPr="00B0618E">
        <w:rPr>
          <w:color w:val="auto"/>
          <w:sz w:val="24"/>
        </w:rPr>
        <w:fldChar w:fldCharType="begin"/>
      </w:r>
      <w:r w:rsidR="0025619A" w:rsidRPr="00B0618E">
        <w:rPr>
          <w:color w:val="auto"/>
          <w:sz w:val="24"/>
        </w:rPr>
        <w:instrText xml:space="preserve"> REF _Ref478139291 \h </w:instrText>
      </w:r>
      <w:r w:rsidR="00B0618E">
        <w:rPr>
          <w:color w:val="auto"/>
          <w:sz w:val="24"/>
        </w:rPr>
        <w:instrText xml:space="preserve"> \* MERGEFORMAT </w:instrText>
      </w:r>
      <w:r w:rsidR="0025619A" w:rsidRPr="00B0618E">
        <w:rPr>
          <w:color w:val="auto"/>
          <w:sz w:val="24"/>
        </w:rPr>
      </w:r>
      <w:r w:rsidR="0025619A" w:rsidRPr="00B0618E">
        <w:rPr>
          <w:color w:val="auto"/>
          <w:sz w:val="24"/>
        </w:rPr>
        <w:fldChar w:fldCharType="separate"/>
      </w:r>
      <w:r w:rsidR="000B6FA5" w:rsidRPr="000B6FA5">
        <w:rPr>
          <w:color w:val="auto"/>
          <w:sz w:val="24"/>
        </w:rPr>
        <w:t>Table 6</w:t>
      </w:r>
      <w:r w:rsidR="000B6FA5" w:rsidRPr="000B6FA5">
        <w:rPr>
          <w:color w:val="auto"/>
          <w:sz w:val="24"/>
        </w:rPr>
        <w:noBreakHyphen/>
        <w:t>2</w:t>
      </w:r>
      <w:r w:rsidR="0025619A" w:rsidRPr="00B0618E">
        <w:rPr>
          <w:color w:val="auto"/>
          <w:sz w:val="24"/>
        </w:rPr>
        <w:fldChar w:fldCharType="end"/>
      </w:r>
      <w:r w:rsidR="0025619A" w:rsidRPr="00B0618E">
        <w:rPr>
          <w:color w:val="auto"/>
          <w:sz w:val="24"/>
        </w:rPr>
        <w:t>.</w:t>
      </w:r>
    </w:p>
    <w:p w14:paraId="1AE230D5" w14:textId="77777777" w:rsidR="00B518A2" w:rsidRPr="00B0618E" w:rsidRDefault="00B518A2" w:rsidP="00B518A2">
      <w:pPr>
        <w:pStyle w:val="BodyText"/>
      </w:pPr>
    </w:p>
    <w:p w14:paraId="72781CF0" w14:textId="46ED6491" w:rsidR="00B518A2" w:rsidRPr="00B0618E" w:rsidRDefault="00B518A2" w:rsidP="00B518A2">
      <w:pPr>
        <w:pStyle w:val="Caption"/>
        <w:rPr>
          <w:color w:val="1F497D"/>
        </w:rPr>
      </w:pPr>
      <w:bookmarkStart w:id="179" w:name="_Ref478139291"/>
      <w:bookmarkStart w:id="180" w:name="_Toc503253894"/>
      <w:r w:rsidRPr="00B0618E">
        <w:t xml:space="preserve">Table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643BE4">
        <w:noBreakHyphen/>
      </w:r>
      <w:r w:rsidR="00A2085C">
        <w:fldChar w:fldCharType="begin"/>
      </w:r>
      <w:r w:rsidR="00A2085C">
        <w:instrText xml:space="preserve"> SEQ Table \* A</w:instrText>
      </w:r>
      <w:r w:rsidR="00A2085C">
        <w:instrText xml:space="preserve">RABIC \s 1 </w:instrText>
      </w:r>
      <w:r w:rsidR="00A2085C">
        <w:fldChar w:fldCharType="separate"/>
      </w:r>
      <w:r w:rsidR="000B6FA5">
        <w:rPr>
          <w:noProof/>
        </w:rPr>
        <w:t>2</w:t>
      </w:r>
      <w:r w:rsidR="00A2085C">
        <w:rPr>
          <w:noProof/>
        </w:rPr>
        <w:fldChar w:fldCharType="end"/>
      </w:r>
      <w:bookmarkEnd w:id="179"/>
      <w:r w:rsidRPr="00B0618E">
        <w:t>. Summary statistics of 50 spatial distributions of equivalent log</w:t>
      </w:r>
      <w:r w:rsidRPr="00B0618E">
        <w:rPr>
          <w:vertAlign w:val="subscript"/>
        </w:rPr>
        <w:t>10</w:t>
      </w:r>
      <w:r w:rsidRPr="00B0618E">
        <w:t xml:space="preserve"> aquitard vertical hydraulic conductivity (m/d) generated for the upper and lower aquitard sequences using Sequential Gaussian Simulation.</w:t>
      </w:r>
      <w:bookmarkEnd w:id="180"/>
    </w:p>
    <w:tbl>
      <w:tblPr>
        <w:tblStyle w:val="TableCSIRO"/>
        <w:tblW w:w="0" w:type="auto"/>
        <w:tblLook w:val="04A0" w:firstRow="1" w:lastRow="0" w:firstColumn="1" w:lastColumn="0" w:noHBand="0" w:noVBand="1"/>
        <w:tblCaption w:val="Table 6-2"/>
        <w:tblDescription w:val="Table of summary statistics from Gaussian simulations"/>
      </w:tblPr>
      <w:tblGrid>
        <w:gridCol w:w="1755"/>
        <w:gridCol w:w="971"/>
        <w:gridCol w:w="971"/>
        <w:gridCol w:w="971"/>
        <w:gridCol w:w="972"/>
        <w:gridCol w:w="971"/>
        <w:gridCol w:w="971"/>
        <w:gridCol w:w="971"/>
        <w:gridCol w:w="972"/>
      </w:tblGrid>
      <w:tr w:rsidR="00B518A2" w:rsidRPr="00B0618E" w14:paraId="1F754C49" w14:textId="77777777" w:rsidTr="00B004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5" w:type="dxa"/>
            <w:hideMark/>
          </w:tcPr>
          <w:p w14:paraId="04FB20EC" w14:textId="77777777" w:rsidR="00B518A2" w:rsidRPr="00B0618E" w:rsidRDefault="00B518A2" w:rsidP="00B0044D">
            <w:pPr>
              <w:pStyle w:val="TableText"/>
              <w:rPr>
                <w:color w:val="FFFFFF" w:themeColor="background1"/>
              </w:rPr>
            </w:pPr>
            <w:r w:rsidRPr="00B0618E">
              <w:rPr>
                <w:color w:val="FFFFFF" w:themeColor="background1"/>
              </w:rPr>
              <w:t>Aquitard sequence</w:t>
            </w:r>
          </w:p>
        </w:tc>
        <w:tc>
          <w:tcPr>
            <w:tcW w:w="971" w:type="dxa"/>
          </w:tcPr>
          <w:p w14:paraId="312AA96B" w14:textId="77777777" w:rsidR="00B518A2" w:rsidRPr="00B0618E" w:rsidRDefault="00B518A2" w:rsidP="00B0044D">
            <w:pPr>
              <w:pStyle w:val="TableText"/>
              <w:ind w:right="284"/>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min</w:t>
            </w:r>
          </w:p>
        </w:tc>
        <w:tc>
          <w:tcPr>
            <w:tcW w:w="971" w:type="dxa"/>
          </w:tcPr>
          <w:p w14:paraId="4CB243BD" w14:textId="77777777" w:rsidR="00B518A2" w:rsidRPr="00B0618E" w:rsidRDefault="00B518A2" w:rsidP="00B0044D">
            <w:pPr>
              <w:pStyle w:val="TableText"/>
              <w:ind w:right="284"/>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10</w:t>
            </w:r>
            <w:r w:rsidRPr="00B0618E">
              <w:rPr>
                <w:color w:val="FFFFFF" w:themeColor="background1"/>
                <w:vertAlign w:val="superscript"/>
              </w:rPr>
              <w:t>th</w:t>
            </w:r>
          </w:p>
        </w:tc>
        <w:tc>
          <w:tcPr>
            <w:tcW w:w="971" w:type="dxa"/>
          </w:tcPr>
          <w:p w14:paraId="6DDD89A4" w14:textId="77777777" w:rsidR="00B518A2" w:rsidRPr="00B0618E" w:rsidRDefault="00B518A2" w:rsidP="00B0044D">
            <w:pPr>
              <w:pStyle w:val="TableText"/>
              <w:ind w:right="284"/>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25</w:t>
            </w:r>
            <w:r w:rsidRPr="00B0618E">
              <w:rPr>
                <w:color w:val="FFFFFF" w:themeColor="background1"/>
                <w:vertAlign w:val="superscript"/>
              </w:rPr>
              <w:t>th</w:t>
            </w:r>
          </w:p>
        </w:tc>
        <w:tc>
          <w:tcPr>
            <w:tcW w:w="972" w:type="dxa"/>
          </w:tcPr>
          <w:p w14:paraId="66F64C91" w14:textId="77777777" w:rsidR="00B518A2" w:rsidRPr="00B0618E" w:rsidRDefault="00B518A2" w:rsidP="00B0044D">
            <w:pPr>
              <w:pStyle w:val="TableText"/>
              <w:ind w:right="284"/>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50</w:t>
            </w:r>
            <w:r w:rsidRPr="00B0618E">
              <w:rPr>
                <w:color w:val="FFFFFF" w:themeColor="background1"/>
                <w:vertAlign w:val="superscript"/>
              </w:rPr>
              <w:t>th</w:t>
            </w:r>
          </w:p>
        </w:tc>
        <w:tc>
          <w:tcPr>
            <w:tcW w:w="971" w:type="dxa"/>
          </w:tcPr>
          <w:p w14:paraId="11E43769" w14:textId="77777777" w:rsidR="00B518A2" w:rsidRPr="00B0618E" w:rsidRDefault="00B518A2" w:rsidP="00B0044D">
            <w:pPr>
              <w:pStyle w:val="TableText"/>
              <w:ind w:right="284"/>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mean</w:t>
            </w:r>
          </w:p>
        </w:tc>
        <w:tc>
          <w:tcPr>
            <w:tcW w:w="971" w:type="dxa"/>
          </w:tcPr>
          <w:p w14:paraId="7B2E7DB9" w14:textId="77777777" w:rsidR="00B518A2" w:rsidRPr="00B0618E" w:rsidRDefault="00B518A2" w:rsidP="00B0044D">
            <w:pPr>
              <w:pStyle w:val="TableText"/>
              <w:ind w:right="284"/>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75</w:t>
            </w:r>
            <w:r w:rsidRPr="00B0618E">
              <w:rPr>
                <w:color w:val="FFFFFF" w:themeColor="background1"/>
                <w:vertAlign w:val="superscript"/>
              </w:rPr>
              <w:t>th</w:t>
            </w:r>
          </w:p>
        </w:tc>
        <w:tc>
          <w:tcPr>
            <w:tcW w:w="971" w:type="dxa"/>
          </w:tcPr>
          <w:p w14:paraId="419A2675" w14:textId="77777777" w:rsidR="00B518A2" w:rsidRPr="00B0618E" w:rsidRDefault="00B518A2" w:rsidP="00B0044D">
            <w:pPr>
              <w:pStyle w:val="TableText"/>
              <w:ind w:right="284"/>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90</w:t>
            </w:r>
            <w:r w:rsidRPr="00B0618E">
              <w:rPr>
                <w:color w:val="FFFFFF" w:themeColor="background1"/>
                <w:vertAlign w:val="superscript"/>
              </w:rPr>
              <w:t>th</w:t>
            </w:r>
          </w:p>
        </w:tc>
        <w:tc>
          <w:tcPr>
            <w:tcW w:w="972" w:type="dxa"/>
          </w:tcPr>
          <w:p w14:paraId="51C220E8" w14:textId="77777777" w:rsidR="00B518A2" w:rsidRPr="00B0618E" w:rsidRDefault="00B518A2" w:rsidP="00B0044D">
            <w:pPr>
              <w:pStyle w:val="TableText"/>
              <w:ind w:right="284"/>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max</w:t>
            </w:r>
          </w:p>
        </w:tc>
      </w:tr>
      <w:tr w:rsidR="00B518A2" w:rsidRPr="00B0618E" w14:paraId="1E8252EB" w14:textId="77777777" w:rsidTr="00B004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55" w:type="dxa"/>
            <w:hideMark/>
          </w:tcPr>
          <w:p w14:paraId="71FC447D" w14:textId="77777777" w:rsidR="00B518A2" w:rsidRPr="00B0618E" w:rsidRDefault="00B518A2" w:rsidP="00B0044D">
            <w:pPr>
              <w:pStyle w:val="TableText"/>
              <w:rPr>
                <w:b w:val="0"/>
              </w:rPr>
            </w:pPr>
            <w:r w:rsidRPr="00B0618E">
              <w:rPr>
                <w:b w:val="0"/>
              </w:rPr>
              <w:t>Upper</w:t>
            </w:r>
          </w:p>
        </w:tc>
        <w:tc>
          <w:tcPr>
            <w:tcW w:w="971" w:type="dxa"/>
          </w:tcPr>
          <w:p w14:paraId="75DC638C" w14:textId="77777777" w:rsidR="00B518A2" w:rsidRPr="00B0618E" w:rsidRDefault="00B518A2" w:rsidP="00B0044D">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B0618E">
              <w:t>-6.0</w:t>
            </w:r>
          </w:p>
        </w:tc>
        <w:tc>
          <w:tcPr>
            <w:tcW w:w="971" w:type="dxa"/>
          </w:tcPr>
          <w:p w14:paraId="22E3E0AE" w14:textId="77777777" w:rsidR="00B518A2" w:rsidRPr="00B0618E" w:rsidRDefault="00B518A2" w:rsidP="00B0044D">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B0618E">
              <w:t>-5.5</w:t>
            </w:r>
          </w:p>
        </w:tc>
        <w:tc>
          <w:tcPr>
            <w:tcW w:w="971" w:type="dxa"/>
          </w:tcPr>
          <w:p w14:paraId="1B2F3F91" w14:textId="77777777" w:rsidR="00B518A2" w:rsidRPr="00B0618E" w:rsidRDefault="00B518A2" w:rsidP="00B0044D">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B0618E">
              <w:t>-5.4</w:t>
            </w:r>
          </w:p>
        </w:tc>
        <w:tc>
          <w:tcPr>
            <w:tcW w:w="972" w:type="dxa"/>
          </w:tcPr>
          <w:p w14:paraId="7EA654AB" w14:textId="77777777" w:rsidR="00B518A2" w:rsidRPr="00B0618E" w:rsidRDefault="00B518A2" w:rsidP="00B0044D">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B0618E">
              <w:t>-5.3</w:t>
            </w:r>
          </w:p>
        </w:tc>
        <w:tc>
          <w:tcPr>
            <w:tcW w:w="971" w:type="dxa"/>
          </w:tcPr>
          <w:p w14:paraId="4E0B30C3" w14:textId="77777777" w:rsidR="00B518A2" w:rsidRPr="00B0618E" w:rsidRDefault="00B518A2" w:rsidP="00B0044D">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B0618E">
              <w:t>-5.3</w:t>
            </w:r>
          </w:p>
        </w:tc>
        <w:tc>
          <w:tcPr>
            <w:tcW w:w="971" w:type="dxa"/>
          </w:tcPr>
          <w:p w14:paraId="1E5A806F" w14:textId="77777777" w:rsidR="00B518A2" w:rsidRPr="00B0618E" w:rsidRDefault="00B518A2" w:rsidP="00B0044D">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B0618E">
              <w:t>-5.1</w:t>
            </w:r>
          </w:p>
        </w:tc>
        <w:tc>
          <w:tcPr>
            <w:tcW w:w="971" w:type="dxa"/>
          </w:tcPr>
          <w:p w14:paraId="10FDE2C4" w14:textId="77777777" w:rsidR="00B518A2" w:rsidRPr="00B0618E" w:rsidRDefault="00B518A2" w:rsidP="00B0044D">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B0618E">
              <w:t>-5.0</w:t>
            </w:r>
          </w:p>
        </w:tc>
        <w:tc>
          <w:tcPr>
            <w:tcW w:w="972" w:type="dxa"/>
          </w:tcPr>
          <w:p w14:paraId="76F134C5" w14:textId="77777777" w:rsidR="00B518A2" w:rsidRPr="00B0618E" w:rsidRDefault="00B518A2" w:rsidP="00B0044D">
            <w:pPr>
              <w:pStyle w:val="TableText"/>
              <w:ind w:right="284"/>
              <w:jc w:val="right"/>
              <w:cnfStyle w:val="000000100000" w:firstRow="0" w:lastRow="0" w:firstColumn="0" w:lastColumn="0" w:oddVBand="0" w:evenVBand="0" w:oddHBand="1" w:evenHBand="0" w:firstRowFirstColumn="0" w:firstRowLastColumn="0" w:lastRowFirstColumn="0" w:lastRowLastColumn="0"/>
            </w:pPr>
            <w:r w:rsidRPr="00B0618E">
              <w:t>-4.7</w:t>
            </w:r>
          </w:p>
        </w:tc>
      </w:tr>
      <w:tr w:rsidR="00B518A2" w:rsidRPr="00B0618E" w14:paraId="591DF9DE" w14:textId="77777777" w:rsidTr="00B0044D">
        <w:tc>
          <w:tcPr>
            <w:cnfStyle w:val="001000000000" w:firstRow="0" w:lastRow="0" w:firstColumn="1" w:lastColumn="0" w:oddVBand="0" w:evenVBand="0" w:oddHBand="0" w:evenHBand="0" w:firstRowFirstColumn="0" w:firstRowLastColumn="0" w:lastRowFirstColumn="0" w:lastRowLastColumn="0"/>
            <w:tcW w:w="1755" w:type="dxa"/>
            <w:hideMark/>
          </w:tcPr>
          <w:p w14:paraId="08B3C3D6" w14:textId="77777777" w:rsidR="00B518A2" w:rsidRPr="00B0618E" w:rsidRDefault="00B518A2" w:rsidP="00B0044D">
            <w:pPr>
              <w:pStyle w:val="TableText"/>
              <w:rPr>
                <w:b w:val="0"/>
              </w:rPr>
            </w:pPr>
            <w:r w:rsidRPr="00B0618E">
              <w:rPr>
                <w:b w:val="0"/>
              </w:rPr>
              <w:t>Lower</w:t>
            </w:r>
          </w:p>
        </w:tc>
        <w:tc>
          <w:tcPr>
            <w:tcW w:w="971" w:type="dxa"/>
          </w:tcPr>
          <w:p w14:paraId="736CA0A3" w14:textId="77777777" w:rsidR="00B518A2" w:rsidRPr="00B0618E" w:rsidRDefault="00B518A2" w:rsidP="00B0044D">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B0618E">
              <w:t>-5.6</w:t>
            </w:r>
          </w:p>
        </w:tc>
        <w:tc>
          <w:tcPr>
            <w:tcW w:w="971" w:type="dxa"/>
          </w:tcPr>
          <w:p w14:paraId="295B7A63" w14:textId="77777777" w:rsidR="00B518A2" w:rsidRPr="00B0618E" w:rsidRDefault="00B518A2" w:rsidP="00B0044D">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B0618E">
              <w:t>-5.2</w:t>
            </w:r>
          </w:p>
        </w:tc>
        <w:tc>
          <w:tcPr>
            <w:tcW w:w="971" w:type="dxa"/>
          </w:tcPr>
          <w:p w14:paraId="3572F478" w14:textId="77777777" w:rsidR="00B518A2" w:rsidRPr="00B0618E" w:rsidRDefault="00B518A2" w:rsidP="00B0044D">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B0618E">
              <w:t>-5.1</w:t>
            </w:r>
          </w:p>
        </w:tc>
        <w:tc>
          <w:tcPr>
            <w:tcW w:w="972" w:type="dxa"/>
          </w:tcPr>
          <w:p w14:paraId="16196488" w14:textId="77777777" w:rsidR="00B518A2" w:rsidRPr="00B0618E" w:rsidRDefault="00B518A2" w:rsidP="00B0044D">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B0618E">
              <w:t>-5.0</w:t>
            </w:r>
          </w:p>
        </w:tc>
        <w:tc>
          <w:tcPr>
            <w:tcW w:w="971" w:type="dxa"/>
          </w:tcPr>
          <w:p w14:paraId="67326D13" w14:textId="77777777" w:rsidR="00B518A2" w:rsidRPr="00B0618E" w:rsidRDefault="00B518A2" w:rsidP="00B0044D">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B0618E">
              <w:t>-5.0</w:t>
            </w:r>
          </w:p>
        </w:tc>
        <w:tc>
          <w:tcPr>
            <w:tcW w:w="971" w:type="dxa"/>
          </w:tcPr>
          <w:p w14:paraId="148F7089" w14:textId="77777777" w:rsidR="00B518A2" w:rsidRPr="00B0618E" w:rsidRDefault="00B518A2" w:rsidP="00B0044D">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B0618E">
              <w:t>-4.9</w:t>
            </w:r>
          </w:p>
        </w:tc>
        <w:tc>
          <w:tcPr>
            <w:tcW w:w="971" w:type="dxa"/>
          </w:tcPr>
          <w:p w14:paraId="5DDCEA32" w14:textId="77777777" w:rsidR="00B518A2" w:rsidRPr="00B0618E" w:rsidRDefault="00B518A2" w:rsidP="00B0044D">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B0618E">
              <w:t>-4.8</w:t>
            </w:r>
          </w:p>
        </w:tc>
        <w:tc>
          <w:tcPr>
            <w:tcW w:w="972" w:type="dxa"/>
          </w:tcPr>
          <w:p w14:paraId="7F11635E" w14:textId="77777777" w:rsidR="00B518A2" w:rsidRPr="00B0618E" w:rsidRDefault="00B518A2" w:rsidP="00B0044D">
            <w:pPr>
              <w:pStyle w:val="TableText"/>
              <w:ind w:right="284"/>
              <w:jc w:val="right"/>
              <w:cnfStyle w:val="000000000000" w:firstRow="0" w:lastRow="0" w:firstColumn="0" w:lastColumn="0" w:oddVBand="0" w:evenVBand="0" w:oddHBand="0" w:evenHBand="0" w:firstRowFirstColumn="0" w:firstRowLastColumn="0" w:lastRowFirstColumn="0" w:lastRowLastColumn="0"/>
            </w:pPr>
            <w:r w:rsidRPr="00B0618E">
              <w:t>-4.5</w:t>
            </w:r>
          </w:p>
        </w:tc>
      </w:tr>
    </w:tbl>
    <w:p w14:paraId="36EDCED6" w14:textId="7A520A1C" w:rsidR="00B518A2" w:rsidRPr="00B0618E" w:rsidRDefault="00B518A2" w:rsidP="00B518A2">
      <w:pPr>
        <w:spacing w:after="0"/>
        <w:rPr>
          <w:sz w:val="24"/>
        </w:rPr>
      </w:pPr>
    </w:p>
    <w:p w14:paraId="54AB1DA7" w14:textId="77777777" w:rsidR="000A2E07" w:rsidRPr="00B0618E" w:rsidRDefault="000A2E07" w:rsidP="00C619B8">
      <w:pPr>
        <w:spacing w:before="120" w:line="264" w:lineRule="auto"/>
        <w:rPr>
          <w:color w:val="auto"/>
          <w:sz w:val="24"/>
        </w:rPr>
      </w:pPr>
    </w:p>
    <w:p w14:paraId="207DD72A" w14:textId="02F30E4B" w:rsidR="00C619B8" w:rsidRPr="00B0618E" w:rsidRDefault="00C619B8" w:rsidP="008E5D3E">
      <w:pPr>
        <w:keepNext/>
        <w:spacing w:before="120" w:line="264" w:lineRule="auto"/>
        <w:rPr>
          <w:color w:val="auto"/>
          <w:sz w:val="24"/>
        </w:rPr>
      </w:pPr>
      <w:r w:rsidRPr="00B0618E">
        <w:rPr>
          <w:color w:val="auto"/>
          <w:sz w:val="24"/>
        </w:rPr>
        <w:t xml:space="preserve">        </w:t>
      </w:r>
      <w:r w:rsidR="00E665A1" w:rsidRPr="00B0618E">
        <w:rPr>
          <w:noProof/>
          <w:color w:val="auto"/>
          <w:sz w:val="24"/>
        </w:rPr>
        <w:drawing>
          <wp:inline distT="0" distB="0" distL="0" distR="0" wp14:anchorId="26C380AA" wp14:editId="0AF30F17">
            <wp:extent cx="2880000" cy="4029767"/>
            <wp:effectExtent l="0" t="0" r="0" b="8890"/>
            <wp:docPr id="71" name="Picture 71" descr="Diagram of spatial distribution of hydraulic conductivity from model outputs" title="Figure 6-7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OWS_FAM\Models\Plot_spat_dist_fields_examples_230217\Stochastic_KV_upper\fieldgen_upper_spherical_5km_1.ref.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880000" cy="4029767"/>
                    </a:xfrm>
                    <a:prstGeom prst="rect">
                      <a:avLst/>
                    </a:prstGeom>
                    <a:noFill/>
                    <a:ln>
                      <a:noFill/>
                    </a:ln>
                  </pic:spPr>
                </pic:pic>
              </a:graphicData>
            </a:graphic>
          </wp:inline>
        </w:drawing>
      </w:r>
      <w:r w:rsidR="00E665A1" w:rsidRPr="00B0618E">
        <w:rPr>
          <w:noProof/>
          <w:color w:val="auto"/>
          <w:sz w:val="24"/>
        </w:rPr>
        <w:drawing>
          <wp:inline distT="0" distB="0" distL="0" distR="0" wp14:anchorId="2C888A74" wp14:editId="391B9C1A">
            <wp:extent cx="2880000" cy="4029767"/>
            <wp:effectExtent l="0" t="0" r="0" b="8890"/>
            <wp:docPr id="68" name="Picture 68" descr="Diagram of spatial distribution of hydraulic conductivity from model outputs" title="Figure 6-7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WS_FAM\Models\Plot_spat_dist_fields_examples_230217\Stochastic_KV_lower\fieldgen_lower_spherical_5km_2.ref.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80000" cy="4029767"/>
                    </a:xfrm>
                    <a:prstGeom prst="rect">
                      <a:avLst/>
                    </a:prstGeom>
                    <a:noFill/>
                    <a:ln>
                      <a:noFill/>
                    </a:ln>
                  </pic:spPr>
                </pic:pic>
              </a:graphicData>
            </a:graphic>
          </wp:inline>
        </w:drawing>
      </w:r>
    </w:p>
    <w:p w14:paraId="16B43443" w14:textId="42408689" w:rsidR="00C619B8" w:rsidRPr="00B0618E" w:rsidRDefault="00C619B8" w:rsidP="00C619B8">
      <w:pPr>
        <w:pStyle w:val="Caption"/>
      </w:pPr>
      <w:bookmarkStart w:id="181" w:name="_Ref475111793"/>
      <w:bookmarkStart w:id="182" w:name="_Toc474485512"/>
      <w:bookmarkStart w:id="183" w:name="_Toc475113930"/>
      <w:bookmarkStart w:id="184" w:name="_Toc482034943"/>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7</w:t>
      </w:r>
      <w:r w:rsidR="00A2085C">
        <w:rPr>
          <w:noProof/>
        </w:rPr>
        <w:fldChar w:fldCharType="end"/>
      </w:r>
      <w:bookmarkEnd w:id="181"/>
      <w:r w:rsidRPr="00B0618E">
        <w:t xml:space="preserve">. Heterogeneous spatial distributions of </w:t>
      </w:r>
      <w:r w:rsidR="00CB418A" w:rsidRPr="00B0618E">
        <w:t>log</w:t>
      </w:r>
      <w:r w:rsidR="00CB418A" w:rsidRPr="00B0618E">
        <w:rPr>
          <w:vertAlign w:val="subscript"/>
        </w:rPr>
        <w:t>10</w:t>
      </w:r>
      <w:r w:rsidR="00CB418A" w:rsidRPr="00B0618E">
        <w:t xml:space="preserve"> </w:t>
      </w:r>
      <w:r w:rsidRPr="00B0618E">
        <w:t xml:space="preserve">vertical hydraulic conductivity </w:t>
      </w:r>
      <w:r w:rsidR="007974AE" w:rsidRPr="00B0618E">
        <w:t>(log</w:t>
      </w:r>
      <w:r w:rsidR="007974AE" w:rsidRPr="00B0618E">
        <w:rPr>
          <w:vertAlign w:val="subscript"/>
        </w:rPr>
        <w:t>10</w:t>
      </w:r>
      <w:r w:rsidR="007974AE" w:rsidRPr="00B0618E">
        <w:t xml:space="preserve"> </w:t>
      </w:r>
      <w:r w:rsidR="007974AE" w:rsidRPr="00B0618E">
        <w:rPr>
          <w:i/>
        </w:rPr>
        <w:t>K</w:t>
      </w:r>
      <w:r w:rsidR="007974AE" w:rsidRPr="00B0618E">
        <w:rPr>
          <w:i/>
          <w:vertAlign w:val="subscript"/>
        </w:rPr>
        <w:t>V</w:t>
      </w:r>
      <w:r w:rsidR="007974AE" w:rsidRPr="00B0618E">
        <w:t xml:space="preserve">) </w:t>
      </w:r>
      <w:r w:rsidRPr="00B0618E">
        <w:t xml:space="preserve">for the </w:t>
      </w:r>
      <w:r w:rsidR="00E665A1" w:rsidRPr="00B0618E">
        <w:t xml:space="preserve">(a) </w:t>
      </w:r>
      <w:r w:rsidRPr="00B0618E">
        <w:t xml:space="preserve">upper </w:t>
      </w:r>
      <w:r w:rsidR="00E665A1" w:rsidRPr="00B0618E">
        <w:t xml:space="preserve">and (b) lower aquitard sequences </w:t>
      </w:r>
      <w:r w:rsidRPr="00B0618E">
        <w:t>generated using Sequential Gaussi</w:t>
      </w:r>
      <w:r w:rsidR="00E665A1" w:rsidRPr="00B0618E">
        <w:t>an Simulation based on</w:t>
      </w:r>
      <w:r w:rsidRPr="00B0618E">
        <w:t xml:space="preserve"> spherical variogram model</w:t>
      </w:r>
      <w:r w:rsidR="00E665A1" w:rsidRPr="00B0618E">
        <w:t>s</w:t>
      </w:r>
      <w:r w:rsidRPr="00B0618E">
        <w:t xml:space="preserve"> and conditioned to values upscaled using numerical model averaging (</w:t>
      </w:r>
      <w:r w:rsidR="00E665A1" w:rsidRPr="00B0618E">
        <w:t>red</w:t>
      </w:r>
      <w:r w:rsidRPr="00B0618E">
        <w:t xml:space="preserve"> = low values; </w:t>
      </w:r>
      <w:r w:rsidR="00E665A1" w:rsidRPr="00B0618E">
        <w:t>blue</w:t>
      </w:r>
      <w:r w:rsidRPr="00B0618E">
        <w:t xml:space="preserve"> = high values</w:t>
      </w:r>
      <w:r w:rsidR="007974AE" w:rsidRPr="00B0618E">
        <w:t>;</w:t>
      </w:r>
      <w:r w:rsidR="00E665A1" w:rsidRPr="00B0618E">
        <w:t xml:space="preserve"> white = non-Pilliga </w:t>
      </w:r>
      <w:r w:rsidR="00273F98" w:rsidRPr="00B0618E">
        <w:t>S</w:t>
      </w:r>
      <w:r w:rsidR="00E665A1" w:rsidRPr="00B0618E">
        <w:t>andstone aquifer cells</w:t>
      </w:r>
      <w:r w:rsidRPr="00B0618E">
        <w:t>).</w:t>
      </w:r>
      <w:bookmarkEnd w:id="182"/>
      <w:bookmarkEnd w:id="183"/>
      <w:bookmarkEnd w:id="184"/>
    </w:p>
    <w:p w14:paraId="1A45A531" w14:textId="77777777" w:rsidR="00C619B8" w:rsidRPr="00B0618E" w:rsidRDefault="00C619B8" w:rsidP="00C619B8">
      <w:pPr>
        <w:pStyle w:val="Heading2"/>
      </w:pPr>
      <w:bookmarkStart w:id="185" w:name="_Toc483127587"/>
      <w:r w:rsidRPr="00B0618E">
        <w:t>Prediction uncertainty analysis using spatially distributed parameter fields</w:t>
      </w:r>
      <w:bookmarkEnd w:id="185"/>
    </w:p>
    <w:p w14:paraId="7CDEFAC6" w14:textId="12823C93" w:rsidR="00C619B8" w:rsidRPr="00B0618E" w:rsidRDefault="006E3611" w:rsidP="00241746">
      <w:pPr>
        <w:pStyle w:val="BodyText"/>
      </w:pPr>
      <w:r w:rsidRPr="00B0618E">
        <w:t xml:space="preserve">Subsequent </w:t>
      </w:r>
      <w:r w:rsidR="007974AE" w:rsidRPr="00B0618E">
        <w:t xml:space="preserve">sections </w:t>
      </w:r>
      <w:r w:rsidRPr="00B0618E">
        <w:t xml:space="preserve">describe analyses of </w:t>
      </w:r>
      <w:r w:rsidR="007974AE" w:rsidRPr="00B0618E">
        <w:t>the effect</w:t>
      </w:r>
      <w:r w:rsidRPr="00B0618E">
        <w:t>s</w:t>
      </w:r>
      <w:r w:rsidR="007974AE" w:rsidRPr="00B0618E">
        <w:t xml:space="preserve"> </w:t>
      </w:r>
      <w:r w:rsidRPr="00B0618E">
        <w:t xml:space="preserve">of incorporating a </w:t>
      </w:r>
      <w:r w:rsidR="007974AE" w:rsidRPr="00B0618E">
        <w:t xml:space="preserve">spatially variable </w:t>
      </w:r>
      <w:r w:rsidRPr="00B0618E">
        <w:t xml:space="preserve">parameterisation </w:t>
      </w:r>
      <w:r w:rsidR="007974AE" w:rsidRPr="00B0618E">
        <w:t>log</w:t>
      </w:r>
      <w:r w:rsidR="007974AE" w:rsidRPr="00B0618E">
        <w:rPr>
          <w:vertAlign w:val="subscript"/>
        </w:rPr>
        <w:t>10</w:t>
      </w:r>
      <w:r w:rsidR="007974AE" w:rsidRPr="00B0618E">
        <w:t xml:space="preserve"> </w:t>
      </w:r>
      <w:r w:rsidR="007974AE" w:rsidRPr="00B0618E">
        <w:rPr>
          <w:i/>
        </w:rPr>
        <w:t>K</w:t>
      </w:r>
      <w:r w:rsidR="007974AE" w:rsidRPr="00B0618E">
        <w:rPr>
          <w:i/>
          <w:vertAlign w:val="subscript"/>
        </w:rPr>
        <w:t>V</w:t>
      </w:r>
      <w:r w:rsidR="007974AE" w:rsidRPr="00B0618E">
        <w:rPr>
          <w:vertAlign w:val="subscript"/>
        </w:rPr>
        <w:t xml:space="preserve"> </w:t>
      </w:r>
      <w:r w:rsidRPr="00B0618E">
        <w:t xml:space="preserve">on the uncertainty of predictions. Such a conceptualisation is more physically realistic than the </w:t>
      </w:r>
      <w:r w:rsidR="007079D7" w:rsidRPr="00B0618E">
        <w:t>spatially uniform conceptual</w:t>
      </w:r>
      <w:r w:rsidRPr="00B0618E">
        <w:t>isation assumed previously</w:t>
      </w:r>
      <w:r w:rsidR="007974AE" w:rsidRPr="00B0618E">
        <w:t>.</w:t>
      </w:r>
      <w:r w:rsidRPr="00B0618E">
        <w:t xml:space="preserve"> However, in practice, this approach requires a higher level of data support. Furthermore, predictions of interest may or may not be sensitive to spatially variable hydraulic properties; indeed, boundary conditions may, in some circumstances, be the primary control on predictions. </w:t>
      </w:r>
      <w:r w:rsidR="00112515" w:rsidRPr="00B0618E">
        <w:t xml:space="preserve">The uncertainty quantification </w:t>
      </w:r>
      <w:r w:rsidRPr="00B0618E">
        <w:t xml:space="preserve">presented here was focused solely on the influence of heterogeneity in aquitard </w:t>
      </w:r>
      <w:r w:rsidRPr="00B0618E">
        <w:rPr>
          <w:i/>
        </w:rPr>
        <w:t>K</w:t>
      </w:r>
      <w:r w:rsidRPr="00B0618E">
        <w:rPr>
          <w:i/>
          <w:vertAlign w:val="subscript"/>
        </w:rPr>
        <w:t>V</w:t>
      </w:r>
      <w:r w:rsidRPr="00B0618E">
        <w:t xml:space="preserve"> values </w:t>
      </w:r>
      <w:r w:rsidR="00112515" w:rsidRPr="00B0618E">
        <w:t xml:space="preserve">on the four </w:t>
      </w:r>
      <w:r w:rsidRPr="00B0618E">
        <w:t>prediction metrics discussed</w:t>
      </w:r>
      <w:r w:rsidR="00112515" w:rsidRPr="00B0618E">
        <w:t xml:space="preserve"> previously</w:t>
      </w:r>
      <w:r w:rsidRPr="00B0618E">
        <w:t>.</w:t>
      </w:r>
    </w:p>
    <w:p w14:paraId="1147840E" w14:textId="025C36D3" w:rsidR="00C619B8" w:rsidRPr="00B0618E" w:rsidRDefault="00C619B8" w:rsidP="00C619B8">
      <w:pPr>
        <w:pStyle w:val="Heading3"/>
      </w:pPr>
      <w:bookmarkStart w:id="186" w:name="_Ref479188438"/>
      <w:r w:rsidRPr="00B0618E">
        <w:t xml:space="preserve">Prediction </w:t>
      </w:r>
      <w:r w:rsidR="00B518A2">
        <w:t xml:space="preserve">metric </w:t>
      </w:r>
      <w:r w:rsidRPr="00B0618E">
        <w:t>1: Magnitude of maximum drawdown</w:t>
      </w:r>
      <w:bookmarkEnd w:id="186"/>
    </w:p>
    <w:p w14:paraId="7FA1C5F4" w14:textId="73A06FF8" w:rsidR="00C619B8" w:rsidRPr="00B0618E" w:rsidRDefault="00C619B8" w:rsidP="00C619B8">
      <w:pPr>
        <w:pStyle w:val="BodyText"/>
        <w:rPr>
          <w:color w:val="auto"/>
        </w:rPr>
      </w:pPr>
      <w:r w:rsidRPr="00B0618E">
        <w:rPr>
          <w:color w:val="auto"/>
        </w:rPr>
        <w:t xml:space="preserve">Predictions of the magnitude of maximum drawdown ranged from 1.3 m to 7.2 m, with a median value of 3.4 m. This reflected an increase in the median predicted value by 2.7 m. The </w:t>
      </w:r>
      <w:r w:rsidR="000C6359" w:rsidRPr="00B0618E">
        <w:rPr>
          <w:color w:val="auto"/>
        </w:rPr>
        <w:t>standard deviation</w:t>
      </w:r>
      <w:r w:rsidRPr="00B0618E">
        <w:rPr>
          <w:color w:val="auto"/>
        </w:rPr>
        <w:t xml:space="preserve"> of predicted values reduced by </w:t>
      </w:r>
      <w:r w:rsidR="000C6359" w:rsidRPr="00B0618E">
        <w:rPr>
          <w:color w:val="auto"/>
        </w:rPr>
        <w:t>1</w:t>
      </w:r>
      <w:r w:rsidRPr="00B0618E">
        <w:rPr>
          <w:color w:val="auto"/>
        </w:rPr>
        <w:t>.</w:t>
      </w:r>
      <w:r w:rsidR="000C6359" w:rsidRPr="00B0618E">
        <w:rPr>
          <w:color w:val="auto"/>
        </w:rPr>
        <w:t>4</w:t>
      </w:r>
      <w:r w:rsidRPr="00B0618E">
        <w:rPr>
          <w:color w:val="auto"/>
        </w:rPr>
        <w:t xml:space="preserve"> m to </w:t>
      </w:r>
      <w:r w:rsidR="000C6359" w:rsidRPr="00B0618E">
        <w:rPr>
          <w:color w:val="auto"/>
        </w:rPr>
        <w:t>1</w:t>
      </w:r>
      <w:r w:rsidRPr="00B0618E">
        <w:rPr>
          <w:color w:val="auto"/>
        </w:rPr>
        <w:t>.</w:t>
      </w:r>
      <w:r w:rsidR="000C6359" w:rsidRPr="00B0618E">
        <w:rPr>
          <w:color w:val="auto"/>
        </w:rPr>
        <w:t>6</w:t>
      </w:r>
      <w:r w:rsidRPr="00B0618E">
        <w:rPr>
          <w:color w:val="auto"/>
        </w:rPr>
        <w:t xml:space="preserve"> m. </w:t>
      </w:r>
      <w:r w:rsidR="00F73CA5" w:rsidRPr="00B0618E">
        <w:rPr>
          <w:color w:val="auto"/>
        </w:rPr>
        <w:t xml:space="preserve">The interquartile range of predicted values reduced by 0.2 m to 2.8 m. </w:t>
      </w:r>
      <w:r w:rsidRPr="00B0618E">
        <w:rPr>
          <w:color w:val="auto"/>
        </w:rPr>
        <w:t xml:space="preserve">The 90 % confidence interval increased by 0.1 m to 0.7 m. </w:t>
      </w:r>
    </w:p>
    <w:p w14:paraId="7C341CAB" w14:textId="4CF18F02" w:rsidR="00C619B8" w:rsidRPr="00B0618E" w:rsidRDefault="00435F08" w:rsidP="008E5D3E">
      <w:pPr>
        <w:pStyle w:val="BodyText"/>
        <w:keepNext/>
      </w:pPr>
      <w:r w:rsidRPr="00B0618E">
        <w:rPr>
          <w:noProof/>
        </w:rPr>
        <w:drawing>
          <wp:inline distT="0" distB="0" distL="0" distR="0" wp14:anchorId="2EEFB3D2" wp14:editId="1FD12263">
            <wp:extent cx="5755640" cy="2877820"/>
            <wp:effectExtent l="0" t="0" r="0" b="0"/>
            <wp:docPr id="82" name="Picture 82" descr="Charts of statistics of model outputs" title="Fig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OWS_FAM\Models\Version8_analysis\Plot_bootstrap_outputs_v06_010317_CDF_PDF_MXD.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5640" cy="2877820"/>
                    </a:xfrm>
                    <a:prstGeom prst="rect">
                      <a:avLst/>
                    </a:prstGeom>
                    <a:noFill/>
                    <a:ln>
                      <a:noFill/>
                    </a:ln>
                  </pic:spPr>
                </pic:pic>
              </a:graphicData>
            </a:graphic>
          </wp:inline>
        </w:drawing>
      </w:r>
    </w:p>
    <w:p w14:paraId="763CD636" w14:textId="40761AB3" w:rsidR="00C619B8" w:rsidRPr="00B0618E" w:rsidRDefault="00C619B8" w:rsidP="00C619B8">
      <w:pPr>
        <w:pStyle w:val="Caption"/>
      </w:pPr>
      <w:bookmarkStart w:id="187" w:name="_Ref479188539"/>
      <w:bookmarkStart w:id="188" w:name="_Toc482034944"/>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8</w:t>
      </w:r>
      <w:r w:rsidR="00A2085C">
        <w:rPr>
          <w:noProof/>
        </w:rPr>
        <w:fldChar w:fldCharType="end"/>
      </w:r>
      <w:bookmarkEnd w:id="187"/>
      <w:r w:rsidRPr="00B0618E">
        <w:t xml:space="preserve">. (a) Cumulative </w:t>
      </w:r>
      <w:r w:rsidR="00CB418A" w:rsidRPr="00B0618E">
        <w:t xml:space="preserve">density function </w:t>
      </w:r>
      <w:r w:rsidRPr="00B0618E">
        <w:t xml:space="preserve">and (b) </w:t>
      </w:r>
      <w:r w:rsidR="00A95025" w:rsidRPr="00B0618E">
        <w:t>frequency histogram</w:t>
      </w:r>
      <w:r w:rsidRPr="00B0618E">
        <w:t xml:space="preserve"> of initial (black) and revised (red) predictions of the magnitude of maximum drawdown</w:t>
      </w:r>
      <w:r w:rsidR="004107EF" w:rsidRPr="00B0618E">
        <w:t>, based on sample sizes of 300 model runs (‘Initial’) and 50 model runs (‘Heterogeneous’)</w:t>
      </w:r>
      <w:r w:rsidRPr="00B0618E">
        <w:t>.</w:t>
      </w:r>
      <w:bookmarkEnd w:id="188"/>
    </w:p>
    <w:p w14:paraId="16F2CCD5" w14:textId="7A9006A7" w:rsidR="00C619B8" w:rsidRPr="00B0618E" w:rsidRDefault="00C619B8" w:rsidP="00C619B8">
      <w:pPr>
        <w:pStyle w:val="Heading3"/>
      </w:pPr>
      <w:r w:rsidRPr="00B0618E">
        <w:t xml:space="preserve">Prediction </w:t>
      </w:r>
      <w:r w:rsidR="00B518A2">
        <w:t xml:space="preserve">metric </w:t>
      </w:r>
      <w:r w:rsidRPr="00B0618E">
        <w:t>2: Timing of maximum drawdown</w:t>
      </w:r>
    </w:p>
    <w:p w14:paraId="7BA8BA8D" w14:textId="0E26322E" w:rsidR="00C619B8" w:rsidRDefault="00C619B8" w:rsidP="00C619B8">
      <w:pPr>
        <w:pStyle w:val="BodyText"/>
        <w:rPr>
          <w:color w:val="auto"/>
        </w:rPr>
      </w:pPr>
      <w:r w:rsidRPr="00B0618E">
        <w:rPr>
          <w:color w:val="auto"/>
        </w:rPr>
        <w:t xml:space="preserve">Predictions of the timing of maximum drawdown ranged from </w:t>
      </w:r>
      <w:r w:rsidR="00661B31" w:rsidRPr="00B0618E">
        <w:rPr>
          <w:color w:val="auto"/>
        </w:rPr>
        <w:t>11</w:t>
      </w:r>
      <w:r w:rsidR="00C96617">
        <w:rPr>
          <w:color w:val="auto"/>
        </w:rPr>
        <w:t xml:space="preserve"> </w:t>
      </w:r>
      <w:r w:rsidRPr="00B0618E">
        <w:rPr>
          <w:color w:val="auto"/>
        </w:rPr>
        <w:t xml:space="preserve">to </w:t>
      </w:r>
      <w:r w:rsidR="00661B31" w:rsidRPr="00B0618E">
        <w:rPr>
          <w:color w:val="auto"/>
        </w:rPr>
        <w:t>137</w:t>
      </w:r>
      <w:r w:rsidR="00C96617">
        <w:rPr>
          <w:color w:val="auto"/>
        </w:rPr>
        <w:t xml:space="preserve"> years,</w:t>
      </w:r>
      <w:r w:rsidRPr="00B0618E">
        <w:rPr>
          <w:color w:val="auto"/>
        </w:rPr>
        <w:t xml:space="preserve"> with a median value of </w:t>
      </w:r>
      <w:r w:rsidR="00661B31" w:rsidRPr="00B0618E">
        <w:rPr>
          <w:color w:val="auto"/>
        </w:rPr>
        <w:t>35</w:t>
      </w:r>
      <w:r w:rsidR="00C96617">
        <w:rPr>
          <w:color w:val="auto"/>
        </w:rPr>
        <w:t xml:space="preserve"> years</w:t>
      </w:r>
      <w:r w:rsidR="00B518A2">
        <w:rPr>
          <w:color w:val="auto"/>
        </w:rPr>
        <w:t xml:space="preserve"> (</w:t>
      </w:r>
      <w:r w:rsidR="00B518A2">
        <w:rPr>
          <w:color w:val="auto"/>
        </w:rPr>
        <w:fldChar w:fldCharType="begin"/>
      </w:r>
      <w:r w:rsidR="00B518A2">
        <w:rPr>
          <w:color w:val="auto"/>
        </w:rPr>
        <w:instrText xml:space="preserve"> REF _Ref479511526 \h </w:instrText>
      </w:r>
      <w:r w:rsidR="00B518A2">
        <w:rPr>
          <w:color w:val="auto"/>
        </w:rPr>
      </w:r>
      <w:r w:rsidR="00B518A2">
        <w:rPr>
          <w:color w:val="auto"/>
        </w:rPr>
        <w:fldChar w:fldCharType="separate"/>
      </w:r>
      <w:r w:rsidR="000B6FA5" w:rsidRPr="00B0618E">
        <w:t xml:space="preserve">Figure </w:t>
      </w:r>
      <w:r w:rsidR="000B6FA5">
        <w:rPr>
          <w:noProof/>
        </w:rPr>
        <w:t>6</w:t>
      </w:r>
      <w:r w:rsidR="000B6FA5">
        <w:noBreakHyphen/>
      </w:r>
      <w:r w:rsidR="000B6FA5">
        <w:rPr>
          <w:noProof/>
        </w:rPr>
        <w:t>9</w:t>
      </w:r>
      <w:r w:rsidR="00B518A2">
        <w:rPr>
          <w:color w:val="auto"/>
        </w:rPr>
        <w:fldChar w:fldCharType="end"/>
      </w:r>
      <w:r w:rsidR="00B518A2">
        <w:rPr>
          <w:color w:val="auto"/>
        </w:rPr>
        <w:t>)</w:t>
      </w:r>
      <w:r w:rsidR="00C96617">
        <w:rPr>
          <w:color w:val="auto"/>
        </w:rPr>
        <w:t>.</w:t>
      </w:r>
      <w:r w:rsidRPr="00B0618E">
        <w:rPr>
          <w:color w:val="auto"/>
        </w:rPr>
        <w:t xml:space="preserve"> This reflected a reduction of the median predicted value by 11</w:t>
      </w:r>
      <w:r w:rsidR="00661B31" w:rsidRPr="00B0618E">
        <w:rPr>
          <w:color w:val="auto"/>
        </w:rPr>
        <w:t>9</w:t>
      </w:r>
      <w:r w:rsidR="00C96617">
        <w:rPr>
          <w:color w:val="auto"/>
        </w:rPr>
        <w:t xml:space="preserve"> years.</w:t>
      </w:r>
      <w:r w:rsidRPr="00B0618E">
        <w:rPr>
          <w:color w:val="auto"/>
        </w:rPr>
        <w:t xml:space="preserve"> The </w:t>
      </w:r>
      <w:r w:rsidR="00693154" w:rsidRPr="00B0618E">
        <w:t>standard deviation</w:t>
      </w:r>
      <w:r w:rsidR="00693154" w:rsidRPr="00B0618E">
        <w:rPr>
          <w:color w:val="auto"/>
        </w:rPr>
        <w:t xml:space="preserve"> </w:t>
      </w:r>
      <w:r w:rsidRPr="00B0618E">
        <w:rPr>
          <w:color w:val="auto"/>
        </w:rPr>
        <w:t xml:space="preserve">of predicted values reduced by </w:t>
      </w:r>
      <w:r w:rsidR="000C6359" w:rsidRPr="00B0618E">
        <w:rPr>
          <w:color w:val="auto"/>
        </w:rPr>
        <w:t>17</w:t>
      </w:r>
      <w:r w:rsidR="00C96617">
        <w:rPr>
          <w:color w:val="auto"/>
        </w:rPr>
        <w:t xml:space="preserve"> </w:t>
      </w:r>
      <w:r w:rsidRPr="00B0618E">
        <w:rPr>
          <w:color w:val="auto"/>
        </w:rPr>
        <w:t xml:space="preserve">to </w:t>
      </w:r>
      <w:r w:rsidR="00693154" w:rsidRPr="00B0618E">
        <w:rPr>
          <w:color w:val="auto"/>
        </w:rPr>
        <w:t>25</w:t>
      </w:r>
      <w:r w:rsidR="00C96617">
        <w:rPr>
          <w:color w:val="auto"/>
        </w:rPr>
        <w:t xml:space="preserve"> years.</w:t>
      </w:r>
      <w:r w:rsidRPr="00B0618E">
        <w:rPr>
          <w:color w:val="auto"/>
        </w:rPr>
        <w:t xml:space="preserve"> The 90 % confidence interval increased by </w:t>
      </w:r>
      <w:r w:rsidR="00661B31" w:rsidRPr="00B0618E">
        <w:rPr>
          <w:color w:val="auto"/>
        </w:rPr>
        <w:t>3</w:t>
      </w:r>
      <w:r w:rsidR="00C96617">
        <w:rPr>
          <w:color w:val="auto"/>
        </w:rPr>
        <w:t xml:space="preserve"> </w:t>
      </w:r>
      <w:r w:rsidRPr="00B0618E">
        <w:rPr>
          <w:color w:val="auto"/>
        </w:rPr>
        <w:t>to 1</w:t>
      </w:r>
      <w:r w:rsidR="00661B31" w:rsidRPr="00B0618E">
        <w:rPr>
          <w:color w:val="auto"/>
        </w:rPr>
        <w:t>1</w:t>
      </w:r>
      <w:r w:rsidR="00C96617">
        <w:rPr>
          <w:color w:val="auto"/>
        </w:rPr>
        <w:t xml:space="preserve"> years.</w:t>
      </w:r>
      <w:r w:rsidRPr="00B0618E">
        <w:rPr>
          <w:color w:val="auto"/>
        </w:rPr>
        <w:t xml:space="preserve"> The interquartile range of predicted values reduced by </w:t>
      </w:r>
      <w:r w:rsidR="00661B31" w:rsidRPr="00B0618E">
        <w:rPr>
          <w:color w:val="auto"/>
        </w:rPr>
        <w:t>15</w:t>
      </w:r>
      <w:r w:rsidR="00C96617">
        <w:rPr>
          <w:color w:val="auto"/>
        </w:rPr>
        <w:t xml:space="preserve"> years </w:t>
      </w:r>
      <w:r w:rsidRPr="00B0618E">
        <w:rPr>
          <w:color w:val="auto"/>
        </w:rPr>
        <w:t>to 32</w:t>
      </w:r>
      <w:r w:rsidR="00C96617">
        <w:rPr>
          <w:color w:val="auto"/>
        </w:rPr>
        <w:t xml:space="preserve"> years.</w:t>
      </w:r>
      <w:r w:rsidRPr="00B0618E">
        <w:rPr>
          <w:color w:val="auto"/>
        </w:rPr>
        <w:t xml:space="preserve"> The 10–90 percentile range reduced by </w:t>
      </w:r>
      <w:r w:rsidR="00661B31" w:rsidRPr="00B0618E">
        <w:rPr>
          <w:color w:val="auto"/>
        </w:rPr>
        <w:t>43</w:t>
      </w:r>
      <w:r w:rsidR="00C96617">
        <w:rPr>
          <w:color w:val="auto"/>
        </w:rPr>
        <w:t xml:space="preserve"> </w:t>
      </w:r>
      <w:r w:rsidRPr="00B0618E">
        <w:rPr>
          <w:color w:val="auto"/>
        </w:rPr>
        <w:t>to 54</w:t>
      </w:r>
      <w:r w:rsidR="00C96617">
        <w:rPr>
          <w:color w:val="auto"/>
        </w:rPr>
        <w:t xml:space="preserve"> years.</w:t>
      </w:r>
      <w:r w:rsidRPr="00B0618E">
        <w:rPr>
          <w:color w:val="auto"/>
        </w:rPr>
        <w:t xml:space="preserve"> </w:t>
      </w:r>
    </w:p>
    <w:p w14:paraId="49812CE4" w14:textId="77777777" w:rsidR="00B518A2" w:rsidRPr="00B0618E" w:rsidRDefault="00B518A2" w:rsidP="00B518A2">
      <w:pPr>
        <w:pStyle w:val="BodyText"/>
        <w:keepNext/>
        <w:jc w:val="center"/>
      </w:pPr>
      <w:r w:rsidRPr="00B0618E">
        <w:rPr>
          <w:noProof/>
        </w:rPr>
        <w:drawing>
          <wp:inline distT="0" distB="0" distL="0" distR="0" wp14:anchorId="5B5BED14" wp14:editId="4E68A6BB">
            <wp:extent cx="5755640" cy="2877820"/>
            <wp:effectExtent l="0" t="0" r="0" b="0"/>
            <wp:docPr id="84" name="Picture 84" descr="Charts of statistics of model outputs" title="Fig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OWS_FAM\Models\Version8_analysis\Plot_bootstrap_outputs_v06_010317_CDF_PDF_tMXD.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5640" cy="2877820"/>
                    </a:xfrm>
                    <a:prstGeom prst="rect">
                      <a:avLst/>
                    </a:prstGeom>
                    <a:noFill/>
                    <a:ln>
                      <a:noFill/>
                    </a:ln>
                  </pic:spPr>
                </pic:pic>
              </a:graphicData>
            </a:graphic>
          </wp:inline>
        </w:drawing>
      </w:r>
    </w:p>
    <w:p w14:paraId="7BA3F0DB" w14:textId="6A5FC7A7" w:rsidR="00B518A2" w:rsidRPr="00B0618E" w:rsidRDefault="00B518A2" w:rsidP="00B518A2">
      <w:pPr>
        <w:pStyle w:val="Caption"/>
      </w:pPr>
      <w:bookmarkStart w:id="189" w:name="_Ref479511526"/>
      <w:bookmarkStart w:id="190" w:name="_Toc482034945"/>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9</w:t>
      </w:r>
      <w:r w:rsidR="00A2085C">
        <w:rPr>
          <w:noProof/>
        </w:rPr>
        <w:fldChar w:fldCharType="end"/>
      </w:r>
      <w:bookmarkEnd w:id="189"/>
      <w:r w:rsidRPr="00B0618E">
        <w:t>. (a) Cumulative density function and (b) frequency histogram of initial (black) and revised (red) predictions of the timing of maximum drawdown, based on sample sizes of 300 model runs (‘Initial’) and 50 model runs (‘Heterogeneous’).</w:t>
      </w:r>
      <w:bookmarkEnd w:id="190"/>
    </w:p>
    <w:p w14:paraId="4548FC99" w14:textId="02D0D59E" w:rsidR="00ED3B39" w:rsidRDefault="00ED3B39" w:rsidP="00C619B8">
      <w:pPr>
        <w:pStyle w:val="BodyText"/>
        <w:rPr>
          <w:color w:val="auto"/>
        </w:rPr>
      </w:pPr>
      <w:r>
        <w:rPr>
          <w:color w:val="auto"/>
        </w:rPr>
        <w:t xml:space="preserve">These results are unlikely due to the smaller number of model runs (i.e., 50 compared to 300), based on the condition that the scale of the model is larger than the </w:t>
      </w:r>
      <w:r w:rsidR="005C43A2">
        <w:rPr>
          <w:color w:val="auto"/>
        </w:rPr>
        <w:t xml:space="preserve">correlation </w:t>
      </w:r>
      <w:r w:rsidR="005C43A2" w:rsidRPr="00ED3B39">
        <w:rPr>
          <w:color w:val="auto"/>
        </w:rPr>
        <w:t>scales of the pertinent formation properties</w:t>
      </w:r>
      <w:r w:rsidR="005C43A2">
        <w:rPr>
          <w:color w:val="auto"/>
        </w:rPr>
        <w:t xml:space="preserve"> (i.e. </w:t>
      </w:r>
      <w:r>
        <w:rPr>
          <w:color w:val="auto"/>
        </w:rPr>
        <w:t>scale of the small-scale heterogeneity</w:t>
      </w:r>
      <w:r w:rsidR="005C43A2">
        <w:rPr>
          <w:color w:val="auto"/>
        </w:rPr>
        <w:t>,</w:t>
      </w:r>
      <w:r>
        <w:rPr>
          <w:color w:val="auto"/>
        </w:rPr>
        <w:t xml:space="preserve"> Section </w:t>
      </w:r>
      <w:r w:rsidR="005C43A2">
        <w:rPr>
          <w:color w:val="auto"/>
        </w:rPr>
        <w:fldChar w:fldCharType="begin"/>
      </w:r>
      <w:r w:rsidR="005C43A2">
        <w:rPr>
          <w:color w:val="auto"/>
        </w:rPr>
        <w:instrText xml:space="preserve"> REF _Ref479509538 \r \h </w:instrText>
      </w:r>
      <w:r w:rsidR="005C43A2">
        <w:rPr>
          <w:color w:val="auto"/>
        </w:rPr>
      </w:r>
      <w:r w:rsidR="005C43A2">
        <w:rPr>
          <w:color w:val="auto"/>
        </w:rPr>
        <w:fldChar w:fldCharType="separate"/>
      </w:r>
      <w:r w:rsidR="000B6FA5">
        <w:rPr>
          <w:color w:val="auto"/>
        </w:rPr>
        <w:t>6.3</w:t>
      </w:r>
      <w:r w:rsidR="005C43A2">
        <w:rPr>
          <w:color w:val="auto"/>
        </w:rPr>
        <w:fldChar w:fldCharType="end"/>
      </w:r>
      <w:r>
        <w:rPr>
          <w:color w:val="auto"/>
        </w:rPr>
        <w:t>).</w:t>
      </w:r>
      <w:r w:rsidR="001719AF">
        <w:rPr>
          <w:color w:val="auto"/>
        </w:rPr>
        <w:t xml:space="preserve"> As illustrated in </w:t>
      </w:r>
      <w:r w:rsidR="001719AF">
        <w:rPr>
          <w:color w:val="auto"/>
        </w:rPr>
        <w:fldChar w:fldCharType="begin"/>
      </w:r>
      <w:r w:rsidR="001719AF">
        <w:rPr>
          <w:color w:val="auto"/>
        </w:rPr>
        <w:instrText xml:space="preserve"> REF _Ref479510811 \h </w:instrText>
      </w:r>
      <w:r w:rsidR="001719AF">
        <w:rPr>
          <w:color w:val="auto"/>
        </w:rPr>
      </w:r>
      <w:r w:rsidR="001719AF">
        <w:rPr>
          <w:color w:val="auto"/>
        </w:rPr>
        <w:fldChar w:fldCharType="separate"/>
      </w:r>
      <w:r w:rsidR="000B6FA5" w:rsidRPr="004C64BF">
        <w:t xml:space="preserve">Figure </w:t>
      </w:r>
      <w:r w:rsidR="000B6FA5">
        <w:rPr>
          <w:noProof/>
        </w:rPr>
        <w:t>6</w:t>
      </w:r>
      <w:r w:rsidR="000B6FA5">
        <w:noBreakHyphen/>
      </w:r>
      <w:r w:rsidR="000B6FA5">
        <w:rPr>
          <w:noProof/>
        </w:rPr>
        <w:t>10</w:t>
      </w:r>
      <w:r w:rsidR="001719AF">
        <w:rPr>
          <w:color w:val="auto"/>
        </w:rPr>
        <w:fldChar w:fldCharType="end"/>
      </w:r>
      <w:r w:rsidR="001719AF">
        <w:rPr>
          <w:color w:val="auto"/>
        </w:rPr>
        <w:t xml:space="preserve">, the heterogeneous model results in much better constrained model outputs due to Sequential Gaussian Simulation used to generate, and constrain, the heterogeneous </w:t>
      </w:r>
      <w:r w:rsidR="001719AF" w:rsidRPr="001719AF">
        <w:rPr>
          <w:i/>
          <w:color w:val="auto"/>
        </w:rPr>
        <w:t>K</w:t>
      </w:r>
      <w:r w:rsidR="001719AF" w:rsidRPr="001719AF">
        <w:rPr>
          <w:color w:val="auto"/>
          <w:vertAlign w:val="subscript"/>
        </w:rPr>
        <w:t>V</w:t>
      </w:r>
      <w:r w:rsidR="001719AF">
        <w:rPr>
          <w:color w:val="auto"/>
        </w:rPr>
        <w:t xml:space="preserve"> fields. Indeed, the time of maximum drawdown is constrained to a relatively narrow band between 11 and 80 years, with only on</w:t>
      </w:r>
      <w:r w:rsidR="006C10EE">
        <w:rPr>
          <w:color w:val="auto"/>
        </w:rPr>
        <w:t>e</w:t>
      </w:r>
      <w:r w:rsidR="001719AF">
        <w:rPr>
          <w:color w:val="auto"/>
        </w:rPr>
        <w:t xml:space="preserve"> exception at 137 years.</w:t>
      </w:r>
      <w:r w:rsidR="006C10EE">
        <w:rPr>
          <w:color w:val="auto"/>
        </w:rPr>
        <w:t xml:space="preserve"> Time of maximum drawdown for the homogeneous model is not constrained, with values covering the full </w:t>
      </w:r>
      <w:r w:rsidR="00585852">
        <w:rPr>
          <w:color w:val="auto"/>
        </w:rPr>
        <w:t xml:space="preserve">modelled extent </w:t>
      </w:r>
      <w:r w:rsidR="006C10EE">
        <w:rPr>
          <w:color w:val="auto"/>
        </w:rPr>
        <w:t xml:space="preserve">of 160 years, and some that have not yet reached their maximum drawdown. </w:t>
      </w:r>
    </w:p>
    <w:p w14:paraId="433DA1D0" w14:textId="64A3A9DA" w:rsidR="0001333C" w:rsidRPr="002819F9" w:rsidRDefault="002819F9" w:rsidP="0001333C">
      <w:pPr>
        <w:pStyle w:val="BodyText"/>
        <w:jc w:val="center"/>
        <w:rPr>
          <w:color w:val="auto"/>
        </w:rPr>
      </w:pPr>
      <w:r w:rsidRPr="002819F9">
        <w:rPr>
          <w:color w:val="auto"/>
        </w:rPr>
        <w:t xml:space="preserve"> </w:t>
      </w:r>
      <w:r w:rsidRPr="002819F9">
        <w:rPr>
          <w:noProof/>
        </w:rPr>
        <w:drawing>
          <wp:inline distT="0" distB="0" distL="0" distR="0" wp14:anchorId="7AFB0BBA" wp14:editId="76F790DB">
            <wp:extent cx="3333750" cy="3200400"/>
            <wp:effectExtent l="0" t="0" r="0" b="0"/>
            <wp:docPr id="127" name="Picture 127" descr="Charts of statistics from model outputs" title="Fig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333750" cy="3200400"/>
                    </a:xfrm>
                    <a:prstGeom prst="rect">
                      <a:avLst/>
                    </a:prstGeom>
                    <a:noFill/>
                    <a:ln>
                      <a:noFill/>
                    </a:ln>
                  </pic:spPr>
                </pic:pic>
              </a:graphicData>
            </a:graphic>
          </wp:inline>
        </w:drawing>
      </w:r>
    </w:p>
    <w:p w14:paraId="53B2F235" w14:textId="2ED2AADB" w:rsidR="00B518A2" w:rsidRPr="00B518A2" w:rsidRDefault="001719AF" w:rsidP="00616DE3">
      <w:pPr>
        <w:pStyle w:val="Caption"/>
      </w:pPr>
      <w:bookmarkStart w:id="191" w:name="_Ref479510811"/>
      <w:bookmarkStart w:id="192" w:name="_Toc482034946"/>
      <w:r w:rsidRPr="004C64BF">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10</w:t>
      </w:r>
      <w:r w:rsidR="00A2085C">
        <w:rPr>
          <w:noProof/>
        </w:rPr>
        <w:fldChar w:fldCharType="end"/>
      </w:r>
      <w:bookmarkEnd w:id="191"/>
      <w:r w:rsidRPr="002819F9">
        <w:t xml:space="preserve"> Maximum drawdown as a function of time of maximum drawdown for homogenous (300 ru</w:t>
      </w:r>
      <w:r>
        <w:t xml:space="preserve">ns) and heterogeneous (50 runs) model. Pink ellipse indicates decreasing trend between maximum drawdown and time of maximum drawdown. </w:t>
      </w:r>
      <w:r w:rsidR="00585852">
        <w:t xml:space="preserve">Note: clustering of filled red circles at </w:t>
      </w:r>
      <w:r w:rsidR="00585852">
        <w:rPr>
          <w:i/>
        </w:rPr>
        <w:t xml:space="preserve">t </w:t>
      </w:r>
      <w:r w:rsidR="00585852">
        <w:t>= 160 y was due to the limited temporal extent specified for model runs (see text for further details).</w:t>
      </w:r>
      <w:bookmarkEnd w:id="192"/>
    </w:p>
    <w:p w14:paraId="7AC82EB1" w14:textId="1102B654" w:rsidR="001719AF" w:rsidRPr="001719AF" w:rsidRDefault="00B518A2" w:rsidP="001719AF">
      <w:pPr>
        <w:pStyle w:val="BodyText"/>
      </w:pPr>
      <w:r>
        <w:rPr>
          <w:color w:val="auto"/>
        </w:rPr>
        <w:t xml:space="preserve">Of further interest is the decreasing trend in drawdown with increasing time to maximum drawdown. This trend extends beyond the data points for the heterogeneous case, and links into at least a subset of the homogeneous data points. In other words, the bulk of the data behaves as expected, where high </w:t>
      </w:r>
      <w:r w:rsidRPr="00B518A2">
        <w:rPr>
          <w:i/>
          <w:color w:val="auto"/>
        </w:rPr>
        <w:t>K</w:t>
      </w:r>
      <w:r w:rsidRPr="00B518A2">
        <w:rPr>
          <w:color w:val="auto"/>
          <w:vertAlign w:val="subscript"/>
        </w:rPr>
        <w:t>V</w:t>
      </w:r>
      <w:r>
        <w:rPr>
          <w:color w:val="auto"/>
        </w:rPr>
        <w:t xml:space="preserve"> values would allow for a higher drawdown which is obtained relatively sooner due to quicker reaction time of the system.</w:t>
      </w:r>
    </w:p>
    <w:p w14:paraId="4BC978CF" w14:textId="58095F0B" w:rsidR="00C619B8" w:rsidRPr="00B0618E" w:rsidRDefault="00C619B8" w:rsidP="00C619B8">
      <w:pPr>
        <w:pStyle w:val="Heading3"/>
      </w:pPr>
      <w:r w:rsidRPr="00B0618E">
        <w:t xml:space="preserve">Prediction </w:t>
      </w:r>
      <w:r w:rsidR="00B518A2">
        <w:t xml:space="preserve">metric </w:t>
      </w:r>
      <w:r w:rsidRPr="00B0618E">
        <w:t>3: Spatial extent of drawdown propagation</w:t>
      </w:r>
    </w:p>
    <w:p w14:paraId="0B2C6EF3" w14:textId="4D29B573" w:rsidR="00C619B8" w:rsidRPr="00B0618E" w:rsidRDefault="00C619B8" w:rsidP="00C619B8">
      <w:pPr>
        <w:pStyle w:val="BodyText"/>
        <w:rPr>
          <w:color w:val="auto"/>
        </w:rPr>
      </w:pPr>
      <w:r w:rsidRPr="00B0618E">
        <w:rPr>
          <w:color w:val="auto"/>
        </w:rPr>
        <w:t xml:space="preserve">Predictions of the spatial extent of drawdown propagation ranged from zero cells to 726 cells, with a median value of 63 cells. This reflected an increase in the median predicted value by 63 cells. The </w:t>
      </w:r>
      <w:r w:rsidR="00693154" w:rsidRPr="00B0618E">
        <w:t>standard deviation</w:t>
      </w:r>
      <w:r w:rsidR="00693154" w:rsidRPr="00B0618E">
        <w:rPr>
          <w:color w:val="auto"/>
        </w:rPr>
        <w:t xml:space="preserve"> </w:t>
      </w:r>
      <w:r w:rsidRPr="00B0618E">
        <w:rPr>
          <w:color w:val="auto"/>
        </w:rPr>
        <w:t xml:space="preserve">of predicted values reduced by </w:t>
      </w:r>
      <w:r w:rsidR="000C6359" w:rsidRPr="00B0618E">
        <w:rPr>
          <w:color w:val="auto"/>
        </w:rPr>
        <w:t>1</w:t>
      </w:r>
      <w:r w:rsidR="0084153B" w:rsidRPr="00B0618E">
        <w:rPr>
          <w:color w:val="auto"/>
        </w:rPr>
        <w:t xml:space="preserve"> </w:t>
      </w:r>
      <w:r w:rsidR="000C6359" w:rsidRPr="00B0618E">
        <w:rPr>
          <w:color w:val="auto"/>
        </w:rPr>
        <w:t>636</w:t>
      </w:r>
      <w:r w:rsidRPr="00B0618E">
        <w:rPr>
          <w:color w:val="auto"/>
        </w:rPr>
        <w:t xml:space="preserve"> cells to </w:t>
      </w:r>
      <w:r w:rsidR="00693154" w:rsidRPr="00B0618E">
        <w:rPr>
          <w:color w:val="auto"/>
        </w:rPr>
        <w:t>194</w:t>
      </w:r>
      <w:r w:rsidRPr="00B0618E">
        <w:rPr>
          <w:color w:val="auto"/>
        </w:rPr>
        <w:t xml:space="preserve"> cells. </w:t>
      </w:r>
      <w:r w:rsidR="008D1E81" w:rsidRPr="00B0618E">
        <w:rPr>
          <w:color w:val="auto"/>
        </w:rPr>
        <w:t xml:space="preserve">The interquartile range of predicted values reduced by 1 217 cells to 279 cells. </w:t>
      </w:r>
      <w:r w:rsidRPr="00B0618E">
        <w:rPr>
          <w:color w:val="auto"/>
        </w:rPr>
        <w:t xml:space="preserve">The 90 % confidence interval reduced by 257 cells to 90 cells. </w:t>
      </w:r>
    </w:p>
    <w:p w14:paraId="42A91A46" w14:textId="65C7A0CE" w:rsidR="00C619B8" w:rsidRPr="00B0618E" w:rsidRDefault="00891F3C" w:rsidP="00C619B8">
      <w:pPr>
        <w:pStyle w:val="BodyText"/>
        <w:keepNext/>
      </w:pPr>
      <w:r w:rsidRPr="00B0618E">
        <w:rPr>
          <w:noProof/>
        </w:rPr>
        <w:drawing>
          <wp:inline distT="0" distB="0" distL="0" distR="0" wp14:anchorId="30AFC517" wp14:editId="17B55036">
            <wp:extent cx="5763260" cy="2875280"/>
            <wp:effectExtent l="0" t="0" r="8890" b="1270"/>
            <wp:docPr id="58" name="Picture 58" descr="Charts of statistics of model outputs" title="Fig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OWS_FAM\Models\Version8_analysis\Plot_bootstrap_outputs_v06_010317_CDF_PDF_NDD.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3260" cy="2875280"/>
                    </a:xfrm>
                    <a:prstGeom prst="rect">
                      <a:avLst/>
                    </a:prstGeom>
                    <a:noFill/>
                    <a:ln>
                      <a:noFill/>
                    </a:ln>
                  </pic:spPr>
                </pic:pic>
              </a:graphicData>
            </a:graphic>
          </wp:inline>
        </w:drawing>
      </w:r>
    </w:p>
    <w:p w14:paraId="6C61B988" w14:textId="5544ECB1" w:rsidR="00C619B8" w:rsidRPr="00B0618E" w:rsidRDefault="00C619B8" w:rsidP="00C619B8">
      <w:pPr>
        <w:pStyle w:val="Caption"/>
      </w:pPr>
      <w:bookmarkStart w:id="193" w:name="_Toc482034947"/>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11</w:t>
      </w:r>
      <w:r w:rsidR="00A2085C">
        <w:rPr>
          <w:noProof/>
        </w:rPr>
        <w:fldChar w:fldCharType="end"/>
      </w:r>
      <w:r w:rsidRPr="00B0618E">
        <w:t xml:space="preserve">. (a) Cumulative </w:t>
      </w:r>
      <w:r w:rsidR="00A95025" w:rsidRPr="00B0618E">
        <w:t xml:space="preserve">density function and (b) frequency histogram </w:t>
      </w:r>
      <w:r w:rsidRPr="00B0618E">
        <w:t>of initial (black) and revised (red) predictions of the spatial extent of drawdown in excess of 2 m</w:t>
      </w:r>
      <w:r w:rsidR="004107EF" w:rsidRPr="00B0618E">
        <w:t>, based on sample sizes of 300 model runs (‘Initial’) and 50 model runs (‘Heterogeneous’)</w:t>
      </w:r>
      <w:r w:rsidRPr="00B0618E">
        <w:t>.</w:t>
      </w:r>
      <w:bookmarkEnd w:id="193"/>
    </w:p>
    <w:p w14:paraId="1033ADFB" w14:textId="77777777" w:rsidR="00417FDB" w:rsidRPr="00B0618E" w:rsidRDefault="00417FDB" w:rsidP="00417FDB">
      <w:pPr>
        <w:pStyle w:val="BodyText"/>
      </w:pPr>
    </w:p>
    <w:p w14:paraId="7FC6FF0E" w14:textId="640CF638" w:rsidR="00417FDB" w:rsidRPr="00B0618E" w:rsidRDefault="00417FDB" w:rsidP="00417FDB">
      <w:pPr>
        <w:pStyle w:val="BodyText"/>
        <w:rPr>
          <w:color w:val="auto"/>
        </w:rPr>
      </w:pPr>
      <w:r w:rsidRPr="00B0618E">
        <w:fldChar w:fldCharType="begin"/>
      </w:r>
      <w:r w:rsidRPr="00B0618E">
        <w:instrText xml:space="preserve"> REF _Ref478327966 \h </w:instrText>
      </w:r>
      <w:r w:rsidR="00B0618E">
        <w:instrText xml:space="preserve"> \* MERGEFORMAT </w:instrText>
      </w:r>
      <w:r w:rsidRPr="00B0618E">
        <w:fldChar w:fldCharType="separate"/>
      </w:r>
      <w:r w:rsidR="000B6FA5" w:rsidRPr="00B0618E">
        <w:t xml:space="preserve">Figure </w:t>
      </w:r>
      <w:r w:rsidR="000B6FA5">
        <w:rPr>
          <w:noProof/>
        </w:rPr>
        <w:t>6</w:t>
      </w:r>
      <w:r w:rsidR="000B6FA5">
        <w:rPr>
          <w:noProof/>
        </w:rPr>
        <w:noBreakHyphen/>
        <w:t>12</w:t>
      </w:r>
      <w:r w:rsidRPr="00B0618E">
        <w:fldChar w:fldCharType="end"/>
      </w:r>
      <w:r w:rsidRPr="00B0618E">
        <w:t xml:space="preserve"> shows spatial maps with isolines of drawdowns for the </w:t>
      </w:r>
      <w:r w:rsidR="00691B71">
        <w:t>5</w:t>
      </w:r>
      <w:r w:rsidR="00691B71" w:rsidRPr="0070632E">
        <w:rPr>
          <w:vertAlign w:val="superscript"/>
        </w:rPr>
        <w:t>th</w:t>
      </w:r>
      <w:r w:rsidR="00691B71">
        <w:t>, 50</w:t>
      </w:r>
      <w:r w:rsidR="00691B71" w:rsidRPr="0070632E">
        <w:rPr>
          <w:vertAlign w:val="superscript"/>
        </w:rPr>
        <w:t>th</w:t>
      </w:r>
      <w:r w:rsidR="00691B71">
        <w:t xml:space="preserve">, </w:t>
      </w:r>
      <w:r w:rsidRPr="00B0618E">
        <w:t>90</w:t>
      </w:r>
      <w:r w:rsidRPr="00B0618E">
        <w:rPr>
          <w:vertAlign w:val="superscript"/>
        </w:rPr>
        <w:t>th</w:t>
      </w:r>
      <w:r w:rsidRPr="00B0618E">
        <w:t>, 95</w:t>
      </w:r>
      <w:r w:rsidRPr="00B0618E">
        <w:rPr>
          <w:vertAlign w:val="superscript"/>
        </w:rPr>
        <w:t>th</w:t>
      </w:r>
      <w:r w:rsidRPr="00B0618E">
        <w:t>, and 99</w:t>
      </w:r>
      <w:r w:rsidRPr="00B0618E">
        <w:rPr>
          <w:vertAlign w:val="superscript"/>
        </w:rPr>
        <w:t>th</w:t>
      </w:r>
      <w:r w:rsidRPr="00B0618E">
        <w:t xml:space="preserve"> percentiles, based on 50 calculated values of drawdown for each model cell. Isolines shown are for 1 and 2 m drawdown (</w:t>
      </w:r>
      <w:r w:rsidRPr="00B0618E">
        <w:fldChar w:fldCharType="begin"/>
      </w:r>
      <w:r w:rsidRPr="00B0618E">
        <w:instrText xml:space="preserve"> REF _Ref478327966 \h </w:instrText>
      </w:r>
      <w:r w:rsidR="00B0618E">
        <w:instrText xml:space="preserve"> \* MERGEFORMAT </w:instrText>
      </w:r>
      <w:r w:rsidRPr="00B0618E">
        <w:fldChar w:fldCharType="separate"/>
      </w:r>
      <w:r w:rsidR="000B6FA5" w:rsidRPr="00B0618E">
        <w:t xml:space="preserve">Figure </w:t>
      </w:r>
      <w:r w:rsidR="000B6FA5">
        <w:rPr>
          <w:noProof/>
        </w:rPr>
        <w:t>6</w:t>
      </w:r>
      <w:r w:rsidR="000B6FA5">
        <w:rPr>
          <w:noProof/>
        </w:rPr>
        <w:noBreakHyphen/>
        <w:t>12</w:t>
      </w:r>
      <w:r w:rsidRPr="00B0618E">
        <w:fldChar w:fldCharType="end"/>
      </w:r>
      <w:r w:rsidRPr="00B0618E">
        <w:t xml:space="preserve">), where drawdown values are taken at 155 years following cessation of gas extraction. </w:t>
      </w:r>
      <w:r w:rsidR="00691B71">
        <w:t>For the 5</w:t>
      </w:r>
      <w:r w:rsidR="00691B71" w:rsidRPr="0070632E">
        <w:rPr>
          <w:vertAlign w:val="superscript"/>
        </w:rPr>
        <w:t>th</w:t>
      </w:r>
      <w:r w:rsidR="00691B71">
        <w:t xml:space="preserve"> and 50</w:t>
      </w:r>
      <w:r w:rsidR="00691B71" w:rsidRPr="0070632E">
        <w:rPr>
          <w:vertAlign w:val="superscript"/>
        </w:rPr>
        <w:t>th</w:t>
      </w:r>
      <w:r w:rsidR="00691B71">
        <w:t xml:space="preserve"> percentile there are no areas with a drawdown equal to or larger than 1 m. In other words, the expected (50</w:t>
      </w:r>
      <w:r w:rsidR="00691B71" w:rsidRPr="0070632E">
        <w:rPr>
          <w:vertAlign w:val="superscript"/>
        </w:rPr>
        <w:t>th</w:t>
      </w:r>
      <w:r w:rsidR="00691B71">
        <w:t xml:space="preserve"> percentile) value shows that not a single area has a drawdown equal to or in excess of 1 m. </w:t>
      </w:r>
      <w:r w:rsidRPr="00B0618E">
        <w:t>Compared to the initial model drawdowns (</w:t>
      </w:r>
      <w:r w:rsidRPr="00B0618E">
        <w:fldChar w:fldCharType="begin"/>
      </w:r>
      <w:r w:rsidRPr="00B0618E">
        <w:instrText xml:space="preserve"> REF _Ref478319130 \h </w:instrText>
      </w:r>
      <w:r w:rsidR="00B0618E">
        <w:instrText xml:space="preserve"> \* MERGEFORMAT </w:instrText>
      </w:r>
      <w:r w:rsidRPr="00B0618E">
        <w:fldChar w:fldCharType="separate"/>
      </w:r>
      <w:r w:rsidR="000B6FA5" w:rsidRPr="00B0618E">
        <w:t xml:space="preserve">Figure </w:t>
      </w:r>
      <w:r w:rsidR="000B6FA5">
        <w:rPr>
          <w:noProof/>
        </w:rPr>
        <w:t>3</w:t>
      </w:r>
      <w:r w:rsidR="000B6FA5">
        <w:rPr>
          <w:noProof/>
        </w:rPr>
        <w:noBreakHyphen/>
        <w:t>15</w:t>
      </w:r>
      <w:r w:rsidRPr="00B0618E">
        <w:fldChar w:fldCharType="end"/>
      </w:r>
      <w:r w:rsidRPr="00B0618E">
        <w:t>) and revised model drawdowns (</w:t>
      </w:r>
      <w:r w:rsidRPr="00B0618E">
        <w:fldChar w:fldCharType="begin"/>
      </w:r>
      <w:r w:rsidRPr="00B0618E">
        <w:instrText xml:space="preserve"> REF _Ref478325908 \h </w:instrText>
      </w:r>
      <w:r w:rsidR="00B0618E">
        <w:instrText xml:space="preserve"> \* MERGEFORMAT </w:instrText>
      </w:r>
      <w:r w:rsidRPr="00B0618E">
        <w:fldChar w:fldCharType="separate"/>
      </w:r>
      <w:r w:rsidR="000B6FA5" w:rsidRPr="00B0618E">
        <w:t xml:space="preserve">Figure </w:t>
      </w:r>
      <w:r w:rsidR="000B6FA5">
        <w:rPr>
          <w:noProof/>
        </w:rPr>
        <w:t>5</w:t>
      </w:r>
      <w:r w:rsidR="000B6FA5">
        <w:rPr>
          <w:noProof/>
        </w:rPr>
        <w:noBreakHyphen/>
        <w:t>15</w:t>
      </w:r>
      <w:r w:rsidRPr="00B0618E">
        <w:fldChar w:fldCharType="end"/>
      </w:r>
      <w:r w:rsidRPr="00B0618E">
        <w:t xml:space="preserve">), </w:t>
      </w:r>
      <w:r w:rsidR="000E1697" w:rsidRPr="00B0618E">
        <w:t>considerably smaller</w:t>
      </w:r>
      <w:r w:rsidRPr="00B0618E">
        <w:t xml:space="preserve"> areas of drawdown </w:t>
      </w:r>
      <w:r w:rsidR="00691B71">
        <w:t xml:space="preserve">larger than 1 and 2 m </w:t>
      </w:r>
      <w:r w:rsidRPr="00B0618E">
        <w:t xml:space="preserve">are observed for </w:t>
      </w:r>
      <w:r w:rsidR="000E1697" w:rsidRPr="00B0618E">
        <w:t>all percentiles</w:t>
      </w:r>
      <w:r w:rsidRPr="00B0618E">
        <w:t>.</w:t>
      </w:r>
      <w:r w:rsidR="00691B71">
        <w:t xml:space="preserve"> At the 95</w:t>
      </w:r>
      <w:r w:rsidR="00691B71" w:rsidRPr="00691B71">
        <w:rPr>
          <w:vertAlign w:val="superscript"/>
        </w:rPr>
        <w:t>th</w:t>
      </w:r>
      <w:r w:rsidR="00691B71">
        <w:t xml:space="preserve"> percentile, the overall maximum drawdown across all 50 model runs is 6.1 m.</w:t>
      </w:r>
    </w:p>
    <w:p w14:paraId="5208D09E" w14:textId="3CB1B60A" w:rsidR="00172AF9" w:rsidRPr="00B0618E" w:rsidRDefault="00172AF9" w:rsidP="00172AF9">
      <w:pPr>
        <w:pStyle w:val="BodyText"/>
      </w:pPr>
    </w:p>
    <w:p w14:paraId="373820D4" w14:textId="1E873DEE" w:rsidR="00172AF9" w:rsidRPr="00B0618E" w:rsidRDefault="005A09B0" w:rsidP="002819F9">
      <w:pPr>
        <w:pStyle w:val="BodyText"/>
        <w:keepNext/>
        <w:keepLines/>
      </w:pPr>
      <w:r w:rsidRPr="005A09B0">
        <w:t xml:space="preserve"> </w:t>
      </w:r>
      <w:r w:rsidRPr="005A09B0">
        <w:rPr>
          <w:noProof/>
        </w:rPr>
        <w:drawing>
          <wp:inline distT="0" distB="0" distL="0" distR="0" wp14:anchorId="4C64FC14" wp14:editId="0320E2FA">
            <wp:extent cx="6036310" cy="5539105"/>
            <wp:effectExtent l="0" t="0" r="2540" b="4445"/>
            <wp:docPr id="90" name="Picture 90" descr="Diagram of spatial distribution of drawdown from model outputs" title="Fig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36310" cy="5539105"/>
                    </a:xfrm>
                    <a:prstGeom prst="rect">
                      <a:avLst/>
                    </a:prstGeom>
                    <a:noFill/>
                    <a:ln>
                      <a:noFill/>
                    </a:ln>
                  </pic:spPr>
                </pic:pic>
              </a:graphicData>
            </a:graphic>
          </wp:inline>
        </w:drawing>
      </w:r>
    </w:p>
    <w:p w14:paraId="76B48510" w14:textId="0B12455F" w:rsidR="00503F2C" w:rsidRPr="00B0618E" w:rsidRDefault="00503F2C" w:rsidP="002819F9">
      <w:pPr>
        <w:pStyle w:val="Caption"/>
        <w:keepLines/>
      </w:pPr>
      <w:bookmarkStart w:id="194" w:name="_Ref478327966"/>
      <w:bookmarkStart w:id="195" w:name="_Toc482034948"/>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12</w:t>
      </w:r>
      <w:r w:rsidR="00A2085C">
        <w:rPr>
          <w:noProof/>
        </w:rPr>
        <w:fldChar w:fldCharType="end"/>
      </w:r>
      <w:bookmarkEnd w:id="194"/>
      <w:r w:rsidRPr="00B0618E">
        <w:t xml:space="preserve">. </w:t>
      </w:r>
      <w:r w:rsidR="006E3611" w:rsidRPr="00B0618E">
        <w:t xml:space="preserve">Percentiles of spatial distributions of </w:t>
      </w:r>
      <w:r w:rsidR="000F051A">
        <w:t xml:space="preserve">1 and 2 m </w:t>
      </w:r>
      <w:r w:rsidR="006E3611" w:rsidRPr="00B0618E">
        <w:t>drawdown</w:t>
      </w:r>
      <w:r w:rsidR="004E35A8">
        <w:t xml:space="preserve"> (solid black lines)</w:t>
      </w:r>
      <w:r w:rsidR="006E3611" w:rsidRPr="00B0618E">
        <w:t>, observed at the median time of maximum drawdown (i.e., 155 years after the cessation of coal seam gas extraction)</w:t>
      </w:r>
      <w:r w:rsidR="006B19F6" w:rsidRPr="00B0618E">
        <w:t>; purple = Pilliga Sandstone aquifer cells; blue = upper aquitard sequence cells</w:t>
      </w:r>
      <w:r w:rsidR="006E3611" w:rsidRPr="00B0618E">
        <w:t xml:space="preserve">. </w:t>
      </w:r>
      <w:r w:rsidR="00691B71">
        <w:t xml:space="preserve">Drawdowns &lt; 1 m are not shown. </w:t>
      </w:r>
      <w:r w:rsidR="006E3611" w:rsidRPr="00B0618E">
        <w:t xml:space="preserve">Percentiles shown are (a) </w:t>
      </w:r>
      <w:r w:rsidR="000F051A">
        <w:t>5</w:t>
      </w:r>
      <w:r w:rsidR="000F051A" w:rsidRPr="000F051A">
        <w:rPr>
          <w:vertAlign w:val="superscript"/>
        </w:rPr>
        <w:t>th</w:t>
      </w:r>
      <w:r w:rsidR="000F051A">
        <w:t>, (b) 50</w:t>
      </w:r>
      <w:r w:rsidR="000F051A" w:rsidRPr="000F051A">
        <w:rPr>
          <w:vertAlign w:val="superscript"/>
        </w:rPr>
        <w:t>th</w:t>
      </w:r>
      <w:r w:rsidR="000F051A">
        <w:t xml:space="preserve">, (c) </w:t>
      </w:r>
      <w:r w:rsidR="006E3611" w:rsidRPr="00B0618E">
        <w:t>90</w:t>
      </w:r>
      <w:r w:rsidR="006E3611" w:rsidRPr="00B0618E">
        <w:rPr>
          <w:vertAlign w:val="superscript"/>
        </w:rPr>
        <w:t>th</w:t>
      </w:r>
      <w:r w:rsidR="006E3611" w:rsidRPr="00B0618E">
        <w:t>, (</w:t>
      </w:r>
      <w:r w:rsidR="000F051A">
        <w:t>d</w:t>
      </w:r>
      <w:r w:rsidR="006E3611" w:rsidRPr="00B0618E">
        <w:t>) 95</w:t>
      </w:r>
      <w:r w:rsidR="006E3611" w:rsidRPr="00B0618E">
        <w:rPr>
          <w:vertAlign w:val="superscript"/>
        </w:rPr>
        <w:t>th</w:t>
      </w:r>
      <w:r w:rsidR="006E3611" w:rsidRPr="00B0618E">
        <w:t xml:space="preserve"> and (</w:t>
      </w:r>
      <w:r w:rsidR="000F051A">
        <w:t>e</w:t>
      </w:r>
      <w:r w:rsidR="006E3611" w:rsidRPr="00B0618E">
        <w:t>) 99</w:t>
      </w:r>
      <w:r w:rsidR="006E3611" w:rsidRPr="00B0618E">
        <w:rPr>
          <w:vertAlign w:val="superscript"/>
        </w:rPr>
        <w:t>th</w:t>
      </w:r>
      <w:r w:rsidR="006E3611" w:rsidRPr="00B0618E">
        <w:t xml:space="preserve">. Distributions are based on </w:t>
      </w:r>
      <w:r w:rsidR="00B51581" w:rsidRPr="00B0618E">
        <w:t>a</w:t>
      </w:r>
      <w:r w:rsidR="006E3611" w:rsidRPr="00B0618E">
        <w:t xml:space="preserve"> set of </w:t>
      </w:r>
      <w:r w:rsidR="001E1B94" w:rsidRPr="00B0618E">
        <w:t>50</w:t>
      </w:r>
      <w:r w:rsidR="006E3611" w:rsidRPr="00B0618E">
        <w:t xml:space="preserve"> model runs that featured spatially variable parameterisation of aquitard vertical hydraulic conductivity values</w:t>
      </w:r>
      <w:r w:rsidR="00B51581" w:rsidRPr="00B0618E">
        <w:t xml:space="preserve"> (i.e., the ‘heterogeneous’ model)</w:t>
      </w:r>
      <w:r w:rsidR="006E3611" w:rsidRPr="00B0618E">
        <w:t>.</w:t>
      </w:r>
      <w:bookmarkEnd w:id="195"/>
      <w:r w:rsidR="006B19F6" w:rsidRPr="00B0618E">
        <w:t xml:space="preserve"> </w:t>
      </w:r>
    </w:p>
    <w:p w14:paraId="7C1788E5" w14:textId="4593F421" w:rsidR="00C619B8" w:rsidRPr="00B0618E" w:rsidRDefault="00C619B8" w:rsidP="00C619B8">
      <w:pPr>
        <w:pStyle w:val="Heading3"/>
      </w:pPr>
      <w:r w:rsidRPr="00B0618E">
        <w:t xml:space="preserve">Prediction </w:t>
      </w:r>
      <w:r w:rsidR="00B518A2">
        <w:t xml:space="preserve">metric </w:t>
      </w:r>
      <w:r w:rsidRPr="00B0618E">
        <w:t>4: Maximum vertical flux</w:t>
      </w:r>
    </w:p>
    <w:p w14:paraId="2DEBA803" w14:textId="0D73E123" w:rsidR="00C619B8" w:rsidRPr="00B0618E" w:rsidRDefault="00C619B8" w:rsidP="00C619B8">
      <w:pPr>
        <w:pStyle w:val="BodyText"/>
        <w:rPr>
          <w:color w:val="auto"/>
        </w:rPr>
      </w:pPr>
      <w:r w:rsidRPr="00B0618E">
        <w:rPr>
          <w:color w:val="auto"/>
        </w:rPr>
        <w:t>Predictions of the maximum change in vertical flux ranged from 548 m</w:t>
      </w:r>
      <w:r w:rsidRPr="00B0618E">
        <w:rPr>
          <w:color w:val="auto"/>
          <w:vertAlign w:val="superscript"/>
        </w:rPr>
        <w:t>3</w:t>
      </w:r>
      <w:r w:rsidRPr="00B0618E">
        <w:rPr>
          <w:color w:val="auto"/>
        </w:rPr>
        <w:t>/d to 1124 m</w:t>
      </w:r>
      <w:r w:rsidRPr="00B0618E">
        <w:rPr>
          <w:color w:val="auto"/>
          <w:vertAlign w:val="superscript"/>
        </w:rPr>
        <w:t>3</w:t>
      </w:r>
      <w:r w:rsidRPr="00B0618E">
        <w:rPr>
          <w:color w:val="auto"/>
        </w:rPr>
        <w:t>/d, with a median value of 751 m</w:t>
      </w:r>
      <w:r w:rsidRPr="00B0618E">
        <w:rPr>
          <w:color w:val="auto"/>
          <w:vertAlign w:val="superscript"/>
        </w:rPr>
        <w:t>3</w:t>
      </w:r>
      <w:r w:rsidRPr="00B0618E">
        <w:rPr>
          <w:color w:val="auto"/>
        </w:rPr>
        <w:t>/d. This reflected an increase in the median predicted value by 14 m</w:t>
      </w:r>
      <w:r w:rsidRPr="00B0618E">
        <w:rPr>
          <w:color w:val="auto"/>
          <w:vertAlign w:val="superscript"/>
        </w:rPr>
        <w:t>3</w:t>
      </w:r>
      <w:r w:rsidRPr="00B0618E">
        <w:rPr>
          <w:color w:val="auto"/>
        </w:rPr>
        <w:t xml:space="preserve">/d. The </w:t>
      </w:r>
      <w:r w:rsidR="00693154" w:rsidRPr="00B0618E">
        <w:t>standard deviation</w:t>
      </w:r>
      <w:r w:rsidR="00693154" w:rsidRPr="00B0618E">
        <w:rPr>
          <w:color w:val="auto"/>
        </w:rPr>
        <w:t xml:space="preserve"> </w:t>
      </w:r>
      <w:r w:rsidRPr="00B0618E">
        <w:rPr>
          <w:color w:val="auto"/>
        </w:rPr>
        <w:t xml:space="preserve">of predicted values reduced by </w:t>
      </w:r>
      <w:r w:rsidR="000C6359" w:rsidRPr="00B0618E">
        <w:rPr>
          <w:color w:val="auto"/>
        </w:rPr>
        <w:t>50</w:t>
      </w:r>
      <w:r w:rsidRPr="00B0618E">
        <w:rPr>
          <w:color w:val="auto"/>
        </w:rPr>
        <w:t xml:space="preserve"> m</w:t>
      </w:r>
      <w:r w:rsidRPr="00B0618E">
        <w:rPr>
          <w:color w:val="auto"/>
          <w:vertAlign w:val="superscript"/>
        </w:rPr>
        <w:t>3</w:t>
      </w:r>
      <w:r w:rsidRPr="00B0618E">
        <w:rPr>
          <w:color w:val="auto"/>
        </w:rPr>
        <w:t>/d</w:t>
      </w:r>
      <w:r w:rsidR="00693154" w:rsidRPr="00B0618E">
        <w:rPr>
          <w:color w:val="auto"/>
        </w:rPr>
        <w:t xml:space="preserve"> to 191 </w:t>
      </w:r>
      <w:r w:rsidRPr="00B0618E">
        <w:rPr>
          <w:color w:val="auto"/>
        </w:rPr>
        <w:t>m</w:t>
      </w:r>
      <w:r w:rsidRPr="00B0618E">
        <w:rPr>
          <w:color w:val="auto"/>
          <w:vertAlign w:val="superscript"/>
        </w:rPr>
        <w:t>3</w:t>
      </w:r>
      <w:r w:rsidRPr="00B0618E">
        <w:rPr>
          <w:color w:val="auto"/>
        </w:rPr>
        <w:t xml:space="preserve">/d. </w:t>
      </w:r>
      <w:r w:rsidR="008D1E81" w:rsidRPr="00B0618E">
        <w:rPr>
          <w:color w:val="auto"/>
        </w:rPr>
        <w:t>The interquartile range of predicted values reduced by 14 m</w:t>
      </w:r>
      <w:r w:rsidR="008D1E81" w:rsidRPr="00B0618E">
        <w:rPr>
          <w:color w:val="auto"/>
          <w:vertAlign w:val="superscript"/>
        </w:rPr>
        <w:t>3</w:t>
      </w:r>
      <w:r w:rsidR="008D1E81" w:rsidRPr="00B0618E">
        <w:rPr>
          <w:color w:val="auto"/>
        </w:rPr>
        <w:t>/d to 350 m</w:t>
      </w:r>
      <w:r w:rsidR="008D1E81" w:rsidRPr="00B0618E">
        <w:rPr>
          <w:color w:val="auto"/>
          <w:vertAlign w:val="superscript"/>
        </w:rPr>
        <w:t>3</w:t>
      </w:r>
      <w:r w:rsidR="008D1E81" w:rsidRPr="00B0618E">
        <w:rPr>
          <w:color w:val="auto"/>
        </w:rPr>
        <w:t xml:space="preserve">/d. </w:t>
      </w:r>
      <w:r w:rsidRPr="00B0618E">
        <w:rPr>
          <w:color w:val="auto"/>
        </w:rPr>
        <w:t>The 90 % confidence interval increased by 43 m</w:t>
      </w:r>
      <w:r w:rsidRPr="00B0618E">
        <w:rPr>
          <w:color w:val="auto"/>
          <w:vertAlign w:val="superscript"/>
        </w:rPr>
        <w:t>3</w:t>
      </w:r>
      <w:r w:rsidRPr="00B0618E">
        <w:rPr>
          <w:color w:val="auto"/>
        </w:rPr>
        <w:t>/d to 89 m</w:t>
      </w:r>
      <w:r w:rsidRPr="00B0618E">
        <w:rPr>
          <w:color w:val="auto"/>
          <w:vertAlign w:val="superscript"/>
        </w:rPr>
        <w:t>3</w:t>
      </w:r>
      <w:r w:rsidRPr="00B0618E">
        <w:rPr>
          <w:color w:val="auto"/>
        </w:rPr>
        <w:t xml:space="preserve">/d.  </w:t>
      </w:r>
    </w:p>
    <w:p w14:paraId="3F765061" w14:textId="4A92125E" w:rsidR="0084153B" w:rsidRPr="00B0618E" w:rsidRDefault="0084153B" w:rsidP="00C619B8">
      <w:pPr>
        <w:pStyle w:val="BodyText"/>
        <w:rPr>
          <w:color w:val="auto"/>
        </w:rPr>
      </w:pPr>
      <w:r w:rsidRPr="00B0618E">
        <w:rPr>
          <w:color w:val="auto"/>
        </w:rPr>
        <w:t>A comparison of the 50</w:t>
      </w:r>
      <w:r w:rsidRPr="00B0618E">
        <w:rPr>
          <w:color w:val="auto"/>
          <w:vertAlign w:val="superscript"/>
        </w:rPr>
        <w:t>th</w:t>
      </w:r>
      <w:r w:rsidRPr="00B0618E">
        <w:rPr>
          <w:color w:val="auto"/>
        </w:rPr>
        <w:t xml:space="preserve"> percentile</w:t>
      </w:r>
      <w:r w:rsidR="00B970DE" w:rsidRPr="00B0618E">
        <w:rPr>
          <w:color w:val="auto"/>
        </w:rPr>
        <w:t>s</w:t>
      </w:r>
      <w:r w:rsidRPr="00B0618E">
        <w:rPr>
          <w:color w:val="auto"/>
        </w:rPr>
        <w:t xml:space="preserve"> </w:t>
      </w:r>
      <w:r w:rsidR="00B970DE" w:rsidRPr="00B0618E">
        <w:rPr>
          <w:color w:val="auto"/>
        </w:rPr>
        <w:t xml:space="preserve">(or expected values) </w:t>
      </w:r>
      <w:r w:rsidRPr="00B0618E">
        <w:rPr>
          <w:color w:val="auto"/>
        </w:rPr>
        <w:t>of four prediction metrics</w:t>
      </w:r>
      <w:r w:rsidR="00B970DE" w:rsidRPr="00B0618E">
        <w:rPr>
          <w:color w:val="auto"/>
        </w:rPr>
        <w:t xml:space="preserve"> is available from </w:t>
      </w:r>
      <w:r w:rsidR="00B970DE" w:rsidRPr="00B0618E">
        <w:rPr>
          <w:color w:val="auto"/>
        </w:rPr>
        <w:fldChar w:fldCharType="begin"/>
      </w:r>
      <w:r w:rsidR="00B970DE" w:rsidRPr="00B0618E">
        <w:rPr>
          <w:color w:val="auto"/>
        </w:rPr>
        <w:instrText xml:space="preserve"> REF _Ref478329456 \h </w:instrText>
      </w:r>
      <w:r w:rsidR="00B0618E">
        <w:rPr>
          <w:color w:val="auto"/>
        </w:rPr>
        <w:instrText xml:space="preserve"> \* MERGEFORMAT </w:instrText>
      </w:r>
      <w:r w:rsidR="00B970DE" w:rsidRPr="00B0618E">
        <w:rPr>
          <w:color w:val="auto"/>
        </w:rPr>
      </w:r>
      <w:r w:rsidR="00B970DE" w:rsidRPr="00B0618E">
        <w:rPr>
          <w:color w:val="auto"/>
        </w:rPr>
        <w:fldChar w:fldCharType="separate"/>
      </w:r>
      <w:r w:rsidR="000B6FA5" w:rsidRPr="00B0618E">
        <w:t xml:space="preserve">Table </w:t>
      </w:r>
      <w:r w:rsidR="000B6FA5">
        <w:rPr>
          <w:noProof/>
        </w:rPr>
        <w:t>6</w:t>
      </w:r>
      <w:r w:rsidR="000B6FA5">
        <w:rPr>
          <w:noProof/>
        </w:rPr>
        <w:noBreakHyphen/>
        <w:t>3</w:t>
      </w:r>
      <w:r w:rsidR="00B970DE" w:rsidRPr="00B0618E">
        <w:rPr>
          <w:color w:val="auto"/>
        </w:rPr>
        <w:fldChar w:fldCharType="end"/>
      </w:r>
      <w:r w:rsidR="00B970DE" w:rsidRPr="00B0618E">
        <w:rPr>
          <w:color w:val="auto"/>
        </w:rPr>
        <w:t xml:space="preserve">; </w:t>
      </w:r>
      <w:r w:rsidR="008825FA" w:rsidRPr="00B0618E">
        <w:rPr>
          <w:color w:val="auto"/>
        </w:rPr>
        <w:t>the expected value of maximum drawdown increases from 0.7 m for the initial model to 1.2 m for the revised model and 3.4 m for the heterogeneous model.</w:t>
      </w:r>
      <w:r w:rsidRPr="00B0618E">
        <w:rPr>
          <w:color w:val="auto"/>
        </w:rPr>
        <w:t xml:space="preserve"> </w:t>
      </w:r>
    </w:p>
    <w:p w14:paraId="7E1AEF98" w14:textId="54BF38A8" w:rsidR="0084153B" w:rsidRPr="00B0618E" w:rsidRDefault="0084153B" w:rsidP="0084153B">
      <w:pPr>
        <w:pStyle w:val="Caption"/>
        <w:rPr>
          <w:color w:val="1F497D"/>
        </w:rPr>
      </w:pPr>
      <w:bookmarkStart w:id="196" w:name="_Ref478329456"/>
      <w:bookmarkStart w:id="197" w:name="_Toc503253895"/>
      <w:r w:rsidRPr="00B0618E">
        <w:t xml:space="preserve">Table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3</w:t>
      </w:r>
      <w:r w:rsidR="00A2085C">
        <w:rPr>
          <w:noProof/>
        </w:rPr>
        <w:fldChar w:fldCharType="end"/>
      </w:r>
      <w:bookmarkEnd w:id="196"/>
      <w:r w:rsidRPr="00B0618E">
        <w:t>. 50</w:t>
      </w:r>
      <w:r w:rsidRPr="00B0618E">
        <w:rPr>
          <w:vertAlign w:val="superscript"/>
        </w:rPr>
        <w:t>th</w:t>
      </w:r>
      <w:r w:rsidRPr="00B0618E">
        <w:t xml:space="preserve"> percentile (i.e., median) values of four prediction metrics based on sets of 300 model runs for each of the ‘initial’ and ‘revised’ models and 50 model runs with the ‘heterogeneous’ models.</w:t>
      </w:r>
      <w:bookmarkEnd w:id="197"/>
    </w:p>
    <w:tbl>
      <w:tblPr>
        <w:tblStyle w:val="TableCSIRO"/>
        <w:tblW w:w="0" w:type="auto"/>
        <w:tblLook w:val="04A0" w:firstRow="1" w:lastRow="0" w:firstColumn="1" w:lastColumn="0" w:noHBand="0" w:noVBand="1"/>
        <w:tblCaption w:val="Table 6-3"/>
        <w:tblDescription w:val="Table of model statistics"/>
      </w:tblPr>
      <w:tblGrid>
        <w:gridCol w:w="3431"/>
        <w:gridCol w:w="2031"/>
        <w:gridCol w:w="2031"/>
        <w:gridCol w:w="2032"/>
      </w:tblGrid>
      <w:tr w:rsidR="0084153B" w:rsidRPr="00B0618E" w14:paraId="0BC56043" w14:textId="77777777" w:rsidTr="001E4A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6A66A37C" w14:textId="77777777" w:rsidR="0084153B" w:rsidRPr="00B0618E" w:rsidRDefault="0084153B" w:rsidP="001E4A92">
            <w:pPr>
              <w:pStyle w:val="TableText"/>
              <w:rPr>
                <w:color w:val="FFFFFF" w:themeColor="background1"/>
              </w:rPr>
            </w:pPr>
            <w:r w:rsidRPr="00B0618E">
              <w:rPr>
                <w:color w:val="FFFFFF" w:themeColor="background1"/>
              </w:rPr>
              <w:t>Prediction</w:t>
            </w:r>
          </w:p>
        </w:tc>
        <w:tc>
          <w:tcPr>
            <w:tcW w:w="2031" w:type="dxa"/>
            <w:hideMark/>
          </w:tcPr>
          <w:p w14:paraId="7E9AC341" w14:textId="77777777" w:rsidR="0084153B" w:rsidRPr="00B0618E" w:rsidRDefault="0084153B" w:rsidP="001E4A92">
            <w:pPr>
              <w:pStyle w:val="TableText"/>
              <w:ind w:right="387"/>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 xml:space="preserve">‘Initial’ model </w:t>
            </w:r>
          </w:p>
        </w:tc>
        <w:tc>
          <w:tcPr>
            <w:tcW w:w="2031" w:type="dxa"/>
            <w:hideMark/>
          </w:tcPr>
          <w:p w14:paraId="12419472" w14:textId="77777777" w:rsidR="0084153B" w:rsidRPr="00B0618E" w:rsidRDefault="0084153B" w:rsidP="001E4A92">
            <w:pPr>
              <w:pStyle w:val="TableText"/>
              <w:ind w:right="291"/>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‘Revised’ model</w:t>
            </w:r>
          </w:p>
        </w:tc>
        <w:tc>
          <w:tcPr>
            <w:tcW w:w="2032" w:type="dxa"/>
          </w:tcPr>
          <w:p w14:paraId="78E88864" w14:textId="77777777" w:rsidR="0084153B" w:rsidRPr="00B0618E" w:rsidRDefault="0084153B" w:rsidP="001E4A92">
            <w:pPr>
              <w:pStyle w:val="TableText"/>
              <w:ind w:right="57"/>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‘Heterogeneous’ model</w:t>
            </w:r>
          </w:p>
        </w:tc>
      </w:tr>
      <w:tr w:rsidR="0084153B" w:rsidRPr="00B0618E" w14:paraId="03DD8FDB" w14:textId="77777777" w:rsidTr="001E4A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2E0AAE9A" w14:textId="77777777" w:rsidR="0084153B" w:rsidRPr="00B0618E" w:rsidRDefault="0084153B" w:rsidP="001E4A92">
            <w:pPr>
              <w:pStyle w:val="TableText"/>
              <w:rPr>
                <w:b w:val="0"/>
              </w:rPr>
            </w:pPr>
            <w:r w:rsidRPr="00B0618E">
              <w:rPr>
                <w:b w:val="0"/>
              </w:rPr>
              <w:t>Maximum drawdown (MXD)</w:t>
            </w:r>
          </w:p>
        </w:tc>
        <w:tc>
          <w:tcPr>
            <w:tcW w:w="2031" w:type="dxa"/>
            <w:hideMark/>
          </w:tcPr>
          <w:p w14:paraId="6AD90FA0" w14:textId="77777777" w:rsidR="0084153B" w:rsidRPr="00B0618E" w:rsidRDefault="0084153B" w:rsidP="001E4A92">
            <w:pPr>
              <w:pStyle w:val="TableText"/>
              <w:ind w:right="387"/>
              <w:jc w:val="right"/>
              <w:cnfStyle w:val="000000100000" w:firstRow="0" w:lastRow="0" w:firstColumn="0" w:lastColumn="0" w:oddVBand="0" w:evenVBand="0" w:oddHBand="1" w:evenHBand="0" w:firstRowFirstColumn="0" w:firstRowLastColumn="0" w:lastRowFirstColumn="0" w:lastRowLastColumn="0"/>
            </w:pPr>
            <w:r w:rsidRPr="00B0618E">
              <w:t>0.7 m</w:t>
            </w:r>
          </w:p>
        </w:tc>
        <w:tc>
          <w:tcPr>
            <w:tcW w:w="2031" w:type="dxa"/>
            <w:hideMark/>
          </w:tcPr>
          <w:p w14:paraId="24396A7B" w14:textId="77777777" w:rsidR="0084153B" w:rsidRPr="00B0618E" w:rsidRDefault="0084153B" w:rsidP="001E4A92">
            <w:pPr>
              <w:pStyle w:val="TableText"/>
              <w:ind w:right="291"/>
              <w:jc w:val="right"/>
              <w:cnfStyle w:val="000000100000" w:firstRow="0" w:lastRow="0" w:firstColumn="0" w:lastColumn="0" w:oddVBand="0" w:evenVBand="0" w:oddHBand="1" w:evenHBand="0" w:firstRowFirstColumn="0" w:firstRowLastColumn="0" w:lastRowFirstColumn="0" w:lastRowLastColumn="0"/>
            </w:pPr>
            <w:r w:rsidRPr="00B0618E">
              <w:t>1.2 m</w:t>
            </w:r>
          </w:p>
        </w:tc>
        <w:tc>
          <w:tcPr>
            <w:tcW w:w="2032" w:type="dxa"/>
          </w:tcPr>
          <w:p w14:paraId="49B6C62D" w14:textId="77777777" w:rsidR="0084153B" w:rsidRPr="00B0618E" w:rsidRDefault="0084153B" w:rsidP="001E4A92">
            <w:pPr>
              <w:pStyle w:val="TableText"/>
              <w:ind w:right="57"/>
              <w:jc w:val="right"/>
              <w:cnfStyle w:val="000000100000" w:firstRow="0" w:lastRow="0" w:firstColumn="0" w:lastColumn="0" w:oddVBand="0" w:evenVBand="0" w:oddHBand="1" w:evenHBand="0" w:firstRowFirstColumn="0" w:firstRowLastColumn="0" w:lastRowFirstColumn="0" w:lastRowLastColumn="0"/>
            </w:pPr>
            <w:r w:rsidRPr="00B0618E">
              <w:t>3.4 m</w:t>
            </w:r>
          </w:p>
        </w:tc>
      </w:tr>
      <w:tr w:rsidR="0084153B" w:rsidRPr="00B0618E" w14:paraId="00242661" w14:textId="77777777" w:rsidTr="001E4A92">
        <w:tc>
          <w:tcPr>
            <w:cnfStyle w:val="001000000000" w:firstRow="0" w:lastRow="0" w:firstColumn="1" w:lastColumn="0" w:oddVBand="0" w:evenVBand="0" w:oddHBand="0" w:evenHBand="0" w:firstRowFirstColumn="0" w:firstRowLastColumn="0" w:lastRowFirstColumn="0" w:lastRowLastColumn="0"/>
            <w:tcW w:w="3431" w:type="dxa"/>
            <w:hideMark/>
          </w:tcPr>
          <w:p w14:paraId="65E4806D" w14:textId="77777777" w:rsidR="0084153B" w:rsidRPr="00B0618E" w:rsidRDefault="0084153B" w:rsidP="001E4A92">
            <w:pPr>
              <w:pStyle w:val="TableText"/>
              <w:rPr>
                <w:b w:val="0"/>
              </w:rPr>
            </w:pPr>
            <w:r w:rsidRPr="00B0618E">
              <w:rPr>
                <w:b w:val="0"/>
              </w:rPr>
              <w:t>Timing of maximum drawdown (tMXD)</w:t>
            </w:r>
          </w:p>
        </w:tc>
        <w:tc>
          <w:tcPr>
            <w:tcW w:w="2031" w:type="dxa"/>
            <w:hideMark/>
          </w:tcPr>
          <w:p w14:paraId="0A1FB476" w14:textId="77777777" w:rsidR="0084153B" w:rsidRPr="00B0618E" w:rsidRDefault="0084153B" w:rsidP="001E4A92">
            <w:pPr>
              <w:pStyle w:val="TableText"/>
              <w:ind w:right="387"/>
              <w:jc w:val="right"/>
              <w:cnfStyle w:val="000000000000" w:firstRow="0" w:lastRow="0" w:firstColumn="0" w:lastColumn="0" w:oddVBand="0" w:evenVBand="0" w:oddHBand="0" w:evenHBand="0" w:firstRowFirstColumn="0" w:firstRowLastColumn="0" w:lastRowFirstColumn="0" w:lastRowLastColumn="0"/>
            </w:pPr>
            <w:r w:rsidRPr="00B0618E">
              <w:t>154 y</w:t>
            </w:r>
          </w:p>
        </w:tc>
        <w:tc>
          <w:tcPr>
            <w:tcW w:w="2031" w:type="dxa"/>
            <w:hideMark/>
          </w:tcPr>
          <w:p w14:paraId="7D5AC4B1" w14:textId="77777777" w:rsidR="0084153B" w:rsidRPr="00B0618E" w:rsidRDefault="0084153B" w:rsidP="001E4A92">
            <w:pPr>
              <w:pStyle w:val="TableText"/>
              <w:ind w:right="291"/>
              <w:jc w:val="right"/>
              <w:cnfStyle w:val="000000000000" w:firstRow="0" w:lastRow="0" w:firstColumn="0" w:lastColumn="0" w:oddVBand="0" w:evenVBand="0" w:oddHBand="0" w:evenHBand="0" w:firstRowFirstColumn="0" w:firstRowLastColumn="0" w:lastRowFirstColumn="0" w:lastRowLastColumn="0"/>
            </w:pPr>
            <w:r w:rsidRPr="00B0618E">
              <w:t>155 y</w:t>
            </w:r>
          </w:p>
        </w:tc>
        <w:tc>
          <w:tcPr>
            <w:tcW w:w="2032" w:type="dxa"/>
          </w:tcPr>
          <w:p w14:paraId="1E38B27D" w14:textId="77777777" w:rsidR="0084153B" w:rsidRPr="00B0618E" w:rsidRDefault="0084153B" w:rsidP="001E4A92">
            <w:pPr>
              <w:pStyle w:val="TableText"/>
              <w:ind w:right="57"/>
              <w:jc w:val="right"/>
              <w:cnfStyle w:val="000000000000" w:firstRow="0" w:lastRow="0" w:firstColumn="0" w:lastColumn="0" w:oddVBand="0" w:evenVBand="0" w:oddHBand="0" w:evenHBand="0" w:firstRowFirstColumn="0" w:firstRowLastColumn="0" w:lastRowFirstColumn="0" w:lastRowLastColumn="0"/>
            </w:pPr>
            <w:r w:rsidRPr="00B0618E">
              <w:t>35 y</w:t>
            </w:r>
          </w:p>
        </w:tc>
      </w:tr>
      <w:tr w:rsidR="0084153B" w:rsidRPr="00B0618E" w14:paraId="1660C77B" w14:textId="77777777" w:rsidTr="001E4A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05E0F6DD" w14:textId="77777777" w:rsidR="0084153B" w:rsidRPr="00B0618E" w:rsidRDefault="0084153B" w:rsidP="001E4A92">
            <w:pPr>
              <w:pStyle w:val="TableText"/>
              <w:rPr>
                <w:b w:val="0"/>
              </w:rPr>
            </w:pPr>
            <w:r w:rsidRPr="00B0618E">
              <w:rPr>
                <w:b w:val="0"/>
              </w:rPr>
              <w:t>Spatial extent of drawdown ≥ 2 m (NDD)</w:t>
            </w:r>
          </w:p>
        </w:tc>
        <w:tc>
          <w:tcPr>
            <w:tcW w:w="2031" w:type="dxa"/>
            <w:hideMark/>
          </w:tcPr>
          <w:p w14:paraId="226B226D" w14:textId="77777777" w:rsidR="0084153B" w:rsidRPr="00B0618E" w:rsidRDefault="0084153B" w:rsidP="001E4A92">
            <w:pPr>
              <w:pStyle w:val="TableText"/>
              <w:ind w:right="387"/>
              <w:jc w:val="right"/>
              <w:cnfStyle w:val="000000100000" w:firstRow="0" w:lastRow="0" w:firstColumn="0" w:lastColumn="0" w:oddVBand="0" w:evenVBand="0" w:oddHBand="1" w:evenHBand="0" w:firstRowFirstColumn="0" w:firstRowLastColumn="0" w:lastRowFirstColumn="0" w:lastRowLastColumn="0"/>
            </w:pPr>
            <w:r w:rsidRPr="00B0618E">
              <w:t>0 cells</w:t>
            </w:r>
          </w:p>
        </w:tc>
        <w:tc>
          <w:tcPr>
            <w:tcW w:w="2031" w:type="dxa"/>
            <w:hideMark/>
          </w:tcPr>
          <w:p w14:paraId="031482E8" w14:textId="77777777" w:rsidR="0084153B" w:rsidRPr="00B0618E" w:rsidRDefault="0084153B" w:rsidP="001E4A92">
            <w:pPr>
              <w:pStyle w:val="TableText"/>
              <w:ind w:right="291"/>
              <w:jc w:val="right"/>
              <w:cnfStyle w:val="000000100000" w:firstRow="0" w:lastRow="0" w:firstColumn="0" w:lastColumn="0" w:oddVBand="0" w:evenVBand="0" w:oddHBand="1" w:evenHBand="0" w:firstRowFirstColumn="0" w:firstRowLastColumn="0" w:lastRowFirstColumn="0" w:lastRowLastColumn="0"/>
            </w:pPr>
            <w:r w:rsidRPr="00B0618E">
              <w:t xml:space="preserve">0 cells </w:t>
            </w:r>
          </w:p>
        </w:tc>
        <w:tc>
          <w:tcPr>
            <w:tcW w:w="2032" w:type="dxa"/>
          </w:tcPr>
          <w:p w14:paraId="44EEC0A1" w14:textId="77777777" w:rsidR="0084153B" w:rsidRPr="00B0618E" w:rsidRDefault="0084153B" w:rsidP="001E4A92">
            <w:pPr>
              <w:pStyle w:val="TableText"/>
              <w:ind w:right="57"/>
              <w:jc w:val="right"/>
              <w:cnfStyle w:val="000000100000" w:firstRow="0" w:lastRow="0" w:firstColumn="0" w:lastColumn="0" w:oddVBand="0" w:evenVBand="0" w:oddHBand="1" w:evenHBand="0" w:firstRowFirstColumn="0" w:firstRowLastColumn="0" w:lastRowFirstColumn="0" w:lastRowLastColumn="0"/>
            </w:pPr>
            <w:r w:rsidRPr="00B0618E">
              <w:t>63 cells</w:t>
            </w:r>
          </w:p>
        </w:tc>
      </w:tr>
      <w:tr w:rsidR="0084153B" w:rsidRPr="00B0618E" w14:paraId="2882DD73" w14:textId="77777777" w:rsidTr="001E4A92">
        <w:tc>
          <w:tcPr>
            <w:cnfStyle w:val="001000000000" w:firstRow="0" w:lastRow="0" w:firstColumn="1" w:lastColumn="0" w:oddVBand="0" w:evenVBand="0" w:oddHBand="0" w:evenHBand="0" w:firstRowFirstColumn="0" w:firstRowLastColumn="0" w:lastRowFirstColumn="0" w:lastRowLastColumn="0"/>
            <w:tcW w:w="3431" w:type="dxa"/>
            <w:hideMark/>
          </w:tcPr>
          <w:p w14:paraId="19D18A75" w14:textId="77777777" w:rsidR="0084153B" w:rsidRPr="00B0618E" w:rsidRDefault="0084153B" w:rsidP="001E4A92">
            <w:pPr>
              <w:pStyle w:val="TableText"/>
              <w:rPr>
                <w:b w:val="0"/>
              </w:rPr>
            </w:pPr>
            <w:r w:rsidRPr="00B0618E">
              <w:rPr>
                <w:b w:val="0"/>
              </w:rPr>
              <w:t>Maximum vertical flux (MXQ)</w:t>
            </w:r>
          </w:p>
        </w:tc>
        <w:tc>
          <w:tcPr>
            <w:tcW w:w="2031" w:type="dxa"/>
            <w:hideMark/>
          </w:tcPr>
          <w:p w14:paraId="16B97D01" w14:textId="77777777" w:rsidR="0084153B" w:rsidRPr="00B0618E" w:rsidRDefault="0084153B" w:rsidP="001E4A92">
            <w:pPr>
              <w:pStyle w:val="TableText"/>
              <w:ind w:right="387"/>
              <w:jc w:val="right"/>
              <w:cnfStyle w:val="000000000000" w:firstRow="0" w:lastRow="0" w:firstColumn="0" w:lastColumn="0" w:oddVBand="0" w:evenVBand="0" w:oddHBand="0" w:evenHBand="0" w:firstRowFirstColumn="0" w:firstRowLastColumn="0" w:lastRowFirstColumn="0" w:lastRowLastColumn="0"/>
            </w:pPr>
            <w:r w:rsidRPr="00B0618E">
              <w:t>737 m</w:t>
            </w:r>
            <w:r w:rsidRPr="00B0618E">
              <w:rPr>
                <w:vertAlign w:val="superscript"/>
              </w:rPr>
              <w:t>3</w:t>
            </w:r>
            <w:r w:rsidRPr="00B0618E">
              <w:t>/d</w:t>
            </w:r>
          </w:p>
        </w:tc>
        <w:tc>
          <w:tcPr>
            <w:tcW w:w="2031" w:type="dxa"/>
            <w:hideMark/>
          </w:tcPr>
          <w:p w14:paraId="64FD4250" w14:textId="77777777" w:rsidR="0084153B" w:rsidRPr="00B0618E" w:rsidRDefault="0084153B" w:rsidP="001E4A92">
            <w:pPr>
              <w:pStyle w:val="TableText"/>
              <w:ind w:right="291"/>
              <w:jc w:val="right"/>
              <w:cnfStyle w:val="000000000000" w:firstRow="0" w:lastRow="0" w:firstColumn="0" w:lastColumn="0" w:oddVBand="0" w:evenVBand="0" w:oddHBand="0" w:evenHBand="0" w:firstRowFirstColumn="0" w:firstRowLastColumn="0" w:lastRowFirstColumn="0" w:lastRowLastColumn="0"/>
            </w:pPr>
            <w:r w:rsidRPr="00B0618E">
              <w:t>636 m</w:t>
            </w:r>
            <w:r w:rsidRPr="00B0618E">
              <w:rPr>
                <w:vertAlign w:val="superscript"/>
              </w:rPr>
              <w:t>3</w:t>
            </w:r>
            <w:r w:rsidRPr="00B0618E">
              <w:t>/d</w:t>
            </w:r>
          </w:p>
        </w:tc>
        <w:tc>
          <w:tcPr>
            <w:tcW w:w="2032" w:type="dxa"/>
          </w:tcPr>
          <w:p w14:paraId="62E5E4AE" w14:textId="77777777" w:rsidR="0084153B" w:rsidRPr="00B0618E" w:rsidRDefault="0084153B" w:rsidP="001E4A92">
            <w:pPr>
              <w:pStyle w:val="TableText"/>
              <w:ind w:right="57"/>
              <w:jc w:val="right"/>
              <w:cnfStyle w:val="000000000000" w:firstRow="0" w:lastRow="0" w:firstColumn="0" w:lastColumn="0" w:oddVBand="0" w:evenVBand="0" w:oddHBand="0" w:evenHBand="0" w:firstRowFirstColumn="0" w:firstRowLastColumn="0" w:lastRowFirstColumn="0" w:lastRowLastColumn="0"/>
            </w:pPr>
            <w:r w:rsidRPr="00B0618E">
              <w:t>751 m</w:t>
            </w:r>
            <w:r w:rsidRPr="00B0618E">
              <w:rPr>
                <w:vertAlign w:val="superscript"/>
              </w:rPr>
              <w:t>3</w:t>
            </w:r>
            <w:r w:rsidRPr="00B0618E">
              <w:t>/d</w:t>
            </w:r>
          </w:p>
        </w:tc>
      </w:tr>
    </w:tbl>
    <w:p w14:paraId="75E23CB4" w14:textId="77777777" w:rsidR="003004B5" w:rsidRDefault="003004B5" w:rsidP="00C619B8">
      <w:pPr>
        <w:pStyle w:val="BodyText"/>
        <w:rPr>
          <w:color w:val="auto"/>
        </w:rPr>
      </w:pPr>
    </w:p>
    <w:p w14:paraId="1273C360" w14:textId="6D2DEBC7" w:rsidR="0084153B" w:rsidRPr="00B0618E" w:rsidRDefault="00661395" w:rsidP="00C619B8">
      <w:pPr>
        <w:pStyle w:val="BodyText"/>
        <w:rPr>
          <w:color w:val="auto"/>
        </w:rPr>
      </w:pPr>
      <w:r w:rsidRPr="00B0618E">
        <w:rPr>
          <w:color w:val="auto"/>
        </w:rPr>
        <w:t>The timing of the maximum drawdown occurs about five times earlier for the heterogeneous model compared to the homogeneous initial and revised models. The spatial extent of the drawdown &gt; 2 m is 63 cells for the heterogeneous model compared to zero cells for the other two models. Finally, the maximum vertical flux is slightly higher for the heterogeneous model compared to the homogenous models. The result for the third metric is strongly influenced by the very truncated distributions of the initial and revised model</w:t>
      </w:r>
      <w:r w:rsidR="00B43082" w:rsidRPr="00B0618E">
        <w:rPr>
          <w:color w:val="auto"/>
        </w:rPr>
        <w:t>, with nearly 60% of the model runs producing zero cells with a drawdown &gt; 2</w:t>
      </w:r>
      <w:r w:rsidR="00207D3A" w:rsidRPr="00B0618E">
        <w:rPr>
          <w:color w:val="auto"/>
        </w:rPr>
        <w:t xml:space="preserve"> m</w:t>
      </w:r>
      <w:r w:rsidRPr="00B0618E">
        <w:rPr>
          <w:color w:val="auto"/>
        </w:rPr>
        <w:t>.</w:t>
      </w:r>
      <w:r w:rsidR="00B43082" w:rsidRPr="00B0618E">
        <w:rPr>
          <w:color w:val="auto"/>
        </w:rPr>
        <w:t xml:space="preserve"> </w:t>
      </w:r>
    </w:p>
    <w:p w14:paraId="44994771" w14:textId="60E9532E" w:rsidR="00C619B8" w:rsidRPr="00B0618E" w:rsidRDefault="00435F08" w:rsidP="00B51581">
      <w:pPr>
        <w:pStyle w:val="BodyText"/>
        <w:keepNext/>
      </w:pPr>
      <w:r w:rsidRPr="00B0618E">
        <w:rPr>
          <w:noProof/>
        </w:rPr>
        <w:drawing>
          <wp:inline distT="0" distB="0" distL="0" distR="0" wp14:anchorId="35032A0F" wp14:editId="33B16294">
            <wp:extent cx="5755640" cy="2877820"/>
            <wp:effectExtent l="0" t="0" r="0" b="0"/>
            <wp:docPr id="86" name="Picture 86" descr="Charts of statistics of model outputs" title="Fig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OWS_FAM\Models\Version8_analysis\Plot_bootstrap_outputs_v06_010317_CDF_PDF_MXQ.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55640" cy="2877820"/>
                    </a:xfrm>
                    <a:prstGeom prst="rect">
                      <a:avLst/>
                    </a:prstGeom>
                    <a:noFill/>
                    <a:ln>
                      <a:noFill/>
                    </a:ln>
                  </pic:spPr>
                </pic:pic>
              </a:graphicData>
            </a:graphic>
          </wp:inline>
        </w:drawing>
      </w:r>
    </w:p>
    <w:p w14:paraId="47569769" w14:textId="00E8259B" w:rsidR="00C619B8" w:rsidRPr="00B0618E" w:rsidRDefault="00C619B8" w:rsidP="004107EF">
      <w:pPr>
        <w:pStyle w:val="Caption"/>
      </w:pPr>
      <w:bookmarkStart w:id="198" w:name="_Toc482034949"/>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13</w:t>
      </w:r>
      <w:r w:rsidR="00A2085C">
        <w:rPr>
          <w:noProof/>
        </w:rPr>
        <w:fldChar w:fldCharType="end"/>
      </w:r>
      <w:r w:rsidRPr="00B0618E">
        <w:t xml:space="preserve">. (a) Cumulative </w:t>
      </w:r>
      <w:r w:rsidR="00A95025" w:rsidRPr="00B0618E">
        <w:t>density function and (b) frequency histogram</w:t>
      </w:r>
      <w:r w:rsidRPr="00B0618E">
        <w:t xml:space="preserve"> of initial (black) and revised (red) predictions of changes in vertical groundwater fluxes</w:t>
      </w:r>
      <w:r w:rsidR="004107EF" w:rsidRPr="00B0618E">
        <w:t>, based on sample sizes of 300 model runs (‘Initial’) and 50 model runs (‘Heterogeneous’)</w:t>
      </w:r>
      <w:r w:rsidRPr="00B0618E">
        <w:t>.</w:t>
      </w:r>
      <w:bookmarkEnd w:id="198"/>
    </w:p>
    <w:p w14:paraId="1B17264C" w14:textId="77777777" w:rsidR="00207D3A" w:rsidRPr="00B0618E" w:rsidRDefault="00207D3A" w:rsidP="006B19F6">
      <w:pPr>
        <w:pStyle w:val="BodyText"/>
      </w:pPr>
    </w:p>
    <w:p w14:paraId="4C44FE22" w14:textId="4A6AAACB" w:rsidR="006B19F6" w:rsidRPr="00B0618E" w:rsidRDefault="009564E6" w:rsidP="006B19F6">
      <w:pPr>
        <w:pStyle w:val="BodyText"/>
      </w:pPr>
      <w:r w:rsidRPr="00B0618E">
        <w:t>A further comparison across the four prediction metrics is available for the 95</w:t>
      </w:r>
      <w:r w:rsidRPr="00B0618E">
        <w:rPr>
          <w:vertAlign w:val="superscript"/>
        </w:rPr>
        <w:t>th</w:t>
      </w:r>
      <w:r w:rsidRPr="00B0618E">
        <w:t xml:space="preserve"> percentile (</w:t>
      </w:r>
      <w:r w:rsidRPr="00B0618E">
        <w:fldChar w:fldCharType="begin"/>
      </w:r>
      <w:r w:rsidRPr="00B0618E">
        <w:instrText xml:space="preserve"> REF _Ref478330738 \h </w:instrText>
      </w:r>
      <w:r w:rsidR="00B0618E">
        <w:instrText xml:space="preserve"> \* MERGEFORMAT </w:instrText>
      </w:r>
      <w:r w:rsidRPr="00B0618E">
        <w:fldChar w:fldCharType="separate"/>
      </w:r>
      <w:r w:rsidR="000B6FA5" w:rsidRPr="00B0618E">
        <w:t xml:space="preserve">Table </w:t>
      </w:r>
      <w:r w:rsidR="000B6FA5">
        <w:rPr>
          <w:noProof/>
        </w:rPr>
        <w:t>6</w:t>
      </w:r>
      <w:r w:rsidR="000B6FA5">
        <w:rPr>
          <w:noProof/>
        </w:rPr>
        <w:noBreakHyphen/>
        <w:t>4</w:t>
      </w:r>
      <w:r w:rsidRPr="00B0618E">
        <w:fldChar w:fldCharType="end"/>
      </w:r>
      <w:r w:rsidRPr="00B0618E">
        <w:t xml:space="preserve">). Here, the heterogeneous model generates the lowest maximum drawdown (6.1 m versus 7.9 for the revised model), has a spatial extent of drawdown &gt; 2 m that is one order of magnitude smaller than that of the two other models, and a considerably smaller maximum flux. These results are consistent with the spatial distribution of drawdown shown in </w:t>
      </w:r>
      <w:r w:rsidRPr="00B0618E">
        <w:fldChar w:fldCharType="begin"/>
      </w:r>
      <w:r w:rsidRPr="00B0618E">
        <w:instrText xml:space="preserve"> REF _Ref478327966 \h </w:instrText>
      </w:r>
      <w:r w:rsidR="00B0618E">
        <w:instrText xml:space="preserve"> \* MERGEFORMAT </w:instrText>
      </w:r>
      <w:r w:rsidRPr="00B0618E">
        <w:fldChar w:fldCharType="separate"/>
      </w:r>
      <w:r w:rsidR="000B6FA5" w:rsidRPr="00B0618E">
        <w:t xml:space="preserve">Figure </w:t>
      </w:r>
      <w:r w:rsidR="000B6FA5">
        <w:rPr>
          <w:noProof/>
        </w:rPr>
        <w:t>6</w:t>
      </w:r>
      <w:r w:rsidR="000B6FA5">
        <w:rPr>
          <w:noProof/>
        </w:rPr>
        <w:noBreakHyphen/>
        <w:t>12</w:t>
      </w:r>
      <w:r w:rsidRPr="00B0618E">
        <w:fldChar w:fldCharType="end"/>
      </w:r>
      <w:r w:rsidRPr="00B0618E">
        <w:t xml:space="preserve">, illustrating that the heterogeneous model seems to be much better constrained resulting in a much smaller range of drawdowns. </w:t>
      </w:r>
      <w:r w:rsidR="00207D3A" w:rsidRPr="00B0618E">
        <w:t xml:space="preserve">The better constrained </w:t>
      </w:r>
      <w:r w:rsidR="00207D3A" w:rsidRPr="00B0618E">
        <w:rPr>
          <w:i/>
        </w:rPr>
        <w:t>K</w:t>
      </w:r>
      <w:r w:rsidR="008D1E81">
        <w:rPr>
          <w:vertAlign w:val="subscript"/>
        </w:rPr>
        <w:t>V</w:t>
      </w:r>
      <w:r w:rsidR="00207D3A" w:rsidRPr="00B0618E">
        <w:t xml:space="preserve"> model results from using the conditioned Sequential Gaussian Simulation, which honours the observed </w:t>
      </w:r>
      <w:r w:rsidR="00207D3A" w:rsidRPr="00B0618E">
        <w:rPr>
          <w:i/>
        </w:rPr>
        <w:t>K</w:t>
      </w:r>
      <w:r w:rsidR="008D1E81">
        <w:rPr>
          <w:vertAlign w:val="subscript"/>
        </w:rPr>
        <w:t>V</w:t>
      </w:r>
      <w:r w:rsidR="00207D3A" w:rsidRPr="00B0618E">
        <w:t xml:space="preserve"> data. </w:t>
      </w:r>
      <w:r w:rsidRPr="00B0618E">
        <w:t xml:space="preserve"> </w:t>
      </w:r>
      <w:r w:rsidR="00207D3A" w:rsidRPr="00B0618E">
        <w:t xml:space="preserve">A second reason for the smaller range of drawdowns is the smaller number of model runs, 50 for the heterogeneous model versus 300 for the homogeneous models. Therefore, it is likely that a smaller </w:t>
      </w:r>
      <w:r w:rsidR="00207D3A" w:rsidRPr="00B0618E">
        <w:rPr>
          <w:i/>
        </w:rPr>
        <w:t>K</w:t>
      </w:r>
      <w:r w:rsidR="008D1E81">
        <w:rPr>
          <w:vertAlign w:val="subscript"/>
        </w:rPr>
        <w:t>V</w:t>
      </w:r>
      <w:r w:rsidR="00207D3A" w:rsidRPr="00B0618E">
        <w:t xml:space="preserve"> parameter space is sampled in case of the heterogeneous model.   </w:t>
      </w:r>
    </w:p>
    <w:p w14:paraId="391138FE" w14:textId="77777777" w:rsidR="006B19F6" w:rsidRPr="00B0618E" w:rsidRDefault="006B19F6" w:rsidP="006B19F6">
      <w:pPr>
        <w:spacing w:after="0"/>
        <w:rPr>
          <w:sz w:val="24"/>
        </w:rPr>
      </w:pPr>
    </w:p>
    <w:p w14:paraId="0DD63605" w14:textId="358F47B8" w:rsidR="006B19F6" w:rsidRPr="00B0618E" w:rsidRDefault="006B19F6" w:rsidP="006B19F6">
      <w:pPr>
        <w:pStyle w:val="Caption"/>
        <w:rPr>
          <w:color w:val="1F497D"/>
        </w:rPr>
      </w:pPr>
      <w:bookmarkStart w:id="199" w:name="_Ref478330738"/>
      <w:bookmarkStart w:id="200" w:name="_Toc503253896"/>
      <w:r w:rsidRPr="00B0618E">
        <w:t xml:space="preserve">Table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4</w:t>
      </w:r>
      <w:r w:rsidR="00A2085C">
        <w:rPr>
          <w:noProof/>
        </w:rPr>
        <w:fldChar w:fldCharType="end"/>
      </w:r>
      <w:bookmarkEnd w:id="199"/>
      <w:r w:rsidRPr="00B0618E">
        <w:t>. 95</w:t>
      </w:r>
      <w:r w:rsidRPr="00B0618E">
        <w:rPr>
          <w:vertAlign w:val="superscript"/>
        </w:rPr>
        <w:t>th</w:t>
      </w:r>
      <w:r w:rsidRPr="00B0618E">
        <w:t xml:space="preserve"> percentiles of four prediction metrics based on sets of 300 model runs </w:t>
      </w:r>
      <w:r w:rsidR="00214C93" w:rsidRPr="00B0618E">
        <w:t xml:space="preserve">for each of the </w:t>
      </w:r>
      <w:r w:rsidR="0084153B" w:rsidRPr="00B0618E">
        <w:t>‘initial’ and</w:t>
      </w:r>
      <w:r w:rsidRPr="00B0618E">
        <w:t xml:space="preserve"> ‘revised’ </w:t>
      </w:r>
      <w:r w:rsidR="0084153B" w:rsidRPr="00B0618E">
        <w:t>models and 50 model runs</w:t>
      </w:r>
      <w:r w:rsidRPr="00B0618E">
        <w:t xml:space="preserve"> </w:t>
      </w:r>
      <w:r w:rsidR="0084153B" w:rsidRPr="00B0618E">
        <w:t xml:space="preserve">with the </w:t>
      </w:r>
      <w:r w:rsidRPr="00B0618E">
        <w:t>‘heterogeneous’ models.</w:t>
      </w:r>
      <w:bookmarkEnd w:id="200"/>
    </w:p>
    <w:tbl>
      <w:tblPr>
        <w:tblStyle w:val="TableCSIRO"/>
        <w:tblW w:w="0" w:type="auto"/>
        <w:tblLook w:val="04A0" w:firstRow="1" w:lastRow="0" w:firstColumn="1" w:lastColumn="0" w:noHBand="0" w:noVBand="1"/>
        <w:tblCaption w:val="Table 6-4"/>
        <w:tblDescription w:val="Table of model statistics"/>
      </w:tblPr>
      <w:tblGrid>
        <w:gridCol w:w="3431"/>
        <w:gridCol w:w="2031"/>
        <w:gridCol w:w="2031"/>
        <w:gridCol w:w="2032"/>
      </w:tblGrid>
      <w:tr w:rsidR="006B19F6" w:rsidRPr="00B0618E" w14:paraId="6CAA6214" w14:textId="77777777" w:rsidTr="006B19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6DE32538" w14:textId="77777777" w:rsidR="006B19F6" w:rsidRPr="00B0618E" w:rsidRDefault="006B19F6" w:rsidP="006B19F6">
            <w:pPr>
              <w:pStyle w:val="TableText"/>
              <w:rPr>
                <w:color w:val="FFFFFF" w:themeColor="background1"/>
              </w:rPr>
            </w:pPr>
            <w:r w:rsidRPr="00B0618E">
              <w:rPr>
                <w:color w:val="FFFFFF" w:themeColor="background1"/>
              </w:rPr>
              <w:t>Prediction</w:t>
            </w:r>
          </w:p>
        </w:tc>
        <w:tc>
          <w:tcPr>
            <w:tcW w:w="2031" w:type="dxa"/>
            <w:hideMark/>
          </w:tcPr>
          <w:p w14:paraId="3E17D985" w14:textId="77777777" w:rsidR="006B19F6" w:rsidRPr="00B0618E" w:rsidRDefault="006B19F6" w:rsidP="006B19F6">
            <w:pPr>
              <w:pStyle w:val="TableText"/>
              <w:ind w:right="387"/>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 xml:space="preserve">‘Initial’ model </w:t>
            </w:r>
          </w:p>
        </w:tc>
        <w:tc>
          <w:tcPr>
            <w:tcW w:w="2031" w:type="dxa"/>
            <w:hideMark/>
          </w:tcPr>
          <w:p w14:paraId="340086AE" w14:textId="77777777" w:rsidR="006B19F6" w:rsidRPr="00B0618E" w:rsidRDefault="006B19F6" w:rsidP="006B19F6">
            <w:pPr>
              <w:pStyle w:val="TableText"/>
              <w:ind w:right="291"/>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‘Revised’ model</w:t>
            </w:r>
          </w:p>
        </w:tc>
        <w:tc>
          <w:tcPr>
            <w:tcW w:w="2032" w:type="dxa"/>
          </w:tcPr>
          <w:p w14:paraId="133B8001" w14:textId="774FB8DA" w:rsidR="006B19F6" w:rsidRPr="00B0618E" w:rsidRDefault="006B19F6" w:rsidP="006B19F6">
            <w:pPr>
              <w:pStyle w:val="TableText"/>
              <w:ind w:right="55"/>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sidRPr="00B0618E">
              <w:rPr>
                <w:color w:val="FFFFFF" w:themeColor="background1"/>
              </w:rPr>
              <w:t>‘Heterogeneous’ model</w:t>
            </w:r>
          </w:p>
        </w:tc>
      </w:tr>
      <w:tr w:rsidR="006B19F6" w:rsidRPr="00B0618E" w14:paraId="541DC4C1" w14:textId="77777777" w:rsidTr="006B1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5F81908D" w14:textId="77777777" w:rsidR="006B19F6" w:rsidRPr="00B0618E" w:rsidRDefault="006B19F6" w:rsidP="006B19F6">
            <w:pPr>
              <w:pStyle w:val="TableText"/>
              <w:rPr>
                <w:b w:val="0"/>
              </w:rPr>
            </w:pPr>
            <w:r w:rsidRPr="00B0618E">
              <w:rPr>
                <w:b w:val="0"/>
              </w:rPr>
              <w:t>Maximum drawdown (MXD)</w:t>
            </w:r>
          </w:p>
        </w:tc>
        <w:tc>
          <w:tcPr>
            <w:tcW w:w="2031" w:type="dxa"/>
            <w:hideMark/>
          </w:tcPr>
          <w:p w14:paraId="089351A9" w14:textId="77777777" w:rsidR="006B19F6" w:rsidRPr="00B0618E" w:rsidRDefault="006B19F6" w:rsidP="006B19F6">
            <w:pPr>
              <w:pStyle w:val="TableText"/>
              <w:ind w:right="387"/>
              <w:jc w:val="right"/>
              <w:cnfStyle w:val="000000100000" w:firstRow="0" w:lastRow="0" w:firstColumn="0" w:lastColumn="0" w:oddVBand="0" w:evenVBand="0" w:oddHBand="1" w:evenHBand="0" w:firstRowFirstColumn="0" w:firstRowLastColumn="0" w:lastRowFirstColumn="0" w:lastRowLastColumn="0"/>
            </w:pPr>
            <w:r w:rsidRPr="00B0618E">
              <w:t>7.2 m</w:t>
            </w:r>
          </w:p>
        </w:tc>
        <w:tc>
          <w:tcPr>
            <w:tcW w:w="2031" w:type="dxa"/>
            <w:hideMark/>
          </w:tcPr>
          <w:p w14:paraId="16B06B1B" w14:textId="77777777" w:rsidR="006B19F6" w:rsidRPr="00B0618E" w:rsidRDefault="006B19F6" w:rsidP="006B19F6">
            <w:pPr>
              <w:pStyle w:val="TableText"/>
              <w:ind w:right="291"/>
              <w:jc w:val="right"/>
              <w:cnfStyle w:val="000000100000" w:firstRow="0" w:lastRow="0" w:firstColumn="0" w:lastColumn="0" w:oddVBand="0" w:evenVBand="0" w:oddHBand="1" w:evenHBand="0" w:firstRowFirstColumn="0" w:firstRowLastColumn="0" w:lastRowFirstColumn="0" w:lastRowLastColumn="0"/>
            </w:pPr>
            <w:r w:rsidRPr="00B0618E">
              <w:t>7.9 m</w:t>
            </w:r>
          </w:p>
        </w:tc>
        <w:tc>
          <w:tcPr>
            <w:tcW w:w="2032" w:type="dxa"/>
          </w:tcPr>
          <w:p w14:paraId="0909B2D2" w14:textId="60AA58E5" w:rsidR="006B19F6" w:rsidRPr="00B0618E" w:rsidRDefault="006B19F6" w:rsidP="006B19F6">
            <w:pPr>
              <w:pStyle w:val="TableText"/>
              <w:ind w:right="55"/>
              <w:jc w:val="right"/>
              <w:cnfStyle w:val="000000100000" w:firstRow="0" w:lastRow="0" w:firstColumn="0" w:lastColumn="0" w:oddVBand="0" w:evenVBand="0" w:oddHBand="1" w:evenHBand="0" w:firstRowFirstColumn="0" w:firstRowLastColumn="0" w:lastRowFirstColumn="0" w:lastRowLastColumn="0"/>
            </w:pPr>
            <w:r w:rsidRPr="00B0618E">
              <w:t>6.1 m</w:t>
            </w:r>
          </w:p>
        </w:tc>
      </w:tr>
      <w:tr w:rsidR="006B19F6" w:rsidRPr="00B0618E" w14:paraId="02845792" w14:textId="77777777" w:rsidTr="006B19F6">
        <w:tc>
          <w:tcPr>
            <w:cnfStyle w:val="001000000000" w:firstRow="0" w:lastRow="0" w:firstColumn="1" w:lastColumn="0" w:oddVBand="0" w:evenVBand="0" w:oddHBand="0" w:evenHBand="0" w:firstRowFirstColumn="0" w:firstRowLastColumn="0" w:lastRowFirstColumn="0" w:lastRowLastColumn="0"/>
            <w:tcW w:w="3431" w:type="dxa"/>
            <w:hideMark/>
          </w:tcPr>
          <w:p w14:paraId="15120F3C" w14:textId="77777777" w:rsidR="006B19F6" w:rsidRPr="00B0618E" w:rsidRDefault="006B19F6" w:rsidP="006B19F6">
            <w:pPr>
              <w:pStyle w:val="TableText"/>
              <w:rPr>
                <w:b w:val="0"/>
              </w:rPr>
            </w:pPr>
            <w:r w:rsidRPr="00B0618E">
              <w:rPr>
                <w:b w:val="0"/>
              </w:rPr>
              <w:t>Timing of maximum drawdown (tMXD)</w:t>
            </w:r>
          </w:p>
        </w:tc>
        <w:tc>
          <w:tcPr>
            <w:tcW w:w="2031" w:type="dxa"/>
            <w:hideMark/>
          </w:tcPr>
          <w:p w14:paraId="70DF3295" w14:textId="77777777" w:rsidR="006B19F6" w:rsidRPr="00B0618E" w:rsidRDefault="006B19F6" w:rsidP="006B19F6">
            <w:pPr>
              <w:pStyle w:val="TableText"/>
              <w:ind w:right="387"/>
              <w:jc w:val="right"/>
              <w:cnfStyle w:val="000000000000" w:firstRow="0" w:lastRow="0" w:firstColumn="0" w:lastColumn="0" w:oddVBand="0" w:evenVBand="0" w:oddHBand="0" w:evenHBand="0" w:firstRowFirstColumn="0" w:firstRowLastColumn="0" w:lastRowFirstColumn="0" w:lastRowLastColumn="0"/>
            </w:pPr>
            <w:r w:rsidRPr="00B0618E">
              <w:t>160 y</w:t>
            </w:r>
          </w:p>
        </w:tc>
        <w:tc>
          <w:tcPr>
            <w:tcW w:w="2031" w:type="dxa"/>
            <w:hideMark/>
          </w:tcPr>
          <w:p w14:paraId="3DA46A67" w14:textId="77777777" w:rsidR="006B19F6" w:rsidRPr="00B0618E" w:rsidRDefault="006B19F6" w:rsidP="006B19F6">
            <w:pPr>
              <w:pStyle w:val="TableText"/>
              <w:ind w:right="291"/>
              <w:jc w:val="right"/>
              <w:cnfStyle w:val="000000000000" w:firstRow="0" w:lastRow="0" w:firstColumn="0" w:lastColumn="0" w:oddVBand="0" w:evenVBand="0" w:oddHBand="0" w:evenHBand="0" w:firstRowFirstColumn="0" w:firstRowLastColumn="0" w:lastRowFirstColumn="0" w:lastRowLastColumn="0"/>
            </w:pPr>
            <w:r w:rsidRPr="00B0618E">
              <w:t>160 y</w:t>
            </w:r>
          </w:p>
        </w:tc>
        <w:tc>
          <w:tcPr>
            <w:tcW w:w="2032" w:type="dxa"/>
          </w:tcPr>
          <w:p w14:paraId="6792B706" w14:textId="02213C49" w:rsidR="006B19F6" w:rsidRPr="00B0618E" w:rsidRDefault="006B19F6" w:rsidP="006B19F6">
            <w:pPr>
              <w:pStyle w:val="TableText"/>
              <w:ind w:right="55"/>
              <w:jc w:val="right"/>
              <w:cnfStyle w:val="000000000000" w:firstRow="0" w:lastRow="0" w:firstColumn="0" w:lastColumn="0" w:oddVBand="0" w:evenVBand="0" w:oddHBand="0" w:evenHBand="0" w:firstRowFirstColumn="0" w:firstRowLastColumn="0" w:lastRowFirstColumn="0" w:lastRowLastColumn="0"/>
            </w:pPr>
            <w:r w:rsidRPr="00B0618E">
              <w:t>81 y</w:t>
            </w:r>
          </w:p>
        </w:tc>
      </w:tr>
      <w:tr w:rsidR="006B19F6" w:rsidRPr="00B0618E" w14:paraId="2E26D47F" w14:textId="77777777" w:rsidTr="006B19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1" w:type="dxa"/>
            <w:hideMark/>
          </w:tcPr>
          <w:p w14:paraId="2A202F37" w14:textId="77777777" w:rsidR="006B19F6" w:rsidRPr="00B0618E" w:rsidRDefault="006B19F6" w:rsidP="006B19F6">
            <w:pPr>
              <w:pStyle w:val="TableText"/>
              <w:rPr>
                <w:b w:val="0"/>
              </w:rPr>
            </w:pPr>
            <w:r w:rsidRPr="00B0618E">
              <w:rPr>
                <w:b w:val="0"/>
              </w:rPr>
              <w:t>Spatial extent of drawdown ≥ 2 m (NDD)</w:t>
            </w:r>
          </w:p>
        </w:tc>
        <w:tc>
          <w:tcPr>
            <w:tcW w:w="2031" w:type="dxa"/>
            <w:hideMark/>
          </w:tcPr>
          <w:p w14:paraId="2FC02D25" w14:textId="205D20DB" w:rsidR="006B19F6" w:rsidRPr="00B0618E" w:rsidRDefault="006B19F6" w:rsidP="006B19F6">
            <w:pPr>
              <w:pStyle w:val="TableText"/>
              <w:ind w:right="387"/>
              <w:jc w:val="right"/>
              <w:cnfStyle w:val="000000100000" w:firstRow="0" w:lastRow="0" w:firstColumn="0" w:lastColumn="0" w:oddVBand="0" w:evenVBand="0" w:oddHBand="1" w:evenHBand="0" w:firstRowFirstColumn="0" w:firstRowLastColumn="0" w:lastRowFirstColumn="0" w:lastRowLastColumn="0"/>
            </w:pPr>
            <w:r w:rsidRPr="00B0618E">
              <w:t>4</w:t>
            </w:r>
            <w:r w:rsidR="0084153B" w:rsidRPr="00B0618E">
              <w:t xml:space="preserve"> </w:t>
            </w:r>
            <w:r w:rsidR="002B49FD" w:rsidRPr="00B0618E">
              <w:t>490</w:t>
            </w:r>
            <w:r w:rsidRPr="00B0618E">
              <w:t xml:space="preserve"> cells</w:t>
            </w:r>
          </w:p>
        </w:tc>
        <w:tc>
          <w:tcPr>
            <w:tcW w:w="2031" w:type="dxa"/>
            <w:hideMark/>
          </w:tcPr>
          <w:p w14:paraId="7A90BEF4" w14:textId="0C764BB0" w:rsidR="006B19F6" w:rsidRPr="00B0618E" w:rsidRDefault="006B19F6" w:rsidP="006B19F6">
            <w:pPr>
              <w:pStyle w:val="TableText"/>
              <w:ind w:right="291"/>
              <w:jc w:val="right"/>
              <w:cnfStyle w:val="000000100000" w:firstRow="0" w:lastRow="0" w:firstColumn="0" w:lastColumn="0" w:oddVBand="0" w:evenVBand="0" w:oddHBand="1" w:evenHBand="0" w:firstRowFirstColumn="0" w:firstRowLastColumn="0" w:lastRowFirstColumn="0" w:lastRowLastColumn="0"/>
            </w:pPr>
            <w:r w:rsidRPr="00B0618E">
              <w:t>5</w:t>
            </w:r>
            <w:r w:rsidR="0084153B" w:rsidRPr="00B0618E">
              <w:t xml:space="preserve"> </w:t>
            </w:r>
            <w:r w:rsidR="002B49FD" w:rsidRPr="00B0618E">
              <w:t>350</w:t>
            </w:r>
            <w:r w:rsidRPr="00B0618E">
              <w:t xml:space="preserve"> cells </w:t>
            </w:r>
          </w:p>
        </w:tc>
        <w:tc>
          <w:tcPr>
            <w:tcW w:w="2032" w:type="dxa"/>
          </w:tcPr>
          <w:p w14:paraId="1DFA80AB" w14:textId="50126FFF" w:rsidR="006B19F6" w:rsidRPr="00B0618E" w:rsidRDefault="006B19F6" w:rsidP="006B19F6">
            <w:pPr>
              <w:pStyle w:val="TableText"/>
              <w:ind w:right="55"/>
              <w:jc w:val="right"/>
              <w:cnfStyle w:val="000000100000" w:firstRow="0" w:lastRow="0" w:firstColumn="0" w:lastColumn="0" w:oddVBand="0" w:evenVBand="0" w:oddHBand="1" w:evenHBand="0" w:firstRowFirstColumn="0" w:firstRowLastColumn="0" w:lastRowFirstColumn="0" w:lastRowLastColumn="0"/>
            </w:pPr>
            <w:r w:rsidRPr="00B0618E">
              <w:t>551 cells</w:t>
            </w:r>
          </w:p>
        </w:tc>
      </w:tr>
      <w:tr w:rsidR="006B19F6" w:rsidRPr="00B0618E" w14:paraId="2A7B5887" w14:textId="77777777" w:rsidTr="006B19F6">
        <w:tc>
          <w:tcPr>
            <w:cnfStyle w:val="001000000000" w:firstRow="0" w:lastRow="0" w:firstColumn="1" w:lastColumn="0" w:oddVBand="0" w:evenVBand="0" w:oddHBand="0" w:evenHBand="0" w:firstRowFirstColumn="0" w:firstRowLastColumn="0" w:lastRowFirstColumn="0" w:lastRowLastColumn="0"/>
            <w:tcW w:w="3431" w:type="dxa"/>
            <w:hideMark/>
          </w:tcPr>
          <w:p w14:paraId="22B2E4B4" w14:textId="77777777" w:rsidR="006B19F6" w:rsidRPr="00B0618E" w:rsidRDefault="006B19F6" w:rsidP="006B19F6">
            <w:pPr>
              <w:pStyle w:val="TableText"/>
              <w:rPr>
                <w:b w:val="0"/>
              </w:rPr>
            </w:pPr>
            <w:r w:rsidRPr="00B0618E">
              <w:rPr>
                <w:b w:val="0"/>
              </w:rPr>
              <w:t>Maximum vertical flux (MXQ)</w:t>
            </w:r>
          </w:p>
        </w:tc>
        <w:tc>
          <w:tcPr>
            <w:tcW w:w="2031" w:type="dxa"/>
            <w:hideMark/>
          </w:tcPr>
          <w:p w14:paraId="43FC9BB1" w14:textId="5BB357E6" w:rsidR="006B19F6" w:rsidRPr="00B0618E" w:rsidRDefault="006B19F6" w:rsidP="006B19F6">
            <w:pPr>
              <w:pStyle w:val="TableText"/>
              <w:ind w:right="387"/>
              <w:jc w:val="right"/>
              <w:cnfStyle w:val="000000000000" w:firstRow="0" w:lastRow="0" w:firstColumn="0" w:lastColumn="0" w:oddVBand="0" w:evenVBand="0" w:oddHBand="0" w:evenHBand="0" w:firstRowFirstColumn="0" w:firstRowLastColumn="0" w:lastRowFirstColumn="0" w:lastRowLastColumn="0"/>
            </w:pPr>
            <w:r w:rsidRPr="00B0618E">
              <w:t>1</w:t>
            </w:r>
            <w:r w:rsidR="0084153B" w:rsidRPr="00B0618E">
              <w:t xml:space="preserve"> </w:t>
            </w:r>
            <w:r w:rsidR="002B49FD" w:rsidRPr="00B0618E">
              <w:t>310</w:t>
            </w:r>
            <w:r w:rsidRPr="00B0618E">
              <w:t xml:space="preserve"> m</w:t>
            </w:r>
            <w:r w:rsidRPr="00B0618E">
              <w:rPr>
                <w:vertAlign w:val="superscript"/>
              </w:rPr>
              <w:t>3</w:t>
            </w:r>
            <w:r w:rsidRPr="00B0618E">
              <w:t>/d</w:t>
            </w:r>
          </w:p>
        </w:tc>
        <w:tc>
          <w:tcPr>
            <w:tcW w:w="2031" w:type="dxa"/>
            <w:hideMark/>
          </w:tcPr>
          <w:p w14:paraId="4CEDA805" w14:textId="527663B0" w:rsidR="006B19F6" w:rsidRPr="00B0618E" w:rsidRDefault="006B19F6" w:rsidP="006B19F6">
            <w:pPr>
              <w:pStyle w:val="TableText"/>
              <w:ind w:right="291"/>
              <w:jc w:val="right"/>
              <w:cnfStyle w:val="000000000000" w:firstRow="0" w:lastRow="0" w:firstColumn="0" w:lastColumn="0" w:oddVBand="0" w:evenVBand="0" w:oddHBand="0" w:evenHBand="0" w:firstRowFirstColumn="0" w:firstRowLastColumn="0" w:lastRowFirstColumn="0" w:lastRowLastColumn="0"/>
            </w:pPr>
            <w:r w:rsidRPr="00B0618E">
              <w:t>1</w:t>
            </w:r>
            <w:r w:rsidR="0084153B" w:rsidRPr="00B0618E">
              <w:t xml:space="preserve"> </w:t>
            </w:r>
            <w:r w:rsidR="002B49FD" w:rsidRPr="00B0618E">
              <w:t>260</w:t>
            </w:r>
            <w:r w:rsidRPr="00B0618E">
              <w:t xml:space="preserve"> m</w:t>
            </w:r>
            <w:r w:rsidRPr="00B0618E">
              <w:rPr>
                <w:vertAlign w:val="superscript"/>
              </w:rPr>
              <w:t>3</w:t>
            </w:r>
            <w:r w:rsidRPr="00B0618E">
              <w:t>/d</w:t>
            </w:r>
          </w:p>
        </w:tc>
        <w:tc>
          <w:tcPr>
            <w:tcW w:w="2032" w:type="dxa"/>
          </w:tcPr>
          <w:p w14:paraId="5453B609" w14:textId="664CE0DF" w:rsidR="006B19F6" w:rsidRPr="00B0618E" w:rsidRDefault="006B19F6" w:rsidP="006B19F6">
            <w:pPr>
              <w:pStyle w:val="TableText"/>
              <w:ind w:right="55"/>
              <w:jc w:val="right"/>
              <w:cnfStyle w:val="000000000000" w:firstRow="0" w:lastRow="0" w:firstColumn="0" w:lastColumn="0" w:oddVBand="0" w:evenVBand="0" w:oddHBand="0" w:evenHBand="0" w:firstRowFirstColumn="0" w:firstRowLastColumn="0" w:lastRowFirstColumn="0" w:lastRowLastColumn="0"/>
            </w:pPr>
            <w:r w:rsidRPr="00B0618E">
              <w:t>1</w:t>
            </w:r>
            <w:r w:rsidR="0084153B" w:rsidRPr="00B0618E">
              <w:t xml:space="preserve"> </w:t>
            </w:r>
            <w:r w:rsidRPr="00B0618E">
              <w:t>074 m</w:t>
            </w:r>
            <w:r w:rsidRPr="00B0618E">
              <w:rPr>
                <w:vertAlign w:val="superscript"/>
              </w:rPr>
              <w:t>3</w:t>
            </w:r>
            <w:r w:rsidRPr="00B0618E">
              <w:t>/d</w:t>
            </w:r>
          </w:p>
        </w:tc>
      </w:tr>
    </w:tbl>
    <w:p w14:paraId="25F3F676" w14:textId="77777777" w:rsidR="00AC09A6" w:rsidRPr="00B0618E" w:rsidRDefault="00AC09A6">
      <w:pPr>
        <w:spacing w:after="0"/>
      </w:pPr>
    </w:p>
    <w:p w14:paraId="0D3D04A5" w14:textId="2F2213E8" w:rsidR="00B75891" w:rsidRPr="00B0618E" w:rsidRDefault="00B75891">
      <w:pPr>
        <w:spacing w:after="0"/>
        <w:rPr>
          <w:rFonts w:eastAsiaTheme="majorEastAsia" w:cstheme="majorBidi"/>
          <w:bCs/>
          <w:color w:val="00313C" w:themeColor="accent2"/>
          <w:sz w:val="32"/>
          <w:szCs w:val="26"/>
        </w:rPr>
      </w:pPr>
      <w:r w:rsidRPr="00B0618E">
        <w:br w:type="page"/>
      </w:r>
    </w:p>
    <w:p w14:paraId="68859773" w14:textId="778D9293" w:rsidR="00AC09A6" w:rsidRPr="00B0618E" w:rsidRDefault="00AC09A6" w:rsidP="00AC09A6">
      <w:pPr>
        <w:pStyle w:val="Heading2"/>
        <w:rPr>
          <w:sz w:val="24"/>
        </w:rPr>
      </w:pPr>
      <w:bookmarkStart w:id="201" w:name="_Toc483127588"/>
      <w:r w:rsidRPr="00B0618E">
        <w:t>Prediction uncertainty and groundwater management</w:t>
      </w:r>
      <w:bookmarkEnd w:id="201"/>
    </w:p>
    <w:p w14:paraId="3353477C" w14:textId="45C10047" w:rsidR="00EF3251" w:rsidRPr="00B0618E" w:rsidRDefault="00AC09A6" w:rsidP="00AC09A6">
      <w:pPr>
        <w:pStyle w:val="BodyText"/>
      </w:pPr>
      <w:r w:rsidRPr="00B0618E">
        <w:t xml:space="preserve">Groundwater impact assessments are increasingly being undertaken in a probabilistic framework whereby all sources of uncertainty (model parameters, model structure, boundary conditions, </w:t>
      </w:r>
      <w:r w:rsidR="00347324" w:rsidRPr="00B0618E">
        <w:t>and calibration data</w:t>
      </w:r>
      <w:r w:rsidRPr="00B0618E">
        <w:t>) are taken into account</w:t>
      </w:r>
      <w:r w:rsidR="00347324" w:rsidRPr="00B0618E">
        <w:t xml:space="preserve"> (Vrugt et al.</w:t>
      </w:r>
      <w:r w:rsidR="00B0618E" w:rsidRPr="00B0618E">
        <w:t>,</w:t>
      </w:r>
      <w:r w:rsidR="00347324" w:rsidRPr="00B0618E">
        <w:t xml:space="preserve"> 2013</w:t>
      </w:r>
      <w:r w:rsidR="00A21553">
        <w:t>; Guillaume et al., 2016</w:t>
      </w:r>
      <w:r w:rsidR="00347324" w:rsidRPr="00B0618E">
        <w:t>)</w:t>
      </w:r>
      <w:r w:rsidRPr="00B0618E">
        <w:t xml:space="preserve">. This has resulted in groundwater impact metrics being presented as </w:t>
      </w:r>
      <w:r w:rsidR="00EF3251" w:rsidRPr="00B0618E">
        <w:t>probability density functions</w:t>
      </w:r>
      <w:r w:rsidR="00F75114">
        <w:t xml:space="preserve"> and/or</w:t>
      </w:r>
      <w:r w:rsidR="00EF3251" w:rsidRPr="00B0618E">
        <w:t xml:space="preserve"> cumulative distribution functions, spatial maps displaying isolines of percentile values for specific metrics, etc. </w:t>
      </w:r>
    </w:p>
    <w:p w14:paraId="0E45AD16" w14:textId="18348966" w:rsidR="00AA5AA5" w:rsidRDefault="00EF3251" w:rsidP="00AC09A6">
      <w:pPr>
        <w:pStyle w:val="BodyText"/>
        <w:rPr>
          <w:color w:val="auto"/>
        </w:rPr>
      </w:pPr>
      <w:r w:rsidRPr="00B0618E">
        <w:t>Groundwater management on the other hand typically uses single values (i.e.</w:t>
      </w:r>
      <w:r w:rsidR="00664DBF">
        <w:t>,</w:t>
      </w:r>
      <w:r w:rsidRPr="00B0618E">
        <w:t xml:space="preserve"> in a deterministic framework) to evaluate what decisions are required to protect groundwater resources. For instance, </w:t>
      </w:r>
      <w:r w:rsidR="00AA5AA5" w:rsidRPr="00B0618E">
        <w:t xml:space="preserve">the third groundwater impact metric applied in this study considers the number of cells in the Pilliga Sandstone aquifer with drawdown greater than or equal to two meters. This </w:t>
      </w:r>
      <w:r w:rsidR="00AA5AA5" w:rsidRPr="00B0618E">
        <w:rPr>
          <w:color w:val="auto"/>
        </w:rPr>
        <w:t xml:space="preserve">nominal drawdown value of two metres was selected as this is consistent with trigger-level thresholds specified by the NSW Aquifer Interference Policy (NSW DPI OW, 2012). In many cases, when drawdowns induced by groundwater extraction exceed two metres, “make-good” provisions are enacted (such as the surrendering of extraction licences). </w:t>
      </w:r>
    </w:p>
    <w:p w14:paraId="6790FB9A" w14:textId="6F2608D3" w:rsidR="00FC3DAF" w:rsidRDefault="002003D9" w:rsidP="00AC09A6">
      <w:pPr>
        <w:pStyle w:val="BodyText"/>
        <w:rPr>
          <w:color w:val="auto"/>
        </w:rPr>
      </w:pPr>
      <w:r w:rsidRPr="00FC3DAF">
        <w:rPr>
          <w:color w:val="auto"/>
        </w:rPr>
        <w:t xml:space="preserve">The information obtained from a quantitative uncertainty analysis </w:t>
      </w:r>
      <w:r w:rsidR="00664DBF">
        <w:rPr>
          <w:color w:val="auto"/>
        </w:rPr>
        <w:t>(</w:t>
      </w:r>
      <w:r w:rsidR="00FC3DAF">
        <w:rPr>
          <w:color w:val="auto"/>
        </w:rPr>
        <w:t>such as presented here</w:t>
      </w:r>
      <w:r w:rsidR="00664DBF">
        <w:rPr>
          <w:color w:val="auto"/>
        </w:rPr>
        <w:t>)</w:t>
      </w:r>
      <w:r w:rsidR="00FC3DAF">
        <w:rPr>
          <w:color w:val="auto"/>
        </w:rPr>
        <w:t xml:space="preserve"> </w:t>
      </w:r>
      <w:r w:rsidRPr="00FC3DAF">
        <w:rPr>
          <w:color w:val="auto"/>
        </w:rPr>
        <w:t>can be used to guide decision</w:t>
      </w:r>
      <w:r w:rsidR="00664DBF">
        <w:rPr>
          <w:color w:val="auto"/>
        </w:rPr>
        <w:t xml:space="preserve"> making</w:t>
      </w:r>
      <w:r w:rsidR="00FC3DAF">
        <w:rPr>
          <w:color w:val="auto"/>
        </w:rPr>
        <w:t xml:space="preserve"> in several ways</w:t>
      </w:r>
      <w:r w:rsidRPr="00FC3DAF">
        <w:rPr>
          <w:color w:val="auto"/>
        </w:rPr>
        <w:t xml:space="preserve">. </w:t>
      </w:r>
      <w:r w:rsidR="00FC3DAF">
        <w:rPr>
          <w:color w:val="auto"/>
        </w:rPr>
        <w:t>Two examples are discussed</w:t>
      </w:r>
      <w:r w:rsidR="00664DBF">
        <w:rPr>
          <w:color w:val="auto"/>
        </w:rPr>
        <w:t xml:space="preserve"> here:</w:t>
      </w:r>
      <w:r w:rsidR="00FC3DAF">
        <w:rPr>
          <w:color w:val="auto"/>
        </w:rPr>
        <w:t xml:space="preserve"> the first </w:t>
      </w:r>
      <w:r w:rsidR="00664DBF">
        <w:rPr>
          <w:color w:val="auto"/>
        </w:rPr>
        <w:t>of which</w:t>
      </w:r>
      <w:r w:rsidR="00FC3DAF">
        <w:rPr>
          <w:color w:val="auto"/>
        </w:rPr>
        <w:t xml:space="preserve"> would not require modification of existing “deterministic” trigger or guideline values, whereas the second example assumes that the regulatory criteria are also expressed in probabilistic </w:t>
      </w:r>
      <w:r w:rsidR="00664DBF">
        <w:rPr>
          <w:color w:val="auto"/>
        </w:rPr>
        <w:t>terms</w:t>
      </w:r>
      <w:r w:rsidR="00FC3DAF">
        <w:rPr>
          <w:color w:val="auto"/>
        </w:rPr>
        <w:t xml:space="preserve">. </w:t>
      </w:r>
    </w:p>
    <w:p w14:paraId="4AA98FC6" w14:textId="5273866A" w:rsidR="002003D9" w:rsidRPr="00B0618E" w:rsidRDefault="00FC3DAF" w:rsidP="00AC09A6">
      <w:pPr>
        <w:pStyle w:val="BodyText"/>
        <w:rPr>
          <w:color w:val="auto"/>
        </w:rPr>
      </w:pPr>
      <w:r>
        <w:rPr>
          <w:color w:val="auto"/>
        </w:rPr>
        <w:t>The first</w:t>
      </w:r>
      <w:r w:rsidR="002003D9" w:rsidRPr="00FC3DAF">
        <w:rPr>
          <w:color w:val="auto"/>
        </w:rPr>
        <w:t xml:space="preserve"> example</w:t>
      </w:r>
      <w:r>
        <w:rPr>
          <w:color w:val="auto"/>
        </w:rPr>
        <w:t xml:space="preserve"> is a straightforward interpretation of calculated percentile values for specific impact metrics. </w:t>
      </w:r>
      <w:r w:rsidR="00F845E6">
        <w:rPr>
          <w:color w:val="auto"/>
        </w:rPr>
        <w:t>Consider</w:t>
      </w:r>
      <w:r w:rsidR="002003D9" w:rsidRPr="00FC3DAF">
        <w:rPr>
          <w:color w:val="auto"/>
        </w:rPr>
        <w:t xml:space="preserve"> a 5% lower confidence limit </w:t>
      </w:r>
      <w:r w:rsidR="00F845E6">
        <w:rPr>
          <w:color w:val="auto"/>
        </w:rPr>
        <w:t xml:space="preserve">(the magnitude of the impact metric would typically be at the lower end of all possible impacts) that </w:t>
      </w:r>
      <w:r w:rsidR="002003D9" w:rsidRPr="00FC3DAF">
        <w:rPr>
          <w:color w:val="auto"/>
        </w:rPr>
        <w:t xml:space="preserve">is above </w:t>
      </w:r>
      <w:r w:rsidR="00F845E6">
        <w:rPr>
          <w:color w:val="auto"/>
        </w:rPr>
        <w:t>the</w:t>
      </w:r>
      <w:r w:rsidR="002003D9" w:rsidRPr="00FC3DAF">
        <w:rPr>
          <w:color w:val="auto"/>
        </w:rPr>
        <w:t xml:space="preserve"> regulatory standard of concern, then it is likely that the standard will be violated. </w:t>
      </w:r>
      <w:r w:rsidR="00F845E6">
        <w:rPr>
          <w:color w:val="auto"/>
        </w:rPr>
        <w:t xml:space="preserve">Indeed, in this case 95% of all calculated impacts would exceed the standard: the decision that the standard is violated has a high degree of certainty. </w:t>
      </w:r>
      <w:r w:rsidR="002003D9" w:rsidRPr="00FC3DAF">
        <w:rPr>
          <w:color w:val="auto"/>
        </w:rPr>
        <w:t>If</w:t>
      </w:r>
      <w:r w:rsidR="00F845E6">
        <w:rPr>
          <w:color w:val="auto"/>
        </w:rPr>
        <w:t>, on the other hand,</w:t>
      </w:r>
      <w:r w:rsidR="002003D9" w:rsidRPr="00FC3DAF">
        <w:rPr>
          <w:color w:val="auto"/>
        </w:rPr>
        <w:t xml:space="preserve"> the 95% upper confidence limit </w:t>
      </w:r>
      <w:r w:rsidR="00F845E6">
        <w:rPr>
          <w:color w:val="auto"/>
        </w:rPr>
        <w:t xml:space="preserve">(the magnitude of impact is at the upper end of all possible impacts) </w:t>
      </w:r>
      <w:r w:rsidR="002003D9" w:rsidRPr="00FC3DAF">
        <w:rPr>
          <w:color w:val="auto"/>
        </w:rPr>
        <w:t xml:space="preserve">is below the standard, it is likely that the standard will not be violated. </w:t>
      </w:r>
      <w:r w:rsidR="00CF4F92">
        <w:rPr>
          <w:color w:val="auto"/>
        </w:rPr>
        <w:t xml:space="preserve">In this case there is only a very small chance (5%) for the metric to exceed the standard: the decision to accept the impact has a very small margin of error. </w:t>
      </w:r>
      <w:r w:rsidR="002003D9" w:rsidRPr="00FC3DAF">
        <w:rPr>
          <w:color w:val="auto"/>
        </w:rPr>
        <w:t xml:space="preserve">If the 95% upper confidence limit </w:t>
      </w:r>
      <w:r w:rsidR="00CF4F92">
        <w:rPr>
          <w:color w:val="auto"/>
        </w:rPr>
        <w:t>exceeds</w:t>
      </w:r>
      <w:r w:rsidR="002003D9" w:rsidRPr="00FC3DAF">
        <w:rPr>
          <w:color w:val="auto"/>
        </w:rPr>
        <w:t xml:space="preserve"> the standard, but the 50</w:t>
      </w:r>
      <w:r w:rsidR="002003D9" w:rsidRPr="00CF4F92">
        <w:rPr>
          <w:color w:val="auto"/>
          <w:vertAlign w:val="superscript"/>
        </w:rPr>
        <w:t>th</w:t>
      </w:r>
      <w:r w:rsidR="002003D9" w:rsidRPr="00FC3DAF">
        <w:rPr>
          <w:color w:val="auto"/>
        </w:rPr>
        <w:t xml:space="preserve"> percentile is </w:t>
      </w:r>
      <w:r w:rsidR="00CF4F92">
        <w:rPr>
          <w:color w:val="auto"/>
        </w:rPr>
        <w:t>less than</w:t>
      </w:r>
      <w:r w:rsidR="002003D9" w:rsidRPr="00FC3DAF">
        <w:rPr>
          <w:color w:val="auto"/>
        </w:rPr>
        <w:t xml:space="preserve"> the standard, further study </w:t>
      </w:r>
      <w:r w:rsidR="00CF4F92">
        <w:rPr>
          <w:color w:val="auto"/>
        </w:rPr>
        <w:t>c</w:t>
      </w:r>
      <w:r w:rsidR="002003D9" w:rsidRPr="00FC3DAF">
        <w:rPr>
          <w:color w:val="auto"/>
        </w:rPr>
        <w:t xml:space="preserve">ould be recommended </w:t>
      </w:r>
      <w:r w:rsidR="00212311">
        <w:rPr>
          <w:color w:val="auto"/>
        </w:rPr>
        <w:t>for</w:t>
      </w:r>
      <w:r w:rsidR="002003D9" w:rsidRPr="00FC3DAF">
        <w:rPr>
          <w:color w:val="auto"/>
        </w:rPr>
        <w:t xml:space="preserve"> those parameters that </w:t>
      </w:r>
      <w:r w:rsidR="00212311">
        <w:rPr>
          <w:color w:val="auto"/>
        </w:rPr>
        <w:t xml:space="preserve">most </w:t>
      </w:r>
      <w:r w:rsidR="00CF4F92">
        <w:rPr>
          <w:color w:val="auto"/>
        </w:rPr>
        <w:t>control</w:t>
      </w:r>
      <w:r w:rsidR="002003D9" w:rsidRPr="00FC3DAF">
        <w:rPr>
          <w:color w:val="auto"/>
        </w:rPr>
        <w:t xml:space="preserve"> the overall uncertainty. However, if the 50</w:t>
      </w:r>
      <w:r w:rsidR="002003D9" w:rsidRPr="00CF4F92">
        <w:rPr>
          <w:color w:val="auto"/>
          <w:vertAlign w:val="superscript"/>
        </w:rPr>
        <w:t>th</w:t>
      </w:r>
      <w:r w:rsidR="002003D9" w:rsidRPr="00FC3DAF">
        <w:rPr>
          <w:color w:val="auto"/>
        </w:rPr>
        <w:t xml:space="preserve"> percentile </w:t>
      </w:r>
      <w:r w:rsidR="00212311">
        <w:rPr>
          <w:color w:val="auto"/>
        </w:rPr>
        <w:t>exceeds</w:t>
      </w:r>
      <w:r w:rsidR="002003D9" w:rsidRPr="00FC3DAF">
        <w:rPr>
          <w:color w:val="auto"/>
        </w:rPr>
        <w:t xml:space="preserve"> the standard, further study may still be recommended</w:t>
      </w:r>
      <w:r w:rsidR="00212311">
        <w:rPr>
          <w:color w:val="auto"/>
        </w:rPr>
        <w:t xml:space="preserve">. </w:t>
      </w:r>
      <w:r w:rsidR="00664DBF">
        <w:rPr>
          <w:color w:val="auto"/>
        </w:rPr>
        <w:t>U</w:t>
      </w:r>
      <w:r w:rsidR="002003D9" w:rsidRPr="00FC3DAF">
        <w:rPr>
          <w:color w:val="auto"/>
        </w:rPr>
        <w:t xml:space="preserve">nder some circumstances one may </w:t>
      </w:r>
      <w:r w:rsidR="00CF4F92">
        <w:rPr>
          <w:color w:val="auto"/>
        </w:rPr>
        <w:t>choose</w:t>
      </w:r>
      <w:r w:rsidR="002003D9" w:rsidRPr="00FC3DAF">
        <w:rPr>
          <w:color w:val="auto"/>
        </w:rPr>
        <w:t xml:space="preserve"> to proceed with regulatory action depending on the cost-effectiveness of measures for risk reduction.</w:t>
      </w:r>
    </w:p>
    <w:p w14:paraId="6F16BA28" w14:textId="5F4F7024" w:rsidR="00B7748E" w:rsidRDefault="005B7E26" w:rsidP="00AC09A6">
      <w:pPr>
        <w:pStyle w:val="BodyText"/>
        <w:rPr>
          <w:color w:val="auto"/>
        </w:rPr>
      </w:pPr>
      <w:r>
        <w:rPr>
          <w:color w:val="auto"/>
        </w:rPr>
        <w:t>The second examples goes a step further</w:t>
      </w:r>
      <w:r w:rsidR="00664DBF">
        <w:rPr>
          <w:color w:val="auto"/>
        </w:rPr>
        <w:t>,</w:t>
      </w:r>
      <w:r>
        <w:rPr>
          <w:color w:val="auto"/>
        </w:rPr>
        <w:t xml:space="preserve"> as the previous deterministic</w:t>
      </w:r>
      <w:r w:rsidR="00B7748E" w:rsidRPr="00B0618E">
        <w:rPr>
          <w:color w:val="auto"/>
        </w:rPr>
        <w:t xml:space="preserve"> thresholds do not currently allow for a probabilistic interpretation</w:t>
      </w:r>
      <w:r w:rsidR="00664DBF">
        <w:rPr>
          <w:color w:val="auto"/>
        </w:rPr>
        <w:t>;</w:t>
      </w:r>
      <w:r w:rsidR="00B7748E" w:rsidRPr="00B0618E">
        <w:rPr>
          <w:color w:val="auto"/>
        </w:rPr>
        <w:t xml:space="preserve"> e.g.</w:t>
      </w:r>
      <w:r w:rsidR="00664DBF">
        <w:rPr>
          <w:color w:val="auto"/>
        </w:rPr>
        <w:t>,</w:t>
      </w:r>
      <w:r w:rsidR="00B7748E" w:rsidRPr="00B0618E">
        <w:rPr>
          <w:color w:val="auto"/>
        </w:rPr>
        <w:t xml:space="preserve"> there is no statement that “the probability of exceeding the threshold shall not be larger than 50%” or “the </w:t>
      </w:r>
      <w:r w:rsidR="0065280C">
        <w:rPr>
          <w:color w:val="auto"/>
        </w:rPr>
        <w:t xml:space="preserve">likelihood </w:t>
      </w:r>
      <w:r w:rsidR="00B7748E" w:rsidRPr="00B0618E">
        <w:rPr>
          <w:color w:val="auto"/>
        </w:rPr>
        <w:t xml:space="preserve">of exceeding the threshold </w:t>
      </w:r>
      <w:r w:rsidR="0065280C">
        <w:rPr>
          <w:color w:val="auto"/>
        </w:rPr>
        <w:t>should not exceed one chance in 100</w:t>
      </w:r>
      <w:r w:rsidR="00B7748E" w:rsidRPr="00B0618E">
        <w:rPr>
          <w:color w:val="auto"/>
        </w:rPr>
        <w:t xml:space="preserve">”. It would be sensible to have a set of thresholds with an associated acceptable probability of exceedance </w:t>
      </w:r>
      <w:r>
        <w:rPr>
          <w:color w:val="auto"/>
        </w:rPr>
        <w:t xml:space="preserve">(or probability of not exceeding a threshold) </w:t>
      </w:r>
      <w:r w:rsidR="00B7748E" w:rsidRPr="00B0618E">
        <w:rPr>
          <w:color w:val="auto"/>
        </w:rPr>
        <w:t>that decreases as the impact increases</w:t>
      </w:r>
      <w:r w:rsidR="00D14EF7" w:rsidRPr="00B0618E">
        <w:rPr>
          <w:color w:val="auto"/>
        </w:rPr>
        <w:t xml:space="preserve"> (</w:t>
      </w:r>
      <w:r w:rsidR="00D14EF7" w:rsidRPr="00B0618E">
        <w:rPr>
          <w:color w:val="auto"/>
        </w:rPr>
        <w:fldChar w:fldCharType="begin"/>
      </w:r>
      <w:r w:rsidR="00D14EF7" w:rsidRPr="00B0618E">
        <w:rPr>
          <w:color w:val="auto"/>
        </w:rPr>
        <w:instrText xml:space="preserve"> REF _Ref478561508 \h </w:instrText>
      </w:r>
      <w:r w:rsidR="00B0618E">
        <w:rPr>
          <w:color w:val="auto"/>
        </w:rPr>
        <w:instrText xml:space="preserve"> \* MERGEFORMAT </w:instrText>
      </w:r>
      <w:r w:rsidR="00D14EF7" w:rsidRPr="00B0618E">
        <w:rPr>
          <w:color w:val="auto"/>
        </w:rPr>
      </w:r>
      <w:r w:rsidR="00D14EF7" w:rsidRPr="00B0618E">
        <w:rPr>
          <w:color w:val="auto"/>
        </w:rPr>
        <w:fldChar w:fldCharType="separate"/>
      </w:r>
      <w:r w:rsidR="000B6FA5" w:rsidRPr="00B0618E">
        <w:t xml:space="preserve">Figure </w:t>
      </w:r>
      <w:r w:rsidR="000B6FA5">
        <w:rPr>
          <w:noProof/>
        </w:rPr>
        <w:t>6</w:t>
      </w:r>
      <w:r w:rsidR="000B6FA5">
        <w:rPr>
          <w:noProof/>
        </w:rPr>
        <w:noBreakHyphen/>
        <w:t>14</w:t>
      </w:r>
      <w:r w:rsidR="00D14EF7" w:rsidRPr="00B0618E">
        <w:rPr>
          <w:color w:val="auto"/>
        </w:rPr>
        <w:fldChar w:fldCharType="end"/>
      </w:r>
      <w:r w:rsidR="00D14EF7" w:rsidRPr="00B0618E">
        <w:rPr>
          <w:color w:val="auto"/>
        </w:rPr>
        <w:t>)</w:t>
      </w:r>
      <w:r w:rsidR="00B7748E" w:rsidRPr="00B0618E">
        <w:rPr>
          <w:color w:val="auto"/>
        </w:rPr>
        <w:t xml:space="preserve">. In this way both the prediction uncertainty and management rules are expressed in a probabilistic framework. </w:t>
      </w:r>
    </w:p>
    <w:p w14:paraId="04961736" w14:textId="77777777" w:rsidR="0097305E" w:rsidRPr="00B0618E" w:rsidRDefault="0097305E" w:rsidP="0097305E">
      <w:pPr>
        <w:pStyle w:val="BodyText"/>
        <w:jc w:val="center"/>
      </w:pPr>
      <w:r w:rsidRPr="00B0618E">
        <w:rPr>
          <w:noProof/>
        </w:rPr>
        <w:drawing>
          <wp:inline distT="0" distB="0" distL="0" distR="0" wp14:anchorId="194E3B7F" wp14:editId="4BEBBB2B">
            <wp:extent cx="2682610" cy="2777721"/>
            <wp:effectExtent l="0" t="0" r="0" b="0"/>
            <wp:docPr id="54" name="Picture 54" descr="Chart of relationship between impact threshold and acceptable probability" title="Fig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89828" cy="2785195"/>
                    </a:xfrm>
                    <a:prstGeom prst="rect">
                      <a:avLst/>
                    </a:prstGeom>
                    <a:noFill/>
                    <a:ln>
                      <a:noFill/>
                    </a:ln>
                  </pic:spPr>
                </pic:pic>
              </a:graphicData>
            </a:graphic>
          </wp:inline>
        </w:drawing>
      </w:r>
    </w:p>
    <w:p w14:paraId="0D05244C" w14:textId="32086E43" w:rsidR="0097305E" w:rsidRPr="00B0618E" w:rsidRDefault="0097305E" w:rsidP="0097305E">
      <w:pPr>
        <w:pStyle w:val="Caption"/>
      </w:pPr>
      <w:bookmarkStart w:id="202" w:name="_Ref478561508"/>
      <w:bookmarkStart w:id="203" w:name="_Toc482034950"/>
      <w:r w:rsidRPr="00B0618E">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14</w:t>
      </w:r>
      <w:r w:rsidR="00A2085C">
        <w:rPr>
          <w:noProof/>
        </w:rPr>
        <w:fldChar w:fldCharType="end"/>
      </w:r>
      <w:bookmarkEnd w:id="202"/>
      <w:r w:rsidRPr="00B0618E">
        <w:t xml:space="preserve"> Relationship between impact thresholds and acceptable probability of exceeding a given threshold.</w:t>
      </w:r>
      <w:bookmarkEnd w:id="203"/>
    </w:p>
    <w:p w14:paraId="10DCE050" w14:textId="77777777" w:rsidR="0097305E" w:rsidRDefault="0097305E" w:rsidP="00AC09A6">
      <w:pPr>
        <w:pStyle w:val="BodyText"/>
        <w:rPr>
          <w:color w:val="auto"/>
        </w:rPr>
      </w:pPr>
    </w:p>
    <w:p w14:paraId="0E9BB730" w14:textId="6F9ECAA7" w:rsidR="0097305E" w:rsidRPr="0097305E" w:rsidRDefault="0065280C" w:rsidP="0097305E">
      <w:pPr>
        <w:pStyle w:val="BodyText"/>
      </w:pPr>
      <w:r w:rsidRPr="0097305E">
        <w:t xml:space="preserve">The theoretical example of </w:t>
      </w:r>
      <w:r w:rsidRPr="0097305E">
        <w:fldChar w:fldCharType="begin"/>
      </w:r>
      <w:r w:rsidRPr="0097305E">
        <w:instrText xml:space="preserve"> REF _Ref478561508 \h </w:instrText>
      </w:r>
      <w:r w:rsidR="0097305E">
        <w:instrText xml:space="preserve"> \* MERGEFORMAT </w:instrText>
      </w:r>
      <w:r w:rsidRPr="0097305E">
        <w:fldChar w:fldCharType="separate"/>
      </w:r>
      <w:r w:rsidR="000B6FA5" w:rsidRPr="00B0618E">
        <w:t xml:space="preserve">Figure </w:t>
      </w:r>
      <w:r w:rsidR="000B6FA5">
        <w:t>6</w:t>
      </w:r>
      <w:r w:rsidR="000B6FA5">
        <w:noBreakHyphen/>
        <w:t>14</w:t>
      </w:r>
      <w:r w:rsidRPr="0097305E">
        <w:fldChar w:fldCharType="end"/>
      </w:r>
      <w:r w:rsidRPr="0097305E">
        <w:t xml:space="preserve"> is subsequently applied to the results from the groundwater impact metrics discussed in Section </w:t>
      </w:r>
      <w:r w:rsidRPr="0097305E">
        <w:fldChar w:fldCharType="begin"/>
      </w:r>
      <w:r w:rsidRPr="0097305E">
        <w:instrText xml:space="preserve"> REF _Ref479188438 \r \h </w:instrText>
      </w:r>
      <w:r w:rsidR="0097305E">
        <w:instrText xml:space="preserve"> \* MERGEFORMAT </w:instrText>
      </w:r>
      <w:r w:rsidRPr="0097305E">
        <w:fldChar w:fldCharType="separate"/>
      </w:r>
      <w:r w:rsidR="000B6FA5">
        <w:t>6.4.1</w:t>
      </w:r>
      <w:r w:rsidRPr="0097305E">
        <w:fldChar w:fldCharType="end"/>
      </w:r>
      <w:r w:rsidRPr="0097305E">
        <w:t xml:space="preserve">. Note that the impact metrics were expressed in terms of their cumulative distribution function, e.g. </w:t>
      </w:r>
      <w:r w:rsidRPr="0097305E">
        <w:fldChar w:fldCharType="begin"/>
      </w:r>
      <w:r w:rsidRPr="0097305E">
        <w:instrText xml:space="preserve"> REF _Ref479188539 \h </w:instrText>
      </w:r>
      <w:r w:rsidR="0097305E">
        <w:instrText xml:space="preserve"> \* MERGEFORMAT </w:instrText>
      </w:r>
      <w:r w:rsidRPr="0097305E">
        <w:fldChar w:fldCharType="separate"/>
      </w:r>
      <w:r w:rsidR="000B6FA5" w:rsidRPr="00B0618E">
        <w:t xml:space="preserve">Figure </w:t>
      </w:r>
      <w:r w:rsidR="000B6FA5">
        <w:t>6</w:t>
      </w:r>
      <w:r w:rsidR="000B6FA5">
        <w:noBreakHyphen/>
        <w:t>8</w:t>
      </w:r>
      <w:r w:rsidRPr="0097305E">
        <w:fldChar w:fldCharType="end"/>
      </w:r>
      <w:r w:rsidRPr="0097305E">
        <w:t>. First, this plot will be converted into complementary cumulative distribution function, or CCDF</w:t>
      </w:r>
      <w:r w:rsidR="00D646E1">
        <w:t xml:space="preserve"> (see also Turnadge et al. 2018</w:t>
      </w:r>
      <w:r w:rsidR="009833F3">
        <w:t>a</w:t>
      </w:r>
      <w:r w:rsidR="00C42259" w:rsidRPr="0097305E">
        <w:t>)</w:t>
      </w:r>
      <w:r w:rsidRPr="0097305E">
        <w:t>.</w:t>
      </w:r>
      <w:r w:rsidR="0097305E" w:rsidRPr="0097305E">
        <w:t xml:space="preserve"> A</w:t>
      </w:r>
      <w:r w:rsidR="0097305E">
        <w:t xml:space="preserve"> c</w:t>
      </w:r>
      <w:r w:rsidR="0097305E" w:rsidRPr="00B5586C">
        <w:t>omplementary cumulative distribution function</w:t>
      </w:r>
      <w:r w:rsidR="0097305E">
        <w:t xml:space="preserve"> </w:t>
      </w:r>
      <w:r w:rsidR="0097305E" w:rsidRPr="00B5586C">
        <w:t>represent</w:t>
      </w:r>
      <w:r w:rsidR="0097305E">
        <w:t>s</w:t>
      </w:r>
      <w:r w:rsidR="0097305E" w:rsidRPr="00B5586C">
        <w:t xml:space="preserve"> </w:t>
      </w:r>
      <w:r w:rsidR="0097305E">
        <w:t xml:space="preserve">the </w:t>
      </w:r>
      <w:r w:rsidR="0097305E" w:rsidRPr="00B5586C">
        <w:t>probability of exceedance, i.e. Prob (X &gt; x) = 1 - Prob (X</w:t>
      </w:r>
      <w:r w:rsidR="0097305E" w:rsidRPr="0097305E">
        <w:t xml:space="preserve"> ≤</w:t>
      </w:r>
      <w:r w:rsidR="0097305E" w:rsidRPr="00B5586C">
        <w:t xml:space="preserve"> x</w:t>
      </w:r>
      <w:r w:rsidR="0097305E" w:rsidRPr="0097305E">
        <w:t xml:space="preserve"> </w:t>
      </w:r>
      <w:r w:rsidR="008C38CF">
        <w:t>)</w:t>
      </w:r>
      <w:r w:rsidR="0097305E">
        <w:t>. CCDFs</w:t>
      </w:r>
      <w:r w:rsidR="0097305E" w:rsidRPr="0097305E">
        <w:t xml:space="preserve"> are </w:t>
      </w:r>
      <w:r w:rsidR="0097305E">
        <w:t>commonly</w:t>
      </w:r>
      <w:r w:rsidR="0097305E" w:rsidRPr="0097305E">
        <w:t xml:space="preserve"> used to display the results of risk assessments for two</w:t>
      </w:r>
      <w:r w:rsidR="0097305E">
        <w:t xml:space="preserve"> </w:t>
      </w:r>
      <w:r w:rsidR="0097305E" w:rsidRPr="0097305E">
        <w:t xml:space="preserve">reasons. First, CCDFs answer the question </w:t>
      </w:r>
      <w:r w:rsidR="00664DBF">
        <w:t>“</w:t>
      </w:r>
      <w:r w:rsidR="0097305E" w:rsidRPr="0097305E">
        <w:t>how likely is an outcome to be this large or larger</w:t>
      </w:r>
      <w:r w:rsidR="00664DBF">
        <w:t>”</w:t>
      </w:r>
      <w:r w:rsidR="0097305E" w:rsidRPr="0097305E">
        <w:t>, which is typically the question of interest in risk assessment. Second, CCDFs facilitate displaying small probabilities associated with large consequences.</w:t>
      </w:r>
    </w:p>
    <w:p w14:paraId="74654192" w14:textId="295DCD5A" w:rsidR="0065280C" w:rsidRPr="00B0618E" w:rsidRDefault="0065280C" w:rsidP="00AC09A6">
      <w:pPr>
        <w:pStyle w:val="BodyText"/>
        <w:rPr>
          <w:color w:val="auto"/>
        </w:rPr>
      </w:pPr>
    </w:p>
    <w:p w14:paraId="342A33B5" w14:textId="12F8DFED" w:rsidR="00D14EF7" w:rsidRDefault="0097305E" w:rsidP="0097305E">
      <w:pPr>
        <w:pStyle w:val="BodyText"/>
        <w:jc w:val="center"/>
        <w:rPr>
          <w:color w:val="auto"/>
        </w:rPr>
      </w:pPr>
      <w:r w:rsidRPr="00192BF4">
        <w:rPr>
          <w:noProof/>
        </w:rPr>
        <w:drawing>
          <wp:inline distT="0" distB="0" distL="0" distR="0" wp14:anchorId="70B3413D" wp14:editId="2ADFE789">
            <wp:extent cx="3137026" cy="2699630"/>
            <wp:effectExtent l="0" t="0" r="6350" b="5715"/>
            <wp:docPr id="133" name="Picture 133" descr="Chart of statistical distributions" title="Fig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153888" cy="2714141"/>
                    </a:xfrm>
                    <a:prstGeom prst="rect">
                      <a:avLst/>
                    </a:prstGeom>
                  </pic:spPr>
                </pic:pic>
              </a:graphicData>
            </a:graphic>
          </wp:inline>
        </w:drawing>
      </w:r>
    </w:p>
    <w:p w14:paraId="2410B5F9" w14:textId="79757D63" w:rsidR="0097305E" w:rsidRDefault="0097305E" w:rsidP="0097305E">
      <w:pPr>
        <w:pStyle w:val="Caption"/>
      </w:pPr>
      <w:bookmarkStart w:id="204" w:name="_Ref445732251"/>
      <w:bookmarkStart w:id="205" w:name="_Toc446256463"/>
      <w:bookmarkStart w:id="206" w:name="_Toc482034951"/>
      <w:r>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15</w:t>
      </w:r>
      <w:r w:rsidR="00A2085C">
        <w:rPr>
          <w:noProof/>
        </w:rPr>
        <w:fldChar w:fldCharType="end"/>
      </w:r>
      <w:bookmarkEnd w:id="204"/>
      <w:r>
        <w:t xml:space="preserve"> Cumulative distribution function (CDF) and complementary cumulative distribution function (CCDF) for variable </w:t>
      </w:r>
      <w:r w:rsidRPr="00854216">
        <w:rPr>
          <w:i/>
        </w:rPr>
        <w:t>v</w:t>
      </w:r>
      <w:r w:rsidRPr="0097305E">
        <w:t xml:space="preserve"> </w:t>
      </w:r>
      <w:r>
        <w:t>with a triangular distribution on [1, 10] and a mode at 7 (</w:t>
      </w:r>
      <w:r w:rsidR="00681FC8">
        <w:t xml:space="preserve">based on </w:t>
      </w:r>
      <w:r w:rsidRPr="00B5586C">
        <w:t>Helton et al. 2004).</w:t>
      </w:r>
      <w:bookmarkEnd w:id="205"/>
      <w:bookmarkEnd w:id="206"/>
    </w:p>
    <w:p w14:paraId="25AA4709" w14:textId="77777777" w:rsidR="0097305E" w:rsidRPr="0097305E" w:rsidRDefault="0097305E" w:rsidP="0097305E">
      <w:pPr>
        <w:pStyle w:val="BodyText"/>
      </w:pPr>
    </w:p>
    <w:p w14:paraId="0DF3E1A4" w14:textId="15922474" w:rsidR="0097305E" w:rsidRDefault="00C305C3" w:rsidP="00C305C3">
      <w:pPr>
        <w:pStyle w:val="BodyText"/>
        <w:rPr>
          <w:color w:val="auto"/>
        </w:rPr>
      </w:pPr>
      <w:r>
        <w:rPr>
          <w:color w:val="auto"/>
        </w:rPr>
        <w:t xml:space="preserve">Once the CCDFs have been calculated for one or several impact metrics, they can be compared with threshold boundaries. The latter define a probability-consequence limit line for assessing, or limiting, the risk to the public or the environment. Any probability-consequence points above the limit line have an unacceptable high risk, whereas points below the limit line have an acceptable level of risk. Different limit lines may be considered, including lines of constant risk, lines that account for stakeholders being risk </w:t>
      </w:r>
      <w:r w:rsidR="00D318A3">
        <w:rPr>
          <w:color w:val="auto"/>
        </w:rPr>
        <w:t>averse towards high consequence values (i.e.</w:t>
      </w:r>
      <w:r w:rsidR="00664DBF">
        <w:rPr>
          <w:color w:val="auto"/>
        </w:rPr>
        <w:t>,</w:t>
      </w:r>
      <w:r w:rsidR="00D318A3">
        <w:rPr>
          <w:color w:val="auto"/>
        </w:rPr>
        <w:t xml:space="preserve"> the acceptable risk at high consequence values will be smaller than at low consequence values), or lines defined by a single requirement</w:t>
      </w:r>
      <w:r w:rsidR="00C504B8">
        <w:rPr>
          <w:color w:val="auto"/>
        </w:rPr>
        <w:t xml:space="preserve"> (Cox and Baybutt, 1981)</w:t>
      </w:r>
      <w:r w:rsidR="00D318A3">
        <w:rPr>
          <w:color w:val="auto"/>
        </w:rPr>
        <w:t xml:space="preserve">. </w:t>
      </w:r>
      <w:r w:rsidR="00D318A3">
        <w:rPr>
          <w:color w:val="auto"/>
        </w:rPr>
        <w:fldChar w:fldCharType="begin"/>
      </w:r>
      <w:r w:rsidR="00D318A3">
        <w:rPr>
          <w:color w:val="auto"/>
        </w:rPr>
        <w:instrText xml:space="preserve"> REF _Ref479194701 \h </w:instrText>
      </w:r>
      <w:r w:rsidR="00D318A3">
        <w:rPr>
          <w:color w:val="auto"/>
        </w:rPr>
      </w:r>
      <w:r w:rsidR="00D318A3">
        <w:rPr>
          <w:color w:val="auto"/>
        </w:rPr>
        <w:fldChar w:fldCharType="separate"/>
      </w:r>
      <w:r w:rsidR="000B6FA5">
        <w:t xml:space="preserve">Figure </w:t>
      </w:r>
      <w:r w:rsidR="000B6FA5">
        <w:rPr>
          <w:noProof/>
        </w:rPr>
        <w:t>6</w:t>
      </w:r>
      <w:r w:rsidR="000B6FA5">
        <w:noBreakHyphen/>
      </w:r>
      <w:r w:rsidR="000B6FA5">
        <w:rPr>
          <w:noProof/>
        </w:rPr>
        <w:t>16</w:t>
      </w:r>
      <w:r w:rsidR="00D318A3">
        <w:rPr>
          <w:color w:val="auto"/>
        </w:rPr>
        <w:fldChar w:fldCharType="end"/>
      </w:r>
      <w:r w:rsidR="00D318A3">
        <w:rPr>
          <w:color w:val="auto"/>
        </w:rPr>
        <w:t xml:space="preserve"> illustrates the principle of boundary lines, with one continuous line, one boundary line defined by a single requirement </w:t>
      </w:r>
      <w:r w:rsidR="00E52F2E">
        <w:rPr>
          <w:color w:val="auto"/>
        </w:rPr>
        <w:t>(i.e.</w:t>
      </w:r>
      <w:r w:rsidR="00664DBF">
        <w:rPr>
          <w:color w:val="auto"/>
        </w:rPr>
        <w:t>,</w:t>
      </w:r>
      <w:r w:rsidR="00E52F2E">
        <w:rPr>
          <w:color w:val="auto"/>
        </w:rPr>
        <w:t xml:space="preserve"> probability of exceeding the consequence value of 30 should be less than one in ten) </w:t>
      </w:r>
      <w:r w:rsidR="00D318A3">
        <w:rPr>
          <w:color w:val="auto"/>
        </w:rPr>
        <w:t>and one defined by two requirements</w:t>
      </w:r>
      <w:r w:rsidR="00E52F2E">
        <w:rPr>
          <w:color w:val="auto"/>
        </w:rPr>
        <w:t xml:space="preserve"> (i.e. probability of exceeding consequence value 20 should be less than 8% and the probability of exceeding consequence value 10 should be less than 60%)</w:t>
      </w:r>
      <w:r w:rsidR="00D318A3">
        <w:rPr>
          <w:color w:val="auto"/>
        </w:rPr>
        <w:t>.</w:t>
      </w:r>
      <w:r w:rsidR="00874162">
        <w:rPr>
          <w:color w:val="auto"/>
        </w:rPr>
        <w:t xml:space="preserve"> Because the CCDF does not exceed any of the boundary lines, the risk is acceptable.</w:t>
      </w:r>
    </w:p>
    <w:p w14:paraId="6CCDFEA7" w14:textId="77777777" w:rsidR="00874162" w:rsidRPr="00B0618E" w:rsidRDefault="00874162" w:rsidP="00C305C3">
      <w:pPr>
        <w:pStyle w:val="BodyText"/>
        <w:rPr>
          <w:color w:val="auto"/>
        </w:rPr>
      </w:pPr>
    </w:p>
    <w:p w14:paraId="1CCBC65D" w14:textId="0E04E4E6" w:rsidR="0097305E" w:rsidRDefault="00874162" w:rsidP="00982FBC">
      <w:pPr>
        <w:pStyle w:val="Caption"/>
        <w:jc w:val="center"/>
      </w:pPr>
      <w:r w:rsidRPr="00874162">
        <w:rPr>
          <w:noProof/>
        </w:rPr>
        <w:drawing>
          <wp:inline distT="0" distB="0" distL="0" distR="0" wp14:anchorId="7EBB205E" wp14:editId="63B38F91">
            <wp:extent cx="3093251" cy="2947260"/>
            <wp:effectExtent l="0" t="0" r="0" b="5715"/>
            <wp:docPr id="76" name="Picture 76" descr="Chart of the boundary line approach to acceptable risk" title="Fig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96662" cy="2950510"/>
                    </a:xfrm>
                    <a:prstGeom prst="rect">
                      <a:avLst/>
                    </a:prstGeom>
                    <a:noFill/>
                    <a:ln>
                      <a:noFill/>
                    </a:ln>
                  </pic:spPr>
                </pic:pic>
              </a:graphicData>
            </a:graphic>
          </wp:inline>
        </w:drawing>
      </w:r>
    </w:p>
    <w:p w14:paraId="114212FF" w14:textId="77777777" w:rsidR="008F7BDD" w:rsidRDefault="008F7BDD" w:rsidP="00B25251">
      <w:pPr>
        <w:pStyle w:val="Caption"/>
      </w:pPr>
    </w:p>
    <w:p w14:paraId="3D50505B" w14:textId="7D2E1E2F" w:rsidR="00B25251" w:rsidRDefault="00B25251" w:rsidP="00B25251">
      <w:pPr>
        <w:pStyle w:val="Caption"/>
      </w:pPr>
      <w:bookmarkStart w:id="207" w:name="_Ref479194701"/>
      <w:bookmarkStart w:id="208" w:name="_Toc482034952"/>
      <w:r>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16</w:t>
      </w:r>
      <w:r w:rsidR="00A2085C">
        <w:rPr>
          <w:noProof/>
        </w:rPr>
        <w:fldChar w:fldCharType="end"/>
      </w:r>
      <w:bookmarkEnd w:id="207"/>
      <w:r>
        <w:t xml:space="preserve"> Boundary line approach to specification of acceptable risk</w:t>
      </w:r>
      <w:r w:rsidR="00573B79">
        <w:t xml:space="preserve"> (modified from Helton and Breeding, 1993)</w:t>
      </w:r>
      <w:r>
        <w:t>.</w:t>
      </w:r>
      <w:bookmarkEnd w:id="208"/>
    </w:p>
    <w:p w14:paraId="4D27822F" w14:textId="1E3141D5" w:rsidR="00B25251" w:rsidRDefault="00091F6F" w:rsidP="0097305E">
      <w:pPr>
        <w:pStyle w:val="BodyText"/>
      </w:pPr>
      <w:r>
        <w:t xml:space="preserve">The principle of boundary line will be applied </w:t>
      </w:r>
      <w:r w:rsidRPr="0097305E">
        <w:t xml:space="preserve">to the results from the groundwater impact metrics discussed in Section </w:t>
      </w:r>
      <w:r w:rsidRPr="0097305E">
        <w:fldChar w:fldCharType="begin"/>
      </w:r>
      <w:r w:rsidRPr="0097305E">
        <w:instrText xml:space="preserve"> REF _Ref479188438 \r \h </w:instrText>
      </w:r>
      <w:r>
        <w:instrText xml:space="preserve"> \* MERGEFORMAT </w:instrText>
      </w:r>
      <w:r w:rsidRPr="0097305E">
        <w:fldChar w:fldCharType="separate"/>
      </w:r>
      <w:r w:rsidR="000B6FA5">
        <w:t>6.4.1</w:t>
      </w:r>
      <w:r w:rsidRPr="0097305E">
        <w:fldChar w:fldCharType="end"/>
      </w:r>
      <w:r w:rsidRPr="0097305E">
        <w:t>.</w:t>
      </w:r>
      <w:r>
        <w:t xml:space="preserve"> </w:t>
      </w:r>
      <w:r w:rsidR="00CD6A99">
        <w:t>T</w:t>
      </w:r>
      <w:r>
        <w:t>he maximum drawdown will be considered</w:t>
      </w:r>
      <w:r w:rsidR="00CD6A99">
        <w:t xml:space="preserve"> as example</w:t>
      </w:r>
      <w:r>
        <w:t>.</w:t>
      </w:r>
      <w:r w:rsidR="00CD6A99">
        <w:t xml:space="preserve"> </w:t>
      </w:r>
      <w:r w:rsidR="00545637">
        <w:fldChar w:fldCharType="begin"/>
      </w:r>
      <w:r w:rsidR="00545637">
        <w:instrText xml:space="preserve"> REF _Ref480909638 \h </w:instrText>
      </w:r>
      <w:r w:rsidR="00545637">
        <w:fldChar w:fldCharType="separate"/>
      </w:r>
      <w:r w:rsidR="000B6FA5">
        <w:t xml:space="preserve">Figure </w:t>
      </w:r>
      <w:r w:rsidR="000B6FA5">
        <w:rPr>
          <w:noProof/>
        </w:rPr>
        <w:t>6</w:t>
      </w:r>
      <w:r w:rsidR="000B6FA5">
        <w:noBreakHyphen/>
      </w:r>
      <w:r w:rsidR="000B6FA5">
        <w:rPr>
          <w:noProof/>
        </w:rPr>
        <w:t>17</w:t>
      </w:r>
      <w:r w:rsidR="00545637">
        <w:fldChar w:fldCharType="end"/>
      </w:r>
      <w:r w:rsidR="00545637">
        <w:t xml:space="preserve"> </w:t>
      </w:r>
      <w:r w:rsidR="00CD6A99">
        <w:t>displays four different potential cases of boundary lines associated with either a single requirement or with multiple requirements. The single requirement cases all have a threshold of 2 m drawdown, but different probabilities of exceedance, i.e.</w:t>
      </w:r>
      <w:r w:rsidR="00664DBF">
        <w:t>,</w:t>
      </w:r>
      <w:r w:rsidR="00CD6A99">
        <w:t xml:space="preserve"> 30%</w:t>
      </w:r>
      <w:r w:rsidR="00664DBF">
        <w:t>,</w:t>
      </w:r>
      <w:r w:rsidR="00CD6A99">
        <w:t xml:space="preserve"> 50% and 80% (</w:t>
      </w:r>
      <w:r w:rsidR="00545637">
        <w:fldChar w:fldCharType="begin"/>
      </w:r>
      <w:r w:rsidR="00545637">
        <w:instrText xml:space="preserve"> REF _Ref480909638 \h </w:instrText>
      </w:r>
      <w:r w:rsidR="00545637">
        <w:fldChar w:fldCharType="separate"/>
      </w:r>
      <w:r w:rsidR="000B6FA5">
        <w:t xml:space="preserve">Figure </w:t>
      </w:r>
      <w:r w:rsidR="000B6FA5">
        <w:rPr>
          <w:noProof/>
        </w:rPr>
        <w:t>6</w:t>
      </w:r>
      <w:r w:rsidR="000B6FA5">
        <w:noBreakHyphen/>
      </w:r>
      <w:r w:rsidR="000B6FA5">
        <w:rPr>
          <w:noProof/>
        </w:rPr>
        <w:t>17</w:t>
      </w:r>
      <w:r w:rsidR="00545637">
        <w:fldChar w:fldCharType="end"/>
      </w:r>
      <w:r w:rsidR="00CD6A99">
        <w:t xml:space="preserve">a, b, and c). </w:t>
      </w:r>
      <w:r w:rsidR="00E05293">
        <w:t xml:space="preserve">Based on the three calculated CCDFs for maximum drawdown, only the models using the initial data set would be accepted for a 30% probability. When a 50% probability is considered, models based on initial and revised data set are acceptable; for the 80% probability, all three models are acceptable. </w:t>
      </w:r>
      <w:r w:rsidR="00CD6A99">
        <w:t xml:space="preserve">Multiple requirements are shown in </w:t>
      </w:r>
      <w:r w:rsidR="00545637">
        <w:fldChar w:fldCharType="begin"/>
      </w:r>
      <w:r w:rsidR="00545637">
        <w:instrText xml:space="preserve"> REF _Ref480909638 \h </w:instrText>
      </w:r>
      <w:r w:rsidR="00545637">
        <w:fldChar w:fldCharType="separate"/>
      </w:r>
      <w:r w:rsidR="000B6FA5">
        <w:t xml:space="preserve">Figure </w:t>
      </w:r>
      <w:r w:rsidR="000B6FA5">
        <w:rPr>
          <w:noProof/>
        </w:rPr>
        <w:t>6</w:t>
      </w:r>
      <w:r w:rsidR="000B6FA5">
        <w:noBreakHyphen/>
      </w:r>
      <w:r w:rsidR="000B6FA5">
        <w:rPr>
          <w:noProof/>
        </w:rPr>
        <w:t>17</w:t>
      </w:r>
      <w:r w:rsidR="00545637">
        <w:fldChar w:fldCharType="end"/>
      </w:r>
      <w:r w:rsidR="003E5D9A">
        <w:t>d</w:t>
      </w:r>
      <w:r w:rsidR="00CD6A99">
        <w:t xml:space="preserve">: </w:t>
      </w:r>
      <w:r w:rsidR="00CD6A99" w:rsidRPr="00B0618E">
        <w:rPr>
          <w:color w:val="auto"/>
        </w:rPr>
        <w:t xml:space="preserve">the probability of exceeding the threshold </w:t>
      </w:r>
      <w:r w:rsidR="00CD6A99">
        <w:rPr>
          <w:color w:val="auto"/>
        </w:rPr>
        <w:t xml:space="preserve">of 0.2 m </w:t>
      </w:r>
      <w:r w:rsidR="00CD6A99" w:rsidRPr="00B0618E">
        <w:rPr>
          <w:color w:val="auto"/>
        </w:rPr>
        <w:t>shall not be larger than 50%</w:t>
      </w:r>
      <w:r w:rsidR="00CD6A99">
        <w:rPr>
          <w:color w:val="auto"/>
        </w:rPr>
        <w:t>, not larger than 10% for the threshold of 2 m, and not larger than 1% for a threshold of 10 m.</w:t>
      </w:r>
      <w:r w:rsidR="00CD6A99">
        <w:t xml:space="preserve"> </w:t>
      </w:r>
      <w:r w:rsidR="00145B94">
        <w:t xml:space="preserve">In this case all three models are not acceptable for the 0.2 and 2 m drawdown; only the heterogeneous </w:t>
      </w:r>
      <w:r w:rsidR="00145B94" w:rsidRPr="00163A3B">
        <w:rPr>
          <w:i/>
        </w:rPr>
        <w:t>K</w:t>
      </w:r>
      <w:r w:rsidR="00145B94">
        <w:t xml:space="preserve"> model is acceptable at the 10 m threshold.</w:t>
      </w:r>
    </w:p>
    <w:p w14:paraId="55DBE6DF" w14:textId="14B7D3E1" w:rsidR="00D14EF7" w:rsidRDefault="00C619B8" w:rsidP="00776D2F">
      <w:pPr>
        <w:pStyle w:val="Caption"/>
        <w:jc w:val="center"/>
      </w:pPr>
      <w:r w:rsidRPr="00B0618E">
        <w:br w:type="page"/>
      </w:r>
      <w:r w:rsidR="009908EB" w:rsidRPr="009908EB">
        <w:rPr>
          <w:noProof/>
        </w:rPr>
        <w:drawing>
          <wp:inline distT="0" distB="0" distL="0" distR="0" wp14:anchorId="533E7EC4" wp14:editId="7FF92363">
            <wp:extent cx="6120130" cy="5860370"/>
            <wp:effectExtent l="0" t="0" r="0" b="7620"/>
            <wp:docPr id="79" name="Picture 79" descr="Charts of 2 metre drawdown exceedance and related probabilities" title="Fig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120130" cy="5860370"/>
                    </a:xfrm>
                    <a:prstGeom prst="rect">
                      <a:avLst/>
                    </a:prstGeom>
                    <a:noFill/>
                    <a:ln>
                      <a:noFill/>
                    </a:ln>
                  </pic:spPr>
                </pic:pic>
              </a:graphicData>
            </a:graphic>
          </wp:inline>
        </w:drawing>
      </w:r>
    </w:p>
    <w:p w14:paraId="5724A0D2" w14:textId="77777777" w:rsidR="00EB5573" w:rsidRDefault="00EB5573" w:rsidP="00755590">
      <w:pPr>
        <w:pStyle w:val="Caption"/>
      </w:pPr>
    </w:p>
    <w:p w14:paraId="61D42CCD" w14:textId="339DC3DB" w:rsidR="00776D2F" w:rsidRDefault="00755590" w:rsidP="00755590">
      <w:pPr>
        <w:pStyle w:val="Caption"/>
      </w:pPr>
      <w:bookmarkStart w:id="209" w:name="_Ref480909638"/>
      <w:bookmarkStart w:id="210" w:name="_Toc482034953"/>
      <w:r>
        <w:t xml:space="preserve">Figure </w:t>
      </w:r>
      <w:r w:rsidR="00A2085C">
        <w:fldChar w:fldCharType="begin"/>
      </w:r>
      <w:r w:rsidR="00A2085C">
        <w:instrText xml:space="preserve"> STYLEREF 1 \s </w:instrText>
      </w:r>
      <w:r w:rsidR="00A2085C">
        <w:fldChar w:fldCharType="separate"/>
      </w:r>
      <w:r w:rsidR="000B6FA5">
        <w:rPr>
          <w:noProof/>
        </w:rPr>
        <w:t>6</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17</w:t>
      </w:r>
      <w:r w:rsidR="00A2085C">
        <w:rPr>
          <w:noProof/>
        </w:rPr>
        <w:fldChar w:fldCharType="end"/>
      </w:r>
      <w:bookmarkEnd w:id="209"/>
      <w:r>
        <w:t xml:space="preserve"> </w:t>
      </w:r>
      <w:r w:rsidR="00776D2F">
        <w:t>Comparison of CCDF for maximum drawdown and single requirement boundary lines for 30%</w:t>
      </w:r>
      <w:r w:rsidR="009908EB">
        <w:t xml:space="preserve"> (A)</w:t>
      </w:r>
      <w:r w:rsidR="00776D2F">
        <w:t>, 50%</w:t>
      </w:r>
      <w:r w:rsidR="009908EB">
        <w:t xml:space="preserve"> (B)</w:t>
      </w:r>
      <w:r w:rsidR="00776D2F">
        <w:t xml:space="preserve">, and 80% </w:t>
      </w:r>
      <w:r w:rsidR="009908EB">
        <w:t xml:space="preserve">(C) </w:t>
      </w:r>
      <w:r>
        <w:t xml:space="preserve">acceptable </w:t>
      </w:r>
      <w:r w:rsidR="00776D2F">
        <w:t xml:space="preserve">probability of </w:t>
      </w:r>
      <w:r>
        <w:t>exceeding 2 m drawdown</w:t>
      </w:r>
      <w:r w:rsidR="00776D2F">
        <w:t xml:space="preserve">. </w:t>
      </w:r>
      <w:r w:rsidR="009908EB">
        <w:t xml:space="preserve">Multiple requirement boundary line considers 50% </w:t>
      </w:r>
      <w:r w:rsidR="006C651D">
        <w:t xml:space="preserve">acceptable probability of exceeding </w:t>
      </w:r>
      <w:r w:rsidR="009908EB">
        <w:t xml:space="preserve">for 0.2 m, 10% for 2 m and 1% for </w:t>
      </w:r>
      <w:r w:rsidR="006C651D">
        <w:t>10 m drawdown (D).</w:t>
      </w:r>
      <w:bookmarkEnd w:id="210"/>
    </w:p>
    <w:p w14:paraId="1FA61DCE" w14:textId="77777777" w:rsidR="003E5D9A" w:rsidRDefault="003E5D9A" w:rsidP="003E5D9A">
      <w:pPr>
        <w:pStyle w:val="BodyText"/>
      </w:pPr>
    </w:p>
    <w:p w14:paraId="49004607" w14:textId="147F28AF" w:rsidR="00325363" w:rsidRDefault="00325363" w:rsidP="003E5D9A">
      <w:pPr>
        <w:pStyle w:val="BodyText"/>
      </w:pPr>
      <w:r>
        <w:t>Many other combinations of thresholds and acceptable probabilities of exceedance can be developed, for single impact metrics or by combining several impact metrics. For example, the acceptable probability of exceedance can be made dependant on the surface area affected by a given drawdown. The larger the affected surface area, the more stringent the tolerable probability of exceedance.</w:t>
      </w:r>
    </w:p>
    <w:p w14:paraId="1698E23F" w14:textId="3ECC3E4A" w:rsidR="003E5D9A" w:rsidRPr="00B0618E" w:rsidRDefault="003E5D9A" w:rsidP="003E5D9A">
      <w:pPr>
        <w:pStyle w:val="BodyText"/>
      </w:pPr>
      <w:r w:rsidRPr="00B0618E">
        <w:t xml:space="preserve">Casting groundwater impact metrics in a probabilistic framework will have greatest benefits to groundwater management if management rules are also expressed in a probabilistic sense. Future research is recommended to explore how to optimally connect water management to probabilistic results from groundwater impact studies. </w:t>
      </w:r>
    </w:p>
    <w:p w14:paraId="42D23DC7" w14:textId="77777777" w:rsidR="003E5D9A" w:rsidRPr="003E5D9A" w:rsidRDefault="003E5D9A" w:rsidP="003E5D9A">
      <w:pPr>
        <w:pStyle w:val="BodyText"/>
      </w:pPr>
    </w:p>
    <w:p w14:paraId="4E076FC0" w14:textId="74287046" w:rsidR="00BF4D39" w:rsidRPr="00B0618E" w:rsidRDefault="00201A9A" w:rsidP="00BF4D39">
      <w:pPr>
        <w:pStyle w:val="Heading1"/>
      </w:pPr>
      <w:bookmarkStart w:id="211" w:name="_Toc483127589"/>
      <w:r w:rsidRPr="00B0618E">
        <w:t>Data worth analysis</w:t>
      </w:r>
      <w:bookmarkEnd w:id="211"/>
    </w:p>
    <w:p w14:paraId="427FB6AB" w14:textId="3D0B1FBF" w:rsidR="00F47BAB" w:rsidRPr="00B0618E" w:rsidRDefault="00F47BAB" w:rsidP="00F47BAB">
      <w:pPr>
        <w:pStyle w:val="BodyText"/>
      </w:pPr>
      <w:r w:rsidRPr="00B0618E">
        <w:t xml:space="preserve">The sensitivity analysis presented in previous chapters identified which model parameters are most important to groundwater impact metrics such as drawdown and time to drawdown predictions. </w:t>
      </w:r>
      <w:r w:rsidR="00A50917">
        <w:t>S</w:t>
      </w:r>
      <w:r w:rsidRPr="00B0618E">
        <w:t xml:space="preserve">ection </w:t>
      </w:r>
      <w:r w:rsidR="00A50917">
        <w:fldChar w:fldCharType="begin"/>
      </w:r>
      <w:r w:rsidR="00A50917">
        <w:instrText xml:space="preserve"> REF _Ref479537087 \r \h </w:instrText>
      </w:r>
      <w:r w:rsidR="00A50917">
        <w:fldChar w:fldCharType="separate"/>
      </w:r>
      <w:r w:rsidR="000B6FA5">
        <w:t>7.1</w:t>
      </w:r>
      <w:r w:rsidR="00A50917">
        <w:fldChar w:fldCharType="end"/>
      </w:r>
      <w:r w:rsidR="00A50917">
        <w:t xml:space="preserve"> </w:t>
      </w:r>
      <w:r w:rsidRPr="00B0618E">
        <w:t xml:space="preserve">goes one step further and </w:t>
      </w:r>
      <w:r w:rsidR="00A50917">
        <w:t xml:space="preserve">provides an overview of </w:t>
      </w:r>
      <w:r w:rsidRPr="00B0618E">
        <w:t xml:space="preserve">value </w:t>
      </w:r>
      <w:r w:rsidR="00A50917">
        <w:t xml:space="preserve">of information </w:t>
      </w:r>
      <w:r w:rsidRPr="00B0618E">
        <w:t xml:space="preserve">or </w:t>
      </w:r>
      <w:r w:rsidR="00A50917">
        <w:t xml:space="preserve">data </w:t>
      </w:r>
      <w:r w:rsidRPr="00B0618E">
        <w:t xml:space="preserve">worth </w:t>
      </w:r>
      <w:r w:rsidR="00A50917">
        <w:t xml:space="preserve">when carrying out groundwater investigations. In section </w:t>
      </w:r>
      <w:r w:rsidR="00A50917">
        <w:fldChar w:fldCharType="begin"/>
      </w:r>
      <w:r w:rsidR="00A50917">
        <w:instrText xml:space="preserve"> REF _Ref479537106 \r \h </w:instrText>
      </w:r>
      <w:r w:rsidR="00A50917">
        <w:fldChar w:fldCharType="separate"/>
      </w:r>
      <w:r w:rsidR="000B6FA5">
        <w:t>7.2</w:t>
      </w:r>
      <w:r w:rsidR="00A50917">
        <w:fldChar w:fldCharType="end"/>
      </w:r>
      <w:r w:rsidR="00A50917">
        <w:t xml:space="preserve"> bootstrapping is applied to estimate the robustness of statistical measures of particular groundwater metrics such as pr</w:t>
      </w:r>
      <w:r w:rsidRPr="00B0618E">
        <w:t>edict</w:t>
      </w:r>
      <w:r w:rsidR="00A50917">
        <w:t>ed</w:t>
      </w:r>
      <w:r w:rsidRPr="00B0618E">
        <w:t xml:space="preserve"> maximum drawdown.</w:t>
      </w:r>
    </w:p>
    <w:p w14:paraId="398B522F" w14:textId="6AA9F090" w:rsidR="00BF4D39" w:rsidRPr="00B0618E" w:rsidRDefault="00DE57CC" w:rsidP="00BF4D39">
      <w:pPr>
        <w:pStyle w:val="Heading2"/>
      </w:pPr>
      <w:bookmarkStart w:id="212" w:name="_Ref479537087"/>
      <w:bookmarkStart w:id="213" w:name="_Toc483127590"/>
      <w:r>
        <w:t>Literature review</w:t>
      </w:r>
      <w:bookmarkEnd w:id="212"/>
      <w:bookmarkEnd w:id="213"/>
    </w:p>
    <w:p w14:paraId="2A6F722E" w14:textId="5D1F3FAD" w:rsidR="00311960" w:rsidRPr="00B0618E" w:rsidRDefault="00311960" w:rsidP="00F47BAB">
      <w:pPr>
        <w:pStyle w:val="BodyText"/>
      </w:pPr>
      <w:r w:rsidRPr="00B0618E">
        <w:t xml:space="preserve">Data worth analysis </w:t>
      </w:r>
      <w:r w:rsidR="007A4392">
        <w:t xml:space="preserve">(also known as value of information analysis in the oil and gas industries) </w:t>
      </w:r>
      <w:r w:rsidRPr="00B0618E">
        <w:t xml:space="preserve">is targeted to the quantification of the impact of new potential measurements on the expected reduction of predictive uncertainty based on a given process model. </w:t>
      </w:r>
      <w:r w:rsidR="005D671B" w:rsidRPr="00B0618E">
        <w:t xml:space="preserve">The purpose is to identify how adding new (or removing existing data) would decrease (increase) model prediction uncertainty. </w:t>
      </w:r>
      <w:r w:rsidR="00647744" w:rsidRPr="00B0618E">
        <w:t>Or in a management context, whether purchasing a new information source would result in making better decisions (Trainor-Guitton et al.</w:t>
      </w:r>
      <w:r w:rsidR="00B0618E" w:rsidRPr="00B0618E">
        <w:t>,</w:t>
      </w:r>
      <w:r w:rsidR="00647744" w:rsidRPr="00B0618E">
        <w:t xml:space="preserve"> 2011). </w:t>
      </w:r>
      <w:r w:rsidR="009326F5" w:rsidRPr="00B0618E">
        <w:t xml:space="preserve">Indeed, the high costs associated with </w:t>
      </w:r>
      <w:r w:rsidR="00151436" w:rsidRPr="00B0618E">
        <w:t xml:space="preserve">collecting hydrogeological parameters, </w:t>
      </w:r>
      <w:r w:rsidR="009326F5" w:rsidRPr="00B0618E">
        <w:t>setting up a new or extending an existing monitoring network indicates the need to develop robust methodologies conducive to the identification of optimal strategies for the collection of future data which are potentially valuable for a specific environmental goal considered. Goal oriented data sets can assist to improve understanding of complex systems and minimise uncertainty while considering budget constraints (Dai et al.</w:t>
      </w:r>
      <w:r w:rsidR="00B0618E" w:rsidRPr="00B0618E">
        <w:t>,</w:t>
      </w:r>
      <w:r w:rsidR="009326F5" w:rsidRPr="00B0618E">
        <w:t xml:space="preserve"> 2016).</w:t>
      </w:r>
      <w:r w:rsidR="00647744" w:rsidRPr="00B0618E">
        <w:t xml:space="preserve"> In other words, site investigations should only be carried out if the risk reduction it will achieve is greater than the cost of carrying it out.</w:t>
      </w:r>
    </w:p>
    <w:p w14:paraId="68CE7FF0" w14:textId="0D5A0DBB" w:rsidR="000F7A42" w:rsidRDefault="00952F61" w:rsidP="000F7A42">
      <w:pPr>
        <w:pStyle w:val="BodyText"/>
      </w:pPr>
      <w:r>
        <w:t>Especially for</w:t>
      </w:r>
      <w:r w:rsidR="000F7A42" w:rsidRPr="000F7A42">
        <w:t xml:space="preserve"> large‐scale site characterisations a careful selection has to be made prior to any data collection efforts about what the best combination of hard and</w:t>
      </w:r>
      <w:r w:rsidR="000F7A42">
        <w:t xml:space="preserve"> </w:t>
      </w:r>
      <w:r w:rsidR="000F7A42" w:rsidRPr="000F7A42">
        <w:t>soft data will be</w:t>
      </w:r>
      <w:r>
        <w:t>, depending on the management questions that needs to be addressed</w:t>
      </w:r>
      <w:r w:rsidR="000F7A42" w:rsidRPr="000F7A42">
        <w:t>. Value of information or data worth analysis studies then become very useful to ensure the limited</w:t>
      </w:r>
      <w:r w:rsidR="000F7A42">
        <w:t xml:space="preserve"> </w:t>
      </w:r>
      <w:r w:rsidR="000F7A42" w:rsidRPr="000F7A42">
        <w:t>resources are used to provide data most suitable to resolve a particular question (Engelhardt et al., 2013; Freeze et al.</w:t>
      </w:r>
      <w:r w:rsidR="000F7A42">
        <w:t xml:space="preserve"> </w:t>
      </w:r>
      <w:r w:rsidR="000F7A42" w:rsidRPr="000F7A42">
        <w:t>1992; Moore, 2005; Wallis et al., 2014). However, the value of information is not absolute; instead, it is always dependent</w:t>
      </w:r>
      <w:r w:rsidR="000F7A42">
        <w:t xml:space="preserve"> </w:t>
      </w:r>
      <w:r w:rsidR="000F7A42" w:rsidRPr="000F7A42">
        <w:t>on the management or research question of interest. Indeed, there is no intrinsic value in collecting data unless it can</w:t>
      </w:r>
      <w:r w:rsidR="000F7A42">
        <w:t xml:space="preserve"> </w:t>
      </w:r>
      <w:r w:rsidR="000F7A42" w:rsidRPr="000F7A42">
        <w:t>influence a specific decision goal</w:t>
      </w:r>
      <w:r w:rsidR="007A4392">
        <w:t xml:space="preserve">, </w:t>
      </w:r>
      <w:r w:rsidR="007A4392" w:rsidRPr="007A4392">
        <w:t>or reduce the risk of an undeniable event that has a cost associated with it.</w:t>
      </w:r>
    </w:p>
    <w:p w14:paraId="5B2AC9AF" w14:textId="0A94CD39" w:rsidR="00163A3B" w:rsidRDefault="009326F5" w:rsidP="00F47BAB">
      <w:pPr>
        <w:pStyle w:val="BodyText"/>
      </w:pPr>
      <w:r w:rsidRPr="00B0618E">
        <w:t>For a data worth analysis to be practical, the acceptable model prediction uncertainty should be established (Finsterle</w:t>
      </w:r>
      <w:r w:rsidR="00B0618E" w:rsidRPr="00B0618E">
        <w:t>,</w:t>
      </w:r>
      <w:r w:rsidRPr="00B0618E">
        <w:t xml:space="preserve"> 2015). Developing criteria of success in terms of acceptable prediction uncertainty is critical to reduce the risk of undertaking extensive data collection efforts </w:t>
      </w:r>
      <w:r w:rsidR="005D671B" w:rsidRPr="00B0618E">
        <w:t xml:space="preserve">that could fail to support a specific scientific or technical question. </w:t>
      </w:r>
      <w:r w:rsidR="00672272" w:rsidRPr="00B0618E">
        <w:t xml:space="preserve">In other words, a specific decision goal has to be formulated; reducing uncertainty on subsurface parameters for the sake of reducing uncertainty has little or no value. </w:t>
      </w:r>
      <w:r w:rsidR="005D671B" w:rsidRPr="00B0618E">
        <w:t>Once acceptable prediction uncertainty is defined, limits can be imposed on the acceptable level of uncertainty in the input parameters. Subsequently, a data collection campaign can be designed in such a way that it will result in input parameters with acceptable uncertainties.</w:t>
      </w:r>
      <w:r w:rsidR="001C3CC8">
        <w:t xml:space="preserve"> </w:t>
      </w:r>
      <w:r w:rsidR="00163A3B">
        <w:t xml:space="preserve">A non-exhaustive summary of data worth or value of information applications in groundwater investigations and management is provided in </w:t>
      </w:r>
      <w:r w:rsidR="00163A3B">
        <w:fldChar w:fldCharType="begin"/>
      </w:r>
      <w:r w:rsidR="00163A3B">
        <w:instrText xml:space="preserve"> REF _Ref479533844 \h </w:instrText>
      </w:r>
      <w:r w:rsidR="00163A3B">
        <w:fldChar w:fldCharType="separate"/>
      </w:r>
      <w:r w:rsidR="000B6FA5">
        <w:t xml:space="preserve">Table </w:t>
      </w:r>
      <w:r w:rsidR="000B6FA5">
        <w:rPr>
          <w:noProof/>
        </w:rPr>
        <w:t>7</w:t>
      </w:r>
      <w:r w:rsidR="000B6FA5">
        <w:noBreakHyphen/>
      </w:r>
      <w:r w:rsidR="000B6FA5">
        <w:rPr>
          <w:noProof/>
        </w:rPr>
        <w:t>1</w:t>
      </w:r>
      <w:r w:rsidR="00163A3B">
        <w:fldChar w:fldCharType="end"/>
      </w:r>
      <w:r w:rsidR="00163A3B">
        <w:t>.</w:t>
      </w:r>
    </w:p>
    <w:p w14:paraId="03A6F1FD" w14:textId="2D1FA4F8" w:rsidR="0012422F" w:rsidRDefault="00163A3B" w:rsidP="00163A3B">
      <w:pPr>
        <w:pStyle w:val="Caption"/>
      </w:pPr>
      <w:bookmarkStart w:id="214" w:name="_Ref479533844"/>
      <w:bookmarkStart w:id="215" w:name="_Toc503253897"/>
      <w:r>
        <w:t xml:space="preserve">Table </w:t>
      </w:r>
      <w:r w:rsidR="00A2085C">
        <w:fldChar w:fldCharType="begin"/>
      </w:r>
      <w:r w:rsidR="00A2085C">
        <w:instrText xml:space="preserve"> STYLEREF 1 \s </w:instrText>
      </w:r>
      <w:r w:rsidR="00A2085C">
        <w:fldChar w:fldCharType="separate"/>
      </w:r>
      <w:r w:rsidR="000B6FA5">
        <w:rPr>
          <w:noProof/>
        </w:rPr>
        <w:t>7</w:t>
      </w:r>
      <w:r w:rsidR="00A2085C">
        <w:rPr>
          <w:noProof/>
        </w:rPr>
        <w:fldChar w:fldCharType="end"/>
      </w:r>
      <w:r w:rsidR="00643BE4">
        <w:noBreakHyphen/>
      </w:r>
      <w:r w:rsidR="00A2085C">
        <w:fldChar w:fldCharType="begin"/>
      </w:r>
      <w:r w:rsidR="00A2085C">
        <w:instrText xml:space="preserve"> SEQ Table \* ARABIC \s 1 </w:instrText>
      </w:r>
      <w:r w:rsidR="00A2085C">
        <w:fldChar w:fldCharType="separate"/>
      </w:r>
      <w:r w:rsidR="000B6FA5">
        <w:rPr>
          <w:noProof/>
        </w:rPr>
        <w:t>1</w:t>
      </w:r>
      <w:r w:rsidR="00A2085C">
        <w:rPr>
          <w:noProof/>
        </w:rPr>
        <w:fldChar w:fldCharType="end"/>
      </w:r>
      <w:bookmarkEnd w:id="214"/>
      <w:r>
        <w:t xml:space="preserve"> Examples of data worth or value of information applications in groundwater investigations and management.</w:t>
      </w:r>
      <w:bookmarkEnd w:id="215"/>
    </w:p>
    <w:tbl>
      <w:tblPr>
        <w:tblStyle w:val="TableCSIRO"/>
        <w:tblW w:w="9639" w:type="dxa"/>
        <w:tblInd w:w="25" w:type="dxa"/>
        <w:tblLook w:val="04A0" w:firstRow="1" w:lastRow="0" w:firstColumn="1" w:lastColumn="0" w:noHBand="0" w:noVBand="1"/>
        <w:tblCaption w:val="Table 7-1"/>
        <w:tblDescription w:val="Table of data worth or value and its application"/>
      </w:tblPr>
      <w:tblGrid>
        <w:gridCol w:w="3969"/>
        <w:gridCol w:w="4252"/>
        <w:gridCol w:w="1418"/>
      </w:tblGrid>
      <w:tr w:rsidR="008E3E27" w:rsidRPr="00B0618E" w14:paraId="70F29D28" w14:textId="77777777" w:rsidTr="00A22D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hideMark/>
          </w:tcPr>
          <w:p w14:paraId="5B4BCB14" w14:textId="2E10B9B5" w:rsidR="008E3E27" w:rsidRPr="00B0618E" w:rsidRDefault="008E3E27" w:rsidP="00FF1F1D">
            <w:pPr>
              <w:pStyle w:val="TableText"/>
              <w:rPr>
                <w:color w:val="FFFFFF" w:themeColor="background1"/>
              </w:rPr>
            </w:pPr>
            <w:r>
              <w:rPr>
                <w:color w:val="FFFFFF" w:themeColor="background1"/>
              </w:rPr>
              <w:t>Subject</w:t>
            </w:r>
          </w:p>
        </w:tc>
        <w:tc>
          <w:tcPr>
            <w:tcW w:w="4252" w:type="dxa"/>
            <w:hideMark/>
          </w:tcPr>
          <w:p w14:paraId="05BA9E67" w14:textId="59A62707" w:rsidR="008E3E27" w:rsidRPr="00B0618E" w:rsidRDefault="008E3E27" w:rsidP="00FF1F1D">
            <w:pPr>
              <w:pStyle w:val="TableText"/>
              <w:ind w:right="387"/>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Application</w:t>
            </w:r>
          </w:p>
        </w:tc>
        <w:tc>
          <w:tcPr>
            <w:tcW w:w="1418" w:type="dxa"/>
          </w:tcPr>
          <w:p w14:paraId="49E1A7E3" w14:textId="2E56232E" w:rsidR="008E3E27" w:rsidRPr="00B0618E" w:rsidRDefault="008E3E27" w:rsidP="008E3E27">
            <w:pPr>
              <w:pStyle w:val="TableText"/>
              <w:ind w:right="55"/>
              <w:jc w:val="right"/>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Reference</w:t>
            </w:r>
          </w:p>
        </w:tc>
      </w:tr>
      <w:tr w:rsidR="008E3E27" w:rsidRPr="00B0618E" w14:paraId="20E5ECA1" w14:textId="77777777" w:rsidTr="002819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hideMark/>
          </w:tcPr>
          <w:p w14:paraId="268404BD" w14:textId="2B8F3DCE" w:rsidR="008E3E27" w:rsidRPr="00B0618E" w:rsidRDefault="008E3E27" w:rsidP="00FF1F1D">
            <w:pPr>
              <w:pStyle w:val="TableText"/>
              <w:rPr>
                <w:b w:val="0"/>
              </w:rPr>
            </w:pPr>
            <w:r w:rsidRPr="008E3E27">
              <w:rPr>
                <w:b w:val="0"/>
              </w:rPr>
              <w:t>Data worth and its use for developing site investigations strategies</w:t>
            </w:r>
          </w:p>
        </w:tc>
        <w:tc>
          <w:tcPr>
            <w:tcW w:w="4252" w:type="dxa"/>
            <w:hideMark/>
          </w:tcPr>
          <w:p w14:paraId="31B68E38" w14:textId="5F0A5680" w:rsidR="008E3E27" w:rsidRPr="00B0618E" w:rsidRDefault="008E3E27" w:rsidP="00A22DD8">
            <w:pPr>
              <w:pStyle w:val="TableText"/>
              <w:ind w:right="55"/>
              <w:jc w:val="right"/>
              <w:cnfStyle w:val="000000100000" w:firstRow="0" w:lastRow="0" w:firstColumn="0" w:lastColumn="0" w:oddVBand="0" w:evenVBand="0" w:oddHBand="1" w:evenHBand="0" w:firstRowFirstColumn="0" w:firstRowLastColumn="0" w:lastRowFirstColumn="0" w:lastRowLastColumn="0"/>
            </w:pPr>
            <w:r w:rsidRPr="00A22DD8">
              <w:t>Reduction of uncertainty in aquitard continuity and the reduction of uncertainty in hydraulic-conductivity distribution in an aquifer</w:t>
            </w:r>
          </w:p>
        </w:tc>
        <w:tc>
          <w:tcPr>
            <w:tcW w:w="1418" w:type="dxa"/>
          </w:tcPr>
          <w:p w14:paraId="571A240D" w14:textId="0CDC4F78" w:rsidR="008E3E27" w:rsidRPr="00B0618E" w:rsidRDefault="008E3E27">
            <w:pPr>
              <w:pStyle w:val="TableText"/>
              <w:ind w:right="55"/>
              <w:jc w:val="right"/>
              <w:cnfStyle w:val="000000100000" w:firstRow="0" w:lastRow="0" w:firstColumn="0" w:lastColumn="0" w:oddVBand="0" w:evenVBand="0" w:oddHBand="1" w:evenHBand="0" w:firstRowFirstColumn="0" w:firstRowLastColumn="0" w:lastRowFirstColumn="0" w:lastRowLastColumn="0"/>
            </w:pPr>
            <w:r w:rsidRPr="008E3E27">
              <w:t xml:space="preserve">Freeze et al. </w:t>
            </w:r>
            <w:r w:rsidR="00585852">
              <w:t>(</w:t>
            </w:r>
            <w:r w:rsidRPr="008E3E27">
              <w:t>1992</w:t>
            </w:r>
            <w:r w:rsidR="00585852">
              <w:t>)</w:t>
            </w:r>
          </w:p>
        </w:tc>
      </w:tr>
      <w:tr w:rsidR="008E3E27" w:rsidRPr="00B0618E" w14:paraId="5D46AE41" w14:textId="77777777" w:rsidTr="00A22DD8">
        <w:tc>
          <w:tcPr>
            <w:cnfStyle w:val="001000000000" w:firstRow="0" w:lastRow="0" w:firstColumn="1" w:lastColumn="0" w:oddVBand="0" w:evenVBand="0" w:oddHBand="0" w:evenHBand="0" w:firstRowFirstColumn="0" w:firstRowLastColumn="0" w:lastRowFirstColumn="0" w:lastRowLastColumn="0"/>
            <w:tcW w:w="3969" w:type="dxa"/>
          </w:tcPr>
          <w:p w14:paraId="2FB3912A" w14:textId="0FF25867" w:rsidR="008E3E27" w:rsidRPr="00B0618E" w:rsidRDefault="008E3E27" w:rsidP="00FF1F1D">
            <w:pPr>
              <w:pStyle w:val="TableText"/>
              <w:rPr>
                <w:b w:val="0"/>
              </w:rPr>
            </w:pPr>
            <w:r w:rsidRPr="008E3E27">
              <w:rPr>
                <w:b w:val="0"/>
              </w:rPr>
              <w:t>Data-worth analysis of potential new monitoring-well locations to improve models of groundwater/ surface-water interactions</w:t>
            </w:r>
          </w:p>
        </w:tc>
        <w:tc>
          <w:tcPr>
            <w:tcW w:w="4252" w:type="dxa"/>
          </w:tcPr>
          <w:p w14:paraId="16D4C656" w14:textId="239994AF" w:rsidR="008E3E27" w:rsidRPr="00B0618E" w:rsidRDefault="008E3E27" w:rsidP="00A22DD8">
            <w:pPr>
              <w:pStyle w:val="TableText"/>
              <w:ind w:right="55"/>
              <w:jc w:val="right"/>
              <w:cnfStyle w:val="000000000000" w:firstRow="0" w:lastRow="0" w:firstColumn="0" w:lastColumn="0" w:oddVBand="0" w:evenVBand="0" w:oddHBand="0" w:evenHBand="0" w:firstRowFirstColumn="0" w:firstRowLastColumn="0" w:lastRowFirstColumn="0" w:lastRowLastColumn="0"/>
            </w:pPr>
            <w:r w:rsidRPr="00A22DD8">
              <w:t>Data-worth analysis of potential new monitoring-well locations by using a model. The relative worth of new measurements was evaluated based on their ability to increase confidence in model predictions of groundwater levels and base flows</w:t>
            </w:r>
          </w:p>
        </w:tc>
        <w:tc>
          <w:tcPr>
            <w:tcW w:w="1418" w:type="dxa"/>
          </w:tcPr>
          <w:p w14:paraId="7E8206AA" w14:textId="2131C196" w:rsidR="008E3E27" w:rsidRPr="00B0618E" w:rsidRDefault="008E3E27" w:rsidP="00FF1F1D">
            <w:pPr>
              <w:pStyle w:val="TableText"/>
              <w:ind w:right="55"/>
              <w:jc w:val="right"/>
              <w:cnfStyle w:val="000000000000" w:firstRow="0" w:lastRow="0" w:firstColumn="0" w:lastColumn="0" w:oddVBand="0" w:evenVBand="0" w:oddHBand="0" w:evenHBand="0" w:firstRowFirstColumn="0" w:firstRowLastColumn="0" w:lastRowFirstColumn="0" w:lastRowLastColumn="0"/>
            </w:pPr>
            <w:r w:rsidRPr="008E3E27">
              <w:t xml:space="preserve">Leaf et al. </w:t>
            </w:r>
            <w:r w:rsidR="00585852">
              <w:t>(</w:t>
            </w:r>
            <w:r w:rsidRPr="008E3E27">
              <w:t>2015</w:t>
            </w:r>
            <w:r w:rsidR="00585852">
              <w:t>)</w:t>
            </w:r>
          </w:p>
        </w:tc>
      </w:tr>
      <w:tr w:rsidR="008E3E27" w:rsidRPr="00B0618E" w14:paraId="5F0DBB09" w14:textId="77777777" w:rsidTr="00A22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7B97CF3F" w14:textId="4E955036" w:rsidR="008E3E27" w:rsidRPr="00B0618E" w:rsidRDefault="008E3E27" w:rsidP="00FF1F1D">
            <w:pPr>
              <w:pStyle w:val="TableText"/>
              <w:rPr>
                <w:b w:val="0"/>
              </w:rPr>
            </w:pPr>
            <w:r w:rsidRPr="008E3E27">
              <w:rPr>
                <w:b w:val="0"/>
              </w:rPr>
              <w:t>Bayesian analysis of groundwater data worth</w:t>
            </w:r>
          </w:p>
        </w:tc>
        <w:tc>
          <w:tcPr>
            <w:tcW w:w="4252" w:type="dxa"/>
          </w:tcPr>
          <w:p w14:paraId="09F6A9B6" w14:textId="5A14BCC4" w:rsidR="008E3E27" w:rsidRPr="00A22DD8" w:rsidRDefault="00E35AB6" w:rsidP="00A22DD8">
            <w:pPr>
              <w:pStyle w:val="TableText"/>
              <w:ind w:right="55"/>
              <w:jc w:val="right"/>
              <w:cnfStyle w:val="000000100000" w:firstRow="0" w:lastRow="0" w:firstColumn="0" w:lastColumn="0" w:oddVBand="0" w:evenVBand="0" w:oddHBand="1" w:evenHBand="0" w:firstRowFirstColumn="0" w:firstRowLastColumn="0" w:lastRowFirstColumn="0" w:lastRowLastColumn="0"/>
            </w:pPr>
            <w:r w:rsidRPr="00A22DD8">
              <w:t>Assessment of the worth of collecting additional data on steady- state flow, with log hydraulic conductivity data found to be worth more than an equal number of corresponding head measurements</w:t>
            </w:r>
          </w:p>
        </w:tc>
        <w:tc>
          <w:tcPr>
            <w:tcW w:w="1418" w:type="dxa"/>
          </w:tcPr>
          <w:p w14:paraId="6E702379" w14:textId="3C0EDC9A" w:rsidR="008E3E27" w:rsidRPr="00B0618E" w:rsidRDefault="00A22DD8" w:rsidP="00A22DD8">
            <w:pPr>
              <w:pStyle w:val="TableText"/>
              <w:ind w:right="55"/>
              <w:jc w:val="right"/>
              <w:cnfStyle w:val="000000100000" w:firstRow="0" w:lastRow="0" w:firstColumn="0" w:lastColumn="0" w:oddVBand="0" w:evenVBand="0" w:oddHBand="1" w:evenHBand="0" w:firstRowFirstColumn="0" w:firstRowLastColumn="0" w:lastRowFirstColumn="0" w:lastRowLastColumn="0"/>
            </w:pPr>
            <w:r w:rsidRPr="00A22DD8">
              <w:t>Xue et al</w:t>
            </w:r>
            <w:r w:rsidR="00585852">
              <w:t>.</w:t>
            </w:r>
            <w:r w:rsidRPr="00A22DD8">
              <w:t xml:space="preserve"> </w:t>
            </w:r>
            <w:r w:rsidR="00585852">
              <w:t>(</w:t>
            </w:r>
            <w:r w:rsidRPr="00A22DD8">
              <w:t>2014</w:t>
            </w:r>
            <w:r w:rsidR="00585852">
              <w:t>)</w:t>
            </w:r>
          </w:p>
        </w:tc>
      </w:tr>
      <w:tr w:rsidR="008E3E27" w:rsidRPr="00B0618E" w14:paraId="55D84502" w14:textId="77777777" w:rsidTr="00A22DD8">
        <w:tc>
          <w:tcPr>
            <w:cnfStyle w:val="001000000000" w:firstRow="0" w:lastRow="0" w:firstColumn="1" w:lastColumn="0" w:oddVBand="0" w:evenVBand="0" w:oddHBand="0" w:evenHBand="0" w:firstRowFirstColumn="0" w:firstRowLastColumn="0" w:lastRowFirstColumn="0" w:lastRowLastColumn="0"/>
            <w:tcW w:w="3969" w:type="dxa"/>
          </w:tcPr>
          <w:p w14:paraId="009E3FBE" w14:textId="0256B16E" w:rsidR="008E3E27" w:rsidRPr="00B0618E" w:rsidRDefault="008E3E27" w:rsidP="00FF1F1D">
            <w:pPr>
              <w:pStyle w:val="TableText"/>
              <w:rPr>
                <w:b w:val="0"/>
              </w:rPr>
            </w:pPr>
            <w:r w:rsidRPr="008E3E27">
              <w:rPr>
                <w:b w:val="0"/>
              </w:rPr>
              <w:t>Groundwater quality management under uncertainty</w:t>
            </w:r>
          </w:p>
        </w:tc>
        <w:tc>
          <w:tcPr>
            <w:tcW w:w="4252" w:type="dxa"/>
          </w:tcPr>
          <w:p w14:paraId="52000D53" w14:textId="63BE3A0B" w:rsidR="008E3E27" w:rsidRPr="00A22DD8" w:rsidRDefault="00A22DD8" w:rsidP="00A22DD8">
            <w:pPr>
              <w:pStyle w:val="TableText"/>
              <w:ind w:right="55"/>
              <w:jc w:val="right"/>
              <w:cnfStyle w:val="000000000000" w:firstRow="0" w:lastRow="0" w:firstColumn="0" w:lastColumn="0" w:oddVBand="0" w:evenVBand="0" w:oddHBand="0" w:evenHBand="0" w:firstRowFirstColumn="0" w:firstRowLastColumn="0" w:lastRowFirstColumn="0" w:lastRowLastColumn="0"/>
            </w:pPr>
            <w:r w:rsidRPr="00A22DD8">
              <w:t>To identify optimal pumping and sampling strategies to minimise model uncertainty within the context of ground-water management</w:t>
            </w:r>
          </w:p>
        </w:tc>
        <w:tc>
          <w:tcPr>
            <w:tcW w:w="1418" w:type="dxa"/>
          </w:tcPr>
          <w:p w14:paraId="670C16EC" w14:textId="048005B5" w:rsidR="008E3E27" w:rsidRPr="00B0618E" w:rsidRDefault="00A22DD8" w:rsidP="00406E7A">
            <w:pPr>
              <w:pStyle w:val="TableText"/>
              <w:ind w:right="55"/>
              <w:jc w:val="right"/>
              <w:cnfStyle w:val="000000000000" w:firstRow="0" w:lastRow="0" w:firstColumn="0" w:lastColumn="0" w:oddVBand="0" w:evenVBand="0" w:oddHBand="0" w:evenHBand="0" w:firstRowFirstColumn="0" w:firstRowLastColumn="0" w:lastRowFirstColumn="0" w:lastRowLastColumn="0"/>
            </w:pPr>
            <w:r w:rsidRPr="00A22DD8">
              <w:t xml:space="preserve">Wagner </w:t>
            </w:r>
            <w:r w:rsidR="00585852">
              <w:t>(</w:t>
            </w:r>
            <w:r w:rsidRPr="00A22DD8">
              <w:t>199</w:t>
            </w:r>
            <w:r w:rsidR="00406E7A">
              <w:t>9</w:t>
            </w:r>
            <w:r w:rsidR="00585852">
              <w:t>)</w:t>
            </w:r>
          </w:p>
        </w:tc>
      </w:tr>
      <w:tr w:rsidR="008E3E27" w:rsidRPr="00B0618E" w14:paraId="4ED84FA7" w14:textId="77777777" w:rsidTr="00A22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06A58871" w14:textId="2B809D42" w:rsidR="008E3E27" w:rsidRPr="00B0618E" w:rsidRDefault="008E3E27" w:rsidP="00FF1F1D">
            <w:pPr>
              <w:pStyle w:val="TableText"/>
              <w:rPr>
                <w:b w:val="0"/>
              </w:rPr>
            </w:pPr>
            <w:r w:rsidRPr="008E3E27">
              <w:rPr>
                <w:b w:val="0"/>
              </w:rPr>
              <w:t>Evaluating data worth for groundwater management</w:t>
            </w:r>
          </w:p>
        </w:tc>
        <w:tc>
          <w:tcPr>
            <w:tcW w:w="4252" w:type="dxa"/>
          </w:tcPr>
          <w:p w14:paraId="17700AAE" w14:textId="38F9826C" w:rsidR="008E3E27" w:rsidRPr="00A22DD8" w:rsidRDefault="00A22DD8" w:rsidP="00A22DD8">
            <w:pPr>
              <w:pStyle w:val="TableText"/>
              <w:ind w:right="55"/>
              <w:jc w:val="right"/>
              <w:cnfStyle w:val="000000100000" w:firstRow="0" w:lastRow="0" w:firstColumn="0" w:lastColumn="0" w:oddVBand="0" w:evenVBand="0" w:oddHBand="1" w:evenHBand="0" w:firstRowFirstColumn="0" w:firstRowLastColumn="0" w:lastRowFirstColumn="0" w:lastRowLastColumn="0"/>
            </w:pPr>
            <w:r w:rsidRPr="00A22DD8">
              <w:t>For a specified data collection budget, the monitoring network design model identifies, prior to data collection, the sampling strategy that will minimize model uncertainty when designing the containment of a plume of groundwater contamination through the installation and operation of pumping wells</w:t>
            </w:r>
          </w:p>
        </w:tc>
        <w:tc>
          <w:tcPr>
            <w:tcW w:w="1418" w:type="dxa"/>
          </w:tcPr>
          <w:p w14:paraId="40566E75" w14:textId="3E679133" w:rsidR="008E3E27" w:rsidRPr="00B0618E" w:rsidRDefault="00A22DD8" w:rsidP="00406E7A">
            <w:pPr>
              <w:pStyle w:val="TableText"/>
              <w:ind w:right="55"/>
              <w:jc w:val="right"/>
              <w:cnfStyle w:val="000000100000" w:firstRow="0" w:lastRow="0" w:firstColumn="0" w:lastColumn="0" w:oddVBand="0" w:evenVBand="0" w:oddHBand="1" w:evenHBand="0" w:firstRowFirstColumn="0" w:firstRowLastColumn="0" w:lastRowFirstColumn="0" w:lastRowLastColumn="0"/>
            </w:pPr>
            <w:r w:rsidRPr="00A22DD8">
              <w:t xml:space="preserve">Wagner </w:t>
            </w:r>
            <w:r w:rsidR="00406E7A">
              <w:t xml:space="preserve">et al. </w:t>
            </w:r>
            <w:r w:rsidR="00585852">
              <w:t>(</w:t>
            </w:r>
            <w:r w:rsidRPr="00A22DD8">
              <w:t>199</w:t>
            </w:r>
            <w:r w:rsidR="00406E7A">
              <w:t>2</w:t>
            </w:r>
            <w:r w:rsidR="00585852">
              <w:t>)</w:t>
            </w:r>
          </w:p>
        </w:tc>
      </w:tr>
      <w:tr w:rsidR="008E3E27" w:rsidRPr="00B0618E" w14:paraId="0A77EDCA" w14:textId="77777777" w:rsidTr="00A22DD8">
        <w:tc>
          <w:tcPr>
            <w:cnfStyle w:val="001000000000" w:firstRow="0" w:lastRow="0" w:firstColumn="1" w:lastColumn="0" w:oddVBand="0" w:evenVBand="0" w:oddHBand="0" w:evenHBand="0" w:firstRowFirstColumn="0" w:firstRowLastColumn="0" w:lastRowFirstColumn="0" w:lastRowLastColumn="0"/>
            <w:tcW w:w="3969" w:type="dxa"/>
          </w:tcPr>
          <w:p w14:paraId="665826CC" w14:textId="00ACC0F0" w:rsidR="008E3E27" w:rsidRPr="00B0618E" w:rsidRDefault="008E3E27" w:rsidP="00FF1F1D">
            <w:pPr>
              <w:pStyle w:val="TableText"/>
              <w:rPr>
                <w:b w:val="0"/>
              </w:rPr>
            </w:pPr>
            <w:r w:rsidRPr="008E3E27">
              <w:rPr>
                <w:b w:val="0"/>
              </w:rPr>
              <w:t>Uncertainty and data worth analysis for the hydraulic design of funnel-and-gate systems in heterogeneous aquifers</w:t>
            </w:r>
          </w:p>
        </w:tc>
        <w:tc>
          <w:tcPr>
            <w:tcW w:w="4252" w:type="dxa"/>
          </w:tcPr>
          <w:p w14:paraId="5ED54D0E" w14:textId="44C38695" w:rsidR="008E3E27" w:rsidRPr="00A22DD8" w:rsidRDefault="00A22DD8" w:rsidP="00A22DD8">
            <w:pPr>
              <w:pStyle w:val="TableText"/>
              <w:ind w:right="55"/>
              <w:jc w:val="right"/>
              <w:cnfStyle w:val="000000000000" w:firstRow="0" w:lastRow="0" w:firstColumn="0" w:lastColumn="0" w:oddVBand="0" w:evenVBand="0" w:oddHBand="0" w:evenHBand="0" w:firstRowFirstColumn="0" w:firstRowLastColumn="0" w:lastRowFirstColumn="0" w:lastRowLastColumn="0"/>
            </w:pPr>
            <w:r w:rsidRPr="00A22DD8">
              <w:t>Determine optimal sampling locations for additional conductivity measurements to guide design of funnel-and-gate systems as part of a permeable reactive barrier in a contaminated aquifer</w:t>
            </w:r>
          </w:p>
        </w:tc>
        <w:tc>
          <w:tcPr>
            <w:tcW w:w="1418" w:type="dxa"/>
          </w:tcPr>
          <w:p w14:paraId="37F9EFF9" w14:textId="409E5152" w:rsidR="008E3E27" w:rsidRPr="00B0618E" w:rsidRDefault="00A22DD8">
            <w:pPr>
              <w:pStyle w:val="TableText"/>
              <w:ind w:right="55"/>
              <w:jc w:val="right"/>
              <w:cnfStyle w:val="000000000000" w:firstRow="0" w:lastRow="0" w:firstColumn="0" w:lastColumn="0" w:oddVBand="0" w:evenVBand="0" w:oddHBand="0" w:evenHBand="0" w:firstRowFirstColumn="0" w:firstRowLastColumn="0" w:lastRowFirstColumn="0" w:lastRowLastColumn="0"/>
            </w:pPr>
            <w:r w:rsidRPr="00A22DD8">
              <w:t xml:space="preserve">Cirpka et al. </w:t>
            </w:r>
            <w:r w:rsidR="00585852">
              <w:t>(</w:t>
            </w:r>
            <w:r w:rsidRPr="00A22DD8">
              <w:t>2004</w:t>
            </w:r>
            <w:r w:rsidR="00585852">
              <w:t>)</w:t>
            </w:r>
          </w:p>
        </w:tc>
      </w:tr>
      <w:tr w:rsidR="008E3E27" w:rsidRPr="00B0618E" w14:paraId="4069DDCA" w14:textId="77777777" w:rsidTr="00A22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69FB8492" w14:textId="3A7E7725" w:rsidR="008E3E27" w:rsidRPr="00B0618E" w:rsidRDefault="008E3E27" w:rsidP="00FF1F1D">
            <w:pPr>
              <w:pStyle w:val="TableText"/>
              <w:rPr>
                <w:b w:val="0"/>
              </w:rPr>
            </w:pPr>
            <w:r w:rsidRPr="008E3E27">
              <w:rPr>
                <w:b w:val="0"/>
              </w:rPr>
              <w:t>Estimation, optimization, and value of information for groundwater remediation.</w:t>
            </w:r>
          </w:p>
        </w:tc>
        <w:tc>
          <w:tcPr>
            <w:tcW w:w="4252" w:type="dxa"/>
          </w:tcPr>
          <w:p w14:paraId="7119BFE2" w14:textId="1DA6F9BB" w:rsidR="008E3E27" w:rsidRPr="00A22DD8" w:rsidRDefault="00A22DD8" w:rsidP="00A22DD8">
            <w:pPr>
              <w:pStyle w:val="TableText"/>
              <w:ind w:right="55"/>
              <w:jc w:val="right"/>
              <w:cnfStyle w:val="000000100000" w:firstRow="0" w:lastRow="0" w:firstColumn="0" w:lastColumn="0" w:oddVBand="0" w:evenVBand="0" w:oddHBand="1" w:evenHBand="0" w:firstRowFirstColumn="0" w:firstRowLastColumn="0" w:lastRowFirstColumn="0" w:lastRowLastColumn="0"/>
            </w:pPr>
            <w:r w:rsidRPr="00A22DD8">
              <w:t>Consideration of groundwater clean-up objectives, cost formulations, and sensitivity of costs to uncertainty in parameters, measurements, and the model itself to seek minimization of expected cost under conditions of incomplete information</w:t>
            </w:r>
          </w:p>
        </w:tc>
        <w:tc>
          <w:tcPr>
            <w:tcW w:w="1418" w:type="dxa"/>
          </w:tcPr>
          <w:p w14:paraId="03E3420F" w14:textId="52CD8271" w:rsidR="008E3E27" w:rsidRPr="00B0618E" w:rsidRDefault="00A22DD8">
            <w:pPr>
              <w:pStyle w:val="TableText"/>
              <w:ind w:right="55"/>
              <w:jc w:val="right"/>
              <w:cnfStyle w:val="000000100000" w:firstRow="0" w:lastRow="0" w:firstColumn="0" w:lastColumn="0" w:oddVBand="0" w:evenVBand="0" w:oddHBand="1" w:evenHBand="0" w:firstRowFirstColumn="0" w:firstRowLastColumn="0" w:lastRowFirstColumn="0" w:lastRowLastColumn="0"/>
            </w:pPr>
            <w:r w:rsidRPr="00A22DD8">
              <w:t>Liu et al</w:t>
            </w:r>
            <w:r w:rsidR="00585852">
              <w:t>. (</w:t>
            </w:r>
            <w:r w:rsidRPr="00A22DD8">
              <w:t>2012</w:t>
            </w:r>
            <w:r w:rsidR="00585852">
              <w:t>)</w:t>
            </w:r>
          </w:p>
        </w:tc>
      </w:tr>
      <w:tr w:rsidR="00A22DD8" w:rsidRPr="00B0618E" w14:paraId="207A8A05" w14:textId="77777777" w:rsidTr="00A22DD8">
        <w:tc>
          <w:tcPr>
            <w:cnfStyle w:val="001000000000" w:firstRow="0" w:lastRow="0" w:firstColumn="1" w:lastColumn="0" w:oddVBand="0" w:evenVBand="0" w:oddHBand="0" w:evenHBand="0" w:firstRowFirstColumn="0" w:firstRowLastColumn="0" w:lastRowFirstColumn="0" w:lastRowLastColumn="0"/>
            <w:tcW w:w="3969" w:type="dxa"/>
          </w:tcPr>
          <w:p w14:paraId="45FB5B4F" w14:textId="4DD16919" w:rsidR="00A22DD8" w:rsidRPr="00B0618E" w:rsidRDefault="00A22DD8" w:rsidP="00A22DD8">
            <w:pPr>
              <w:pStyle w:val="TableText"/>
              <w:rPr>
                <w:b w:val="0"/>
              </w:rPr>
            </w:pPr>
            <w:r w:rsidRPr="008E3E27">
              <w:rPr>
                <w:b w:val="0"/>
              </w:rPr>
              <w:t>Optimisation of monitoring data for increased predictive reliability of regional water allocation models</w:t>
            </w:r>
          </w:p>
        </w:tc>
        <w:tc>
          <w:tcPr>
            <w:tcW w:w="4252" w:type="dxa"/>
          </w:tcPr>
          <w:p w14:paraId="56EAD2DE" w14:textId="4ED8D1F7" w:rsidR="00A22DD8" w:rsidRPr="00A22DD8" w:rsidRDefault="00A22DD8" w:rsidP="00A22DD8">
            <w:pPr>
              <w:pStyle w:val="TableText"/>
              <w:ind w:right="55"/>
              <w:jc w:val="right"/>
              <w:cnfStyle w:val="000000000000" w:firstRow="0" w:lastRow="0" w:firstColumn="0" w:lastColumn="0" w:oddVBand="0" w:evenVBand="0" w:oddHBand="0" w:evenHBand="0" w:firstRowFirstColumn="0" w:firstRowLastColumn="0" w:lastRowFirstColumn="0" w:lastRowLastColumn="0"/>
            </w:pPr>
            <w:r w:rsidRPr="00A22DD8">
              <w:t>Identify optimal data monitoring networks, where “optimal” is defined in terms of increased reliability of the particular prediction that underpins a management decision</w:t>
            </w:r>
          </w:p>
        </w:tc>
        <w:tc>
          <w:tcPr>
            <w:tcW w:w="1418" w:type="dxa"/>
          </w:tcPr>
          <w:p w14:paraId="09A88171" w14:textId="2DDBEA0F" w:rsidR="00A22DD8" w:rsidRPr="00B0618E" w:rsidRDefault="00A22DD8" w:rsidP="00A22DD8">
            <w:pPr>
              <w:pStyle w:val="TableText"/>
              <w:ind w:right="55"/>
              <w:jc w:val="right"/>
              <w:cnfStyle w:val="000000000000" w:firstRow="0" w:lastRow="0" w:firstColumn="0" w:lastColumn="0" w:oddVBand="0" w:evenVBand="0" w:oddHBand="0" w:evenHBand="0" w:firstRowFirstColumn="0" w:firstRowLastColumn="0" w:lastRowFirstColumn="0" w:lastRowLastColumn="0"/>
            </w:pPr>
            <w:r w:rsidRPr="00A22DD8">
              <w:t>Moore et al.</w:t>
            </w:r>
            <w:r w:rsidR="00585852">
              <w:t>,</w:t>
            </w:r>
            <w:r w:rsidRPr="00A22DD8">
              <w:t xml:space="preserve"> </w:t>
            </w:r>
            <w:r w:rsidR="00585852">
              <w:t>(</w:t>
            </w:r>
            <w:r w:rsidRPr="00A22DD8">
              <w:t>2011</w:t>
            </w:r>
            <w:r w:rsidR="00585852">
              <w:t>)</w:t>
            </w:r>
          </w:p>
        </w:tc>
      </w:tr>
      <w:tr w:rsidR="00A22DD8" w:rsidRPr="00B0618E" w14:paraId="142B249C" w14:textId="77777777" w:rsidTr="00A22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701693BA" w14:textId="38FD5ED1" w:rsidR="00A22DD8" w:rsidRPr="00B0618E" w:rsidRDefault="00A22DD8" w:rsidP="00A22DD8">
            <w:pPr>
              <w:pStyle w:val="TableText"/>
              <w:rPr>
                <w:b w:val="0"/>
              </w:rPr>
            </w:pPr>
            <w:r w:rsidRPr="008E3E27">
              <w:rPr>
                <w:b w:val="0"/>
              </w:rPr>
              <w:t>A decision tree model to estimate the value of information provided by a groundwater quality monitoring network</w:t>
            </w:r>
          </w:p>
        </w:tc>
        <w:tc>
          <w:tcPr>
            <w:tcW w:w="4252" w:type="dxa"/>
          </w:tcPr>
          <w:p w14:paraId="2D2E29A1" w14:textId="6EFBD7AE" w:rsidR="00A22DD8" w:rsidRPr="00A22DD8" w:rsidRDefault="00A22DD8" w:rsidP="00A22DD8">
            <w:pPr>
              <w:pStyle w:val="TableText"/>
              <w:ind w:right="55"/>
              <w:jc w:val="right"/>
              <w:cnfStyle w:val="000000100000" w:firstRow="0" w:lastRow="0" w:firstColumn="0" w:lastColumn="0" w:oddVBand="0" w:evenVBand="0" w:oddHBand="1" w:evenHBand="0" w:firstRowFirstColumn="0" w:firstRowLastColumn="0" w:lastRowFirstColumn="0" w:lastRowLastColumn="0"/>
            </w:pPr>
            <w:r w:rsidRPr="00A22DD8">
              <w:t>Estimation of the value of information provided by a groundwater quality monitoring network located in an aquifer whose water poses a spatially heterogeneous and uncertain health risk</w:t>
            </w:r>
          </w:p>
        </w:tc>
        <w:tc>
          <w:tcPr>
            <w:tcW w:w="1418" w:type="dxa"/>
          </w:tcPr>
          <w:p w14:paraId="5EFFBE0F" w14:textId="61BB1CDE" w:rsidR="00A22DD8" w:rsidRPr="00B0618E" w:rsidRDefault="00A22DD8">
            <w:pPr>
              <w:pStyle w:val="TableText"/>
              <w:ind w:right="55"/>
              <w:jc w:val="right"/>
              <w:cnfStyle w:val="000000100000" w:firstRow="0" w:lastRow="0" w:firstColumn="0" w:lastColumn="0" w:oddVBand="0" w:evenVBand="0" w:oddHBand="1" w:evenHBand="0" w:firstRowFirstColumn="0" w:firstRowLastColumn="0" w:lastRowFirstColumn="0" w:lastRowLastColumn="0"/>
            </w:pPr>
            <w:r w:rsidRPr="00A22DD8">
              <w:t xml:space="preserve">Khader et al. </w:t>
            </w:r>
            <w:r w:rsidR="00585852">
              <w:t>(</w:t>
            </w:r>
            <w:r w:rsidRPr="00A22DD8">
              <w:t>2013</w:t>
            </w:r>
            <w:r w:rsidR="00585852">
              <w:t>)</w:t>
            </w:r>
          </w:p>
        </w:tc>
      </w:tr>
      <w:tr w:rsidR="00A22DD8" w:rsidRPr="00B0618E" w14:paraId="1CB76C2F" w14:textId="77777777" w:rsidTr="00A22DD8">
        <w:tc>
          <w:tcPr>
            <w:cnfStyle w:val="001000000000" w:firstRow="0" w:lastRow="0" w:firstColumn="1" w:lastColumn="0" w:oddVBand="0" w:evenVBand="0" w:oddHBand="0" w:evenHBand="0" w:firstRowFirstColumn="0" w:firstRowLastColumn="0" w:lastRowFirstColumn="0" w:lastRowLastColumn="0"/>
            <w:tcW w:w="3969" w:type="dxa"/>
          </w:tcPr>
          <w:p w14:paraId="775435C5" w14:textId="6CED46E6" w:rsidR="00A22DD8" w:rsidRPr="00B0618E" w:rsidRDefault="00A22DD8" w:rsidP="00A22DD8">
            <w:pPr>
              <w:pStyle w:val="TableText"/>
              <w:rPr>
                <w:b w:val="0"/>
              </w:rPr>
            </w:pPr>
            <w:r w:rsidRPr="008E3E27">
              <w:rPr>
                <w:b w:val="0"/>
              </w:rPr>
              <w:t>Impacts from re-injection of coal seam gas produced water</w:t>
            </w:r>
          </w:p>
        </w:tc>
        <w:tc>
          <w:tcPr>
            <w:tcW w:w="4252" w:type="dxa"/>
          </w:tcPr>
          <w:p w14:paraId="749FC2DF" w14:textId="46DDF3CE" w:rsidR="00A22DD8" w:rsidRPr="00A22DD8" w:rsidRDefault="00A22DD8" w:rsidP="00A22DD8">
            <w:pPr>
              <w:pStyle w:val="TableText"/>
              <w:ind w:right="55"/>
              <w:jc w:val="right"/>
              <w:cnfStyle w:val="000000000000" w:firstRow="0" w:lastRow="0" w:firstColumn="0" w:lastColumn="0" w:oddVBand="0" w:evenVBand="0" w:oddHBand="0" w:evenHBand="0" w:firstRowFirstColumn="0" w:firstRowLastColumn="0" w:lastRowFirstColumn="0" w:lastRowLastColumn="0"/>
            </w:pPr>
            <w:r w:rsidRPr="00A22DD8">
              <w:t>Explore the relative data-worth of injection tracer tests, pump tests and regional groundwater monitoring data in informing the dilution predictions made using a well field water quality model.</w:t>
            </w:r>
          </w:p>
        </w:tc>
        <w:tc>
          <w:tcPr>
            <w:tcW w:w="1418" w:type="dxa"/>
          </w:tcPr>
          <w:p w14:paraId="3003CC0A" w14:textId="27BFE501" w:rsidR="00A22DD8" w:rsidRPr="00B0618E" w:rsidRDefault="00A22DD8" w:rsidP="00A22DD8">
            <w:pPr>
              <w:pStyle w:val="TableText"/>
              <w:ind w:right="55"/>
              <w:jc w:val="right"/>
              <w:cnfStyle w:val="000000000000" w:firstRow="0" w:lastRow="0" w:firstColumn="0" w:lastColumn="0" w:oddVBand="0" w:evenVBand="0" w:oddHBand="0" w:evenHBand="0" w:firstRowFirstColumn="0" w:firstRowLastColumn="0" w:lastRowFirstColumn="0" w:lastRowLastColumn="0"/>
            </w:pPr>
            <w:r w:rsidRPr="00A22DD8">
              <w:t xml:space="preserve">Sreekanth and Moore </w:t>
            </w:r>
            <w:r w:rsidR="00585852">
              <w:t>(</w:t>
            </w:r>
            <w:r w:rsidRPr="00A22DD8">
              <w:t>2015</w:t>
            </w:r>
            <w:r w:rsidR="00585852">
              <w:t>)</w:t>
            </w:r>
          </w:p>
        </w:tc>
      </w:tr>
      <w:tr w:rsidR="00A22DD8" w:rsidRPr="00B0618E" w14:paraId="74A64D6A" w14:textId="77777777" w:rsidTr="00A22D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9" w:type="dxa"/>
          </w:tcPr>
          <w:p w14:paraId="74005D53" w14:textId="10505B2E" w:rsidR="00A22DD8" w:rsidRPr="00B0618E" w:rsidRDefault="00A22DD8" w:rsidP="00A22DD8">
            <w:pPr>
              <w:pStyle w:val="TableText"/>
              <w:rPr>
                <w:b w:val="0"/>
              </w:rPr>
            </w:pPr>
            <w:r w:rsidRPr="008E3E27">
              <w:rPr>
                <w:b w:val="0"/>
              </w:rPr>
              <w:t>Data worth analysis to determine cost effectiveness of airborne electromagnetic (AEM) data for defining hydraulic properties in a groundwater flow model</w:t>
            </w:r>
          </w:p>
        </w:tc>
        <w:tc>
          <w:tcPr>
            <w:tcW w:w="4252" w:type="dxa"/>
          </w:tcPr>
          <w:p w14:paraId="4D092C18" w14:textId="6B3851D4" w:rsidR="00A22DD8" w:rsidRPr="00A22DD8" w:rsidRDefault="00A22DD8" w:rsidP="00A22DD8">
            <w:pPr>
              <w:pStyle w:val="TableText"/>
              <w:ind w:right="55"/>
              <w:jc w:val="right"/>
              <w:cnfStyle w:val="000000100000" w:firstRow="0" w:lastRow="0" w:firstColumn="0" w:lastColumn="0" w:oddVBand="0" w:evenVBand="0" w:oddHBand="1" w:evenHBand="0" w:firstRowFirstColumn="0" w:firstRowLastColumn="0" w:lastRowFirstColumn="0" w:lastRowLastColumn="0"/>
              <w:rPr>
                <w:bCs/>
              </w:rPr>
            </w:pPr>
            <w:r w:rsidRPr="00A22DD8">
              <w:t>How cost-effective are airborne electromagnetic (AEM) data for refining the spatial variability of hydraulic conductivity and vertical aquifer boundaries within a groundwater flow model when compared to more traditional techniques</w:t>
            </w:r>
          </w:p>
        </w:tc>
        <w:tc>
          <w:tcPr>
            <w:tcW w:w="1418" w:type="dxa"/>
          </w:tcPr>
          <w:p w14:paraId="73ED60C5" w14:textId="624F4996" w:rsidR="00A22DD8" w:rsidRPr="00B0618E" w:rsidRDefault="00A22DD8">
            <w:pPr>
              <w:pStyle w:val="TableText"/>
              <w:ind w:right="55"/>
              <w:jc w:val="right"/>
              <w:cnfStyle w:val="000000100000" w:firstRow="0" w:lastRow="0" w:firstColumn="0" w:lastColumn="0" w:oddVBand="0" w:evenVBand="0" w:oddHBand="1" w:evenHBand="0" w:firstRowFirstColumn="0" w:firstRowLastColumn="0" w:lastRowFirstColumn="0" w:lastRowLastColumn="0"/>
            </w:pPr>
            <w:r w:rsidRPr="00A22DD8">
              <w:t xml:space="preserve">Magali et al. </w:t>
            </w:r>
            <w:r w:rsidR="00585852">
              <w:t>(</w:t>
            </w:r>
            <w:r w:rsidRPr="00A22DD8">
              <w:t>2016</w:t>
            </w:r>
            <w:r w:rsidR="00585852">
              <w:t>)</w:t>
            </w:r>
          </w:p>
        </w:tc>
      </w:tr>
    </w:tbl>
    <w:p w14:paraId="6ECDBE65" w14:textId="77777777" w:rsidR="00A50917" w:rsidRDefault="00DE57CC" w:rsidP="00DE57CC">
      <w:pPr>
        <w:pStyle w:val="Heading2"/>
      </w:pPr>
      <w:bookmarkStart w:id="216" w:name="_Toc483127591"/>
      <w:bookmarkStart w:id="217" w:name="_Ref479537106"/>
      <w:r>
        <w:t>Bootstrapping resampling</w:t>
      </w:r>
      <w:bookmarkEnd w:id="216"/>
    </w:p>
    <w:p w14:paraId="59B10264" w14:textId="685BB343" w:rsidR="00DE57CC" w:rsidRDefault="00A50917" w:rsidP="00A50917">
      <w:pPr>
        <w:pStyle w:val="Heading3"/>
      </w:pPr>
      <w:r>
        <w:t>M</w:t>
      </w:r>
      <w:r w:rsidR="00DE57CC">
        <w:t>ethodology and application</w:t>
      </w:r>
      <w:bookmarkEnd w:id="217"/>
    </w:p>
    <w:p w14:paraId="5BFAEA4B" w14:textId="4A02B06D" w:rsidR="00D674D5" w:rsidRPr="00B0618E" w:rsidRDefault="00F47BAB" w:rsidP="00F47BAB">
      <w:pPr>
        <w:pStyle w:val="BodyText"/>
      </w:pPr>
      <w:r w:rsidRPr="00B0618E">
        <w:t xml:space="preserve">The data worth analysis </w:t>
      </w:r>
      <w:r w:rsidR="00D241B0" w:rsidRPr="00B0618E">
        <w:t xml:space="preserve">in this study </w:t>
      </w:r>
      <w:r w:rsidRPr="00B0618E">
        <w:t xml:space="preserve">is based on a bootstrap resampling </w:t>
      </w:r>
      <w:r w:rsidR="00D674D5" w:rsidRPr="00B0618E">
        <w:t>methodology.</w:t>
      </w:r>
      <w:r w:rsidR="00B13600" w:rsidRPr="00B0618E">
        <w:t xml:space="preserve"> The bootstrap resampling approach is a non-parametric way of calculating prediction confidence intervals and parameter uncertainty (Lall and Sharma</w:t>
      </w:r>
      <w:r w:rsidR="00545907">
        <w:t>,</w:t>
      </w:r>
      <w:r w:rsidR="00B13600" w:rsidRPr="00B0618E">
        <w:t xml:space="preserve"> 1996; Burn</w:t>
      </w:r>
      <w:r w:rsidR="00545907">
        <w:t>,</w:t>
      </w:r>
      <w:r w:rsidR="00B13600" w:rsidRPr="00B0618E">
        <w:t xml:space="preserve"> 2003). The resampling approach involves creating new samples from the original sample by a bootstrapping process which involves randomly selecting data points, with replacement, from the original sample and subsequently estimating prediction uncertainty from each of the resampled data sets. </w:t>
      </w:r>
    </w:p>
    <w:p w14:paraId="49DEF24D" w14:textId="64371AA4" w:rsidR="00F47BAB" w:rsidRPr="00B0618E" w:rsidRDefault="008B6EEB" w:rsidP="00F47BAB">
      <w:pPr>
        <w:pStyle w:val="BodyText"/>
      </w:pPr>
      <w:r w:rsidRPr="00B0618E">
        <w:t xml:space="preserve">The principle of </w:t>
      </w:r>
      <w:r w:rsidR="00D674D5" w:rsidRPr="00B0618E">
        <w:t xml:space="preserve">bootstrap resampling is </w:t>
      </w:r>
      <w:r w:rsidRPr="00B0618E">
        <w:t>illustrated here based on</w:t>
      </w:r>
      <w:r w:rsidR="00F47BAB" w:rsidRPr="00B0618E">
        <w:t xml:space="preserve"> the </w:t>
      </w:r>
      <w:r w:rsidRPr="00B0618E">
        <w:t xml:space="preserve">updated data set and its </w:t>
      </w:r>
      <w:r w:rsidR="00F47BAB" w:rsidRPr="00B0618E">
        <w:t xml:space="preserve">300 parameter combinations </w:t>
      </w:r>
      <w:r w:rsidRPr="00B0618E">
        <w:t xml:space="preserve">generated </w:t>
      </w:r>
      <w:r w:rsidR="00F47BAB" w:rsidRPr="00B0618E">
        <w:t>in the previous section</w:t>
      </w:r>
      <w:r w:rsidRPr="00B0618E">
        <w:t xml:space="preserve"> (Section </w:t>
      </w:r>
      <w:r w:rsidRPr="00B0618E">
        <w:fldChar w:fldCharType="begin"/>
      </w:r>
      <w:r w:rsidRPr="00B0618E">
        <w:instrText xml:space="preserve"> REF _Ref478488461 \r \h </w:instrText>
      </w:r>
      <w:r w:rsidR="00B0618E">
        <w:instrText xml:space="preserve"> \* MERGEFORMAT </w:instrText>
      </w:r>
      <w:r w:rsidRPr="00B0618E">
        <w:fldChar w:fldCharType="separate"/>
      </w:r>
      <w:r w:rsidR="000B6FA5">
        <w:t>5</w:t>
      </w:r>
      <w:r w:rsidRPr="00B0618E">
        <w:fldChar w:fldCharType="end"/>
      </w:r>
      <w:r w:rsidRPr="00B0618E">
        <w:t>)</w:t>
      </w:r>
      <w:r w:rsidR="00F47BAB" w:rsidRPr="00B0618E">
        <w:t>. The 300 parameter combinations are randomly sampled from a</w:t>
      </w:r>
      <w:r w:rsidR="00664DBF">
        <w:t>n unimodal</w:t>
      </w:r>
      <w:r w:rsidR="00F47BAB" w:rsidRPr="00B0618E">
        <w:t xml:space="preserve"> </w:t>
      </w:r>
      <w:r w:rsidRPr="00B0618E">
        <w:t>log-</w:t>
      </w:r>
      <w:r w:rsidR="00F47BAB" w:rsidRPr="00B0618E">
        <w:t xml:space="preserve">triangular distribution that is based on the </w:t>
      </w:r>
      <w:r w:rsidRPr="00B0618E">
        <w:t xml:space="preserve">improved aquitard characterisation using upscaled well-log data combined with </w:t>
      </w:r>
      <w:r w:rsidR="00F47BAB" w:rsidRPr="00B0618E">
        <w:t xml:space="preserve">hydraulic </w:t>
      </w:r>
      <w:r w:rsidRPr="00B0618E">
        <w:t>conductivity</w:t>
      </w:r>
      <w:r w:rsidR="00F47BAB" w:rsidRPr="00B0618E">
        <w:t xml:space="preserve"> measurements.</w:t>
      </w:r>
      <w:r w:rsidRPr="00B0618E">
        <w:t xml:space="preserve"> The uncertainty around the </w:t>
      </w:r>
      <w:r w:rsidR="00117B46" w:rsidRPr="00B0618E">
        <w:t>maximum drawdown will be considered as an example.</w:t>
      </w:r>
    </w:p>
    <w:p w14:paraId="090258D4" w14:textId="77777777" w:rsidR="00F47BAB" w:rsidRPr="00B0618E" w:rsidRDefault="00F47BAB" w:rsidP="00F47BAB">
      <w:pPr>
        <w:pStyle w:val="BodyText"/>
      </w:pPr>
      <w:r w:rsidRPr="00B0618E">
        <w:t>The bootstrap procedure follows following scheme:</w:t>
      </w:r>
    </w:p>
    <w:p w14:paraId="3A168339" w14:textId="1FC9972D" w:rsidR="00F47BAB" w:rsidRPr="00B0618E" w:rsidRDefault="00F47BAB" w:rsidP="00643BE4">
      <w:pPr>
        <w:pStyle w:val="BodyText"/>
        <w:numPr>
          <w:ilvl w:val="0"/>
          <w:numId w:val="21"/>
        </w:numPr>
      </w:pPr>
      <w:r w:rsidRPr="00B0618E">
        <w:t xml:space="preserve">Take a random sample of 50 parameter combinations with resampling from the 300 </w:t>
      </w:r>
      <w:r w:rsidR="008B6EEB" w:rsidRPr="00B0618E">
        <w:t xml:space="preserve">available </w:t>
      </w:r>
      <w:r w:rsidRPr="00B0618E">
        <w:t>parameter combinations</w:t>
      </w:r>
      <w:r w:rsidR="008B6EEB" w:rsidRPr="00B0618E">
        <w:t>;</w:t>
      </w:r>
    </w:p>
    <w:p w14:paraId="0CB5031E" w14:textId="3105E5A3" w:rsidR="00F47BAB" w:rsidRPr="00B0618E" w:rsidRDefault="00F47BAB" w:rsidP="00643BE4">
      <w:pPr>
        <w:pStyle w:val="BodyText"/>
        <w:numPr>
          <w:ilvl w:val="0"/>
          <w:numId w:val="21"/>
        </w:numPr>
      </w:pPr>
      <w:r w:rsidRPr="00B0618E">
        <w:t>For each parameter combination,</w:t>
      </w:r>
      <w:r w:rsidR="008B6EEB" w:rsidRPr="00B0618E">
        <w:t xml:space="preserve"> used the existing model runs to</w:t>
      </w:r>
      <w:r w:rsidRPr="00B0618E">
        <w:t xml:space="preserve"> compute the 50</w:t>
      </w:r>
      <w:r w:rsidRPr="00B0618E">
        <w:rPr>
          <w:vertAlign w:val="superscript"/>
        </w:rPr>
        <w:t>th</w:t>
      </w:r>
      <w:r w:rsidRPr="00B0618E">
        <w:t>, 75</w:t>
      </w:r>
      <w:r w:rsidRPr="00B0618E">
        <w:rPr>
          <w:vertAlign w:val="superscript"/>
        </w:rPr>
        <w:t>th</w:t>
      </w:r>
      <w:r w:rsidRPr="00B0618E">
        <w:t xml:space="preserve"> and 90</w:t>
      </w:r>
      <w:r w:rsidRPr="00B0618E">
        <w:rPr>
          <w:vertAlign w:val="superscript"/>
        </w:rPr>
        <w:t>th</w:t>
      </w:r>
      <w:r w:rsidRPr="00B0618E">
        <w:t xml:space="preserve"> percentile</w:t>
      </w:r>
      <w:r w:rsidR="00664DBF">
        <w:t>s</w:t>
      </w:r>
      <w:r w:rsidRPr="00B0618E">
        <w:t xml:space="preserve"> of maximum drawdown</w:t>
      </w:r>
      <w:r w:rsidR="008B6EEB" w:rsidRPr="00B0618E">
        <w:t>;</w:t>
      </w:r>
    </w:p>
    <w:p w14:paraId="17454E79" w14:textId="0F093AC9" w:rsidR="00F47BAB" w:rsidRPr="00B0618E" w:rsidRDefault="00F47BAB" w:rsidP="00643BE4">
      <w:pPr>
        <w:pStyle w:val="BodyText"/>
        <w:numPr>
          <w:ilvl w:val="0"/>
          <w:numId w:val="21"/>
        </w:numPr>
      </w:pPr>
      <w:r w:rsidRPr="00B0618E">
        <w:t>Repeat steps 1-2 a large number of time (1 000 in this example)</w:t>
      </w:r>
      <w:r w:rsidR="00117B46" w:rsidRPr="00B0618E">
        <w:t>;</w:t>
      </w:r>
    </w:p>
    <w:p w14:paraId="58E030C0" w14:textId="3AF2F667" w:rsidR="00F47BAB" w:rsidRPr="00B0618E" w:rsidRDefault="00F47BAB" w:rsidP="00643BE4">
      <w:pPr>
        <w:pStyle w:val="BodyText"/>
        <w:numPr>
          <w:ilvl w:val="0"/>
          <w:numId w:val="21"/>
        </w:numPr>
      </w:pPr>
      <w:r w:rsidRPr="00B0618E">
        <w:t xml:space="preserve">Summarize with histograms the variability in the percentiles of the parameters and </w:t>
      </w:r>
      <w:r w:rsidR="00117B46" w:rsidRPr="00B0618E">
        <w:t xml:space="preserve">model </w:t>
      </w:r>
      <w:r w:rsidRPr="00B0618E">
        <w:t>predictions</w:t>
      </w:r>
      <w:r w:rsidR="00117B46" w:rsidRPr="00B0618E">
        <w:t xml:space="preserve"> (i.e. drawdown).</w:t>
      </w:r>
    </w:p>
    <w:p w14:paraId="2BBB29D1" w14:textId="51DDE50D" w:rsidR="00F47BAB" w:rsidRPr="00B0618E" w:rsidRDefault="00F47BAB" w:rsidP="00F47BAB">
      <w:pPr>
        <w:pStyle w:val="BodyText"/>
      </w:pPr>
      <w:r w:rsidRPr="00B0618E">
        <w:t xml:space="preserve">This type of analysis shows how robust the summary statistics (the percentiles) of the predictions are. The exercise </w:t>
      </w:r>
      <w:r w:rsidR="00E44139" w:rsidRPr="00B0618E">
        <w:t>may be</w:t>
      </w:r>
      <w:r w:rsidRPr="00B0618E">
        <w:t xml:space="preserve"> repeated for different sample sizes (e.g. 50, 200, 300) which allows to compare the range of the percentiles</w:t>
      </w:r>
      <w:r w:rsidR="00E44139" w:rsidRPr="00B0618E">
        <w:t>, and if they are affected by the sample size</w:t>
      </w:r>
      <w:r w:rsidRPr="00B0618E">
        <w:t xml:space="preserve">. If the range of percentiles is small, the sampling density is </w:t>
      </w:r>
      <w:r w:rsidR="003F366C" w:rsidRPr="00B0618E">
        <w:t xml:space="preserve">considered </w:t>
      </w:r>
      <w:r w:rsidRPr="00B0618E">
        <w:t xml:space="preserve">high enough and the summary statistic is considered robust. If the range </w:t>
      </w:r>
      <w:r w:rsidR="003F366C" w:rsidRPr="00B0618E">
        <w:t xml:space="preserve">or uncertainty </w:t>
      </w:r>
      <w:r w:rsidRPr="00B0618E">
        <w:t>is high</w:t>
      </w:r>
      <w:r w:rsidR="003F366C" w:rsidRPr="00B0618E">
        <w:t>,</w:t>
      </w:r>
      <w:r w:rsidRPr="00B0618E">
        <w:t xml:space="preserve"> however, the summary statistic is prone to change due to omission or inclusion of a few data points. The summary statistic can then not be considered robust and the data density is </w:t>
      </w:r>
      <w:r w:rsidR="003F366C" w:rsidRPr="00B0618E">
        <w:t>in</w:t>
      </w:r>
      <w:r w:rsidRPr="00B0618E">
        <w:t>sufficient to characterise the parameter distribution</w:t>
      </w:r>
      <w:r w:rsidR="003F366C" w:rsidRPr="00B0618E">
        <w:t xml:space="preserve"> according to an acceptable degree of uncertainty</w:t>
      </w:r>
      <w:r w:rsidRPr="00B0618E">
        <w:t>.</w:t>
      </w:r>
      <w:r w:rsidR="00545907">
        <w:t xml:space="preserve"> The bootstrap resampling method does not assess the value of the data itself, e.g. how the prediction uncertainty would </w:t>
      </w:r>
      <w:r w:rsidR="0065306B">
        <w:t xml:space="preserve">change as the number of core-based </w:t>
      </w:r>
      <w:r w:rsidR="0065306B" w:rsidRPr="0065306B">
        <w:rPr>
          <w:i/>
        </w:rPr>
        <w:t>K</w:t>
      </w:r>
      <w:r w:rsidR="0065306B" w:rsidRPr="0065306B">
        <w:rPr>
          <w:vertAlign w:val="subscript"/>
        </w:rPr>
        <w:t>V</w:t>
      </w:r>
      <w:r w:rsidR="0065306B">
        <w:t xml:space="preserve"> values in the data set decreases or increases. Addressing such questions was beyond the scope of this study.</w:t>
      </w:r>
    </w:p>
    <w:p w14:paraId="0D22721B" w14:textId="38D19760" w:rsidR="009477D1" w:rsidRPr="00B0618E" w:rsidRDefault="009477D1" w:rsidP="00A50917">
      <w:pPr>
        <w:pStyle w:val="Heading3"/>
      </w:pPr>
      <w:r w:rsidRPr="00B0618E">
        <w:t>Results and discussion</w:t>
      </w:r>
    </w:p>
    <w:p w14:paraId="0923A09B" w14:textId="7C24E416" w:rsidR="00AC3F19" w:rsidRPr="00B0618E" w:rsidRDefault="007B3095" w:rsidP="00AC3F19">
      <w:pPr>
        <w:pStyle w:val="BodyText"/>
        <w:rPr>
          <w:color w:val="FF0000"/>
        </w:rPr>
      </w:pPr>
      <w:r w:rsidRPr="00B0618E">
        <w:fldChar w:fldCharType="begin"/>
      </w:r>
      <w:r w:rsidRPr="00B0618E">
        <w:instrText xml:space="preserve"> REF _Ref478489229 \h </w:instrText>
      </w:r>
      <w:r w:rsidR="009C75E5" w:rsidRPr="00B0618E">
        <w:instrText xml:space="preserve"> \* MERGEFORMAT </w:instrText>
      </w:r>
      <w:r w:rsidRPr="00B0618E">
        <w:fldChar w:fldCharType="separate"/>
      </w:r>
      <w:r w:rsidR="000B6FA5" w:rsidRPr="00B0618E">
        <w:t xml:space="preserve">Figure </w:t>
      </w:r>
      <w:r w:rsidR="000B6FA5">
        <w:rPr>
          <w:noProof/>
        </w:rPr>
        <w:t>7</w:t>
      </w:r>
      <w:r w:rsidR="000B6FA5">
        <w:rPr>
          <w:noProof/>
        </w:rPr>
        <w:noBreakHyphen/>
        <w:t>1</w:t>
      </w:r>
      <w:r w:rsidRPr="00B0618E">
        <w:fldChar w:fldCharType="end"/>
      </w:r>
      <w:r w:rsidRPr="00B0618E">
        <w:t xml:space="preserve"> </w:t>
      </w:r>
      <w:r w:rsidR="00AC3F19" w:rsidRPr="00B0618E">
        <w:t xml:space="preserve">and </w:t>
      </w:r>
      <w:r w:rsidRPr="00B0618E">
        <w:fldChar w:fldCharType="begin"/>
      </w:r>
      <w:r w:rsidRPr="00B0618E">
        <w:instrText xml:space="preserve"> REF _Ref478489247 \h </w:instrText>
      </w:r>
      <w:r w:rsidR="009C75E5" w:rsidRPr="00B0618E">
        <w:instrText xml:space="preserve"> \* MERGEFORMAT </w:instrText>
      </w:r>
      <w:r w:rsidRPr="00B0618E">
        <w:fldChar w:fldCharType="separate"/>
      </w:r>
      <w:r w:rsidR="000B6FA5" w:rsidRPr="00B0618E">
        <w:t xml:space="preserve">Figure </w:t>
      </w:r>
      <w:r w:rsidR="000B6FA5">
        <w:rPr>
          <w:noProof/>
        </w:rPr>
        <w:t>7</w:t>
      </w:r>
      <w:r w:rsidR="000B6FA5">
        <w:rPr>
          <w:noProof/>
        </w:rPr>
        <w:noBreakHyphen/>
        <w:t>2</w:t>
      </w:r>
      <w:r w:rsidRPr="00B0618E">
        <w:fldChar w:fldCharType="end"/>
      </w:r>
      <w:r w:rsidRPr="00B0618E">
        <w:t xml:space="preserve"> </w:t>
      </w:r>
      <w:r w:rsidR="001C27A9" w:rsidRPr="00B0618E">
        <w:t xml:space="preserve">show the results of a 1 </w:t>
      </w:r>
      <w:r w:rsidR="00AC3F19" w:rsidRPr="00B0618E">
        <w:t xml:space="preserve">000 fold bootstrap resampling with respectively a sample size of 50 and 300. The bootstrap with sample size </w:t>
      </w:r>
      <w:r w:rsidR="009C75E5" w:rsidRPr="00B0618E">
        <w:t>5</w:t>
      </w:r>
      <w:r w:rsidR="00AC3F19" w:rsidRPr="00B0618E">
        <w:t xml:space="preserve">0 shows that there is considerable spread in the percentiles of </w:t>
      </w:r>
      <w:r w:rsidR="009C75E5" w:rsidRPr="00B0618E">
        <w:t xml:space="preserve">predicted </w:t>
      </w:r>
      <w:r w:rsidR="00AC3F19" w:rsidRPr="00B0618E">
        <w:t xml:space="preserve">drawdown, with the median varying between </w:t>
      </w:r>
      <w:r w:rsidR="009C75E5" w:rsidRPr="00B0618E">
        <w:t>0.4 and 2 m</w:t>
      </w:r>
      <w:r w:rsidR="00AC3F19" w:rsidRPr="00B0618E">
        <w:t>, while the 90</w:t>
      </w:r>
      <w:r w:rsidR="00AC3F19" w:rsidRPr="00B0618E">
        <w:rPr>
          <w:vertAlign w:val="superscript"/>
        </w:rPr>
        <w:t>th</w:t>
      </w:r>
      <w:r w:rsidR="00AC3F19" w:rsidRPr="00B0618E">
        <w:t xml:space="preserve"> percentile varies between </w:t>
      </w:r>
      <w:r w:rsidR="009C75E5" w:rsidRPr="00B0618E">
        <w:t xml:space="preserve">5.2 </w:t>
      </w:r>
      <w:r w:rsidR="00AC3F19" w:rsidRPr="00B0618E">
        <w:t xml:space="preserve">m and </w:t>
      </w:r>
      <w:r w:rsidR="009C75E5" w:rsidRPr="00B0618E">
        <w:t xml:space="preserve">8 </w:t>
      </w:r>
      <w:r w:rsidR="00AC3F19" w:rsidRPr="00B0618E">
        <w:t xml:space="preserve">m. </w:t>
      </w:r>
      <w:r w:rsidR="009C75E5" w:rsidRPr="00B0618E">
        <w:fldChar w:fldCharType="begin"/>
      </w:r>
      <w:r w:rsidR="009C75E5" w:rsidRPr="00B0618E">
        <w:instrText xml:space="preserve"> REF _Ref478489229 \h </w:instrText>
      </w:r>
      <w:r w:rsidR="00B0618E">
        <w:instrText xml:space="preserve"> \* MERGEFORMAT </w:instrText>
      </w:r>
      <w:r w:rsidR="009C75E5" w:rsidRPr="00B0618E">
        <w:fldChar w:fldCharType="separate"/>
      </w:r>
      <w:r w:rsidR="000B6FA5" w:rsidRPr="00B0618E">
        <w:t xml:space="preserve">Figure </w:t>
      </w:r>
      <w:r w:rsidR="000B6FA5">
        <w:rPr>
          <w:noProof/>
        </w:rPr>
        <w:t>7</w:t>
      </w:r>
      <w:r w:rsidR="000B6FA5">
        <w:rPr>
          <w:noProof/>
        </w:rPr>
        <w:noBreakHyphen/>
        <w:t>1</w:t>
      </w:r>
      <w:r w:rsidR="009C75E5" w:rsidRPr="00B0618E">
        <w:fldChar w:fldCharType="end"/>
      </w:r>
      <w:r w:rsidR="009C75E5" w:rsidRPr="00B0618E">
        <w:t xml:space="preserve"> shows that by increasing the sample size to 300 the range of predictions decreases considerably, with the range of the median between 0.9 and 1.6 m and the range of the 90</w:t>
      </w:r>
      <w:r w:rsidR="009C75E5" w:rsidRPr="00B0618E">
        <w:rPr>
          <w:vertAlign w:val="superscript"/>
        </w:rPr>
        <w:t>th</w:t>
      </w:r>
      <w:r w:rsidR="009C75E5" w:rsidRPr="00B0618E">
        <w:t xml:space="preserve"> percentile now about 2 m (between 5.6 m and 7.8 m).  </w:t>
      </w:r>
      <w:r w:rsidR="00AC3F19" w:rsidRPr="00B0618E">
        <w:t xml:space="preserve">The percentiles of the parameters show a similar </w:t>
      </w:r>
      <w:r w:rsidR="009C75E5" w:rsidRPr="00B0618E">
        <w:t xml:space="preserve">decrease in </w:t>
      </w:r>
      <w:r w:rsidR="00AC3F19" w:rsidRPr="00B0618E">
        <w:t>spread at the 50</w:t>
      </w:r>
      <w:r w:rsidR="00AC3F19" w:rsidRPr="00B0618E">
        <w:rPr>
          <w:vertAlign w:val="superscript"/>
        </w:rPr>
        <w:t>th</w:t>
      </w:r>
      <w:r w:rsidR="00AC3F19" w:rsidRPr="00B0618E">
        <w:t>, 75</w:t>
      </w:r>
      <w:r w:rsidR="00AC3F19" w:rsidRPr="00B0618E">
        <w:rPr>
          <w:vertAlign w:val="superscript"/>
        </w:rPr>
        <w:t>th</w:t>
      </w:r>
      <w:r w:rsidR="00AC3F19" w:rsidRPr="00B0618E">
        <w:t xml:space="preserve"> and 90</w:t>
      </w:r>
      <w:r w:rsidR="00AC3F19" w:rsidRPr="00B0618E">
        <w:rPr>
          <w:vertAlign w:val="superscript"/>
        </w:rPr>
        <w:t>th</w:t>
      </w:r>
      <w:r w:rsidR="00AC3F19" w:rsidRPr="00B0618E">
        <w:t xml:space="preserve"> percentiles</w:t>
      </w:r>
      <w:r w:rsidR="009C75E5" w:rsidRPr="00B0618E">
        <w:t xml:space="preserve"> when the sampling size increases from 50 to 300</w:t>
      </w:r>
      <w:r w:rsidR="00AC3F19" w:rsidRPr="00B0618E">
        <w:t xml:space="preserve">. The smaller percentiles of the predictions are not shown, as they are close to zero and show no variation. It highlights once more that the predictive distribution is strongly skewed to the right. </w:t>
      </w:r>
    </w:p>
    <w:p w14:paraId="00226D64" w14:textId="54F15F23" w:rsidR="009477D1" w:rsidRPr="00B0618E" w:rsidRDefault="009477D1" w:rsidP="009477D1">
      <w:pPr>
        <w:pStyle w:val="BodyText"/>
        <w:rPr>
          <w:color w:val="FF0000"/>
        </w:rPr>
      </w:pPr>
    </w:p>
    <w:p w14:paraId="7785DB1E" w14:textId="77777777" w:rsidR="008A7566" w:rsidRPr="00B0618E" w:rsidRDefault="008A7566" w:rsidP="009477D1">
      <w:pPr>
        <w:pStyle w:val="BodyText"/>
        <w:rPr>
          <w:color w:val="FF0000"/>
        </w:rPr>
      </w:pPr>
      <w:r w:rsidRPr="00B0618E">
        <w:rPr>
          <w:noProof/>
          <w:color w:val="FF0000"/>
        </w:rPr>
        <w:drawing>
          <wp:inline distT="0" distB="0" distL="0" distR="0" wp14:anchorId="05D29386" wp14:editId="787823E0">
            <wp:extent cx="5763260" cy="2875280"/>
            <wp:effectExtent l="0" t="0" r="8890" b="1270"/>
            <wp:docPr id="59" name="Picture 59" descr="Y:\OWS_FAM\Models\Bootstrapping_of_parameters_and_predictions_210317\Bootstrapping_params_preds_v08_both_random_230317_siz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OWS_FAM\Models\Bootstrapping_of_parameters_and_predictions_210317\Bootstrapping_params_preds_v08_both_random_230317_size100.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3260" cy="2875280"/>
                    </a:xfrm>
                    <a:prstGeom prst="rect">
                      <a:avLst/>
                    </a:prstGeom>
                    <a:noFill/>
                    <a:ln>
                      <a:noFill/>
                    </a:ln>
                  </pic:spPr>
                </pic:pic>
              </a:graphicData>
            </a:graphic>
          </wp:inline>
        </w:drawing>
      </w:r>
    </w:p>
    <w:p w14:paraId="236C1292" w14:textId="777B53AA" w:rsidR="008A7566" w:rsidRPr="00B0618E" w:rsidRDefault="008A7566" w:rsidP="008A7566">
      <w:pPr>
        <w:pStyle w:val="Caption"/>
        <w:rPr>
          <w:color w:val="FF0000"/>
        </w:rPr>
      </w:pPr>
      <w:bookmarkStart w:id="218" w:name="_Ref478489229"/>
      <w:bookmarkStart w:id="219" w:name="_Toc482034954"/>
      <w:r w:rsidRPr="00B0618E">
        <w:t xml:space="preserve">Figure </w:t>
      </w:r>
      <w:r w:rsidR="00A2085C">
        <w:fldChar w:fldCharType="begin"/>
      </w:r>
      <w:r w:rsidR="00A2085C">
        <w:instrText xml:space="preserve"> STYLEREF 1 \s </w:instrText>
      </w:r>
      <w:r w:rsidR="00A2085C">
        <w:fldChar w:fldCharType="separate"/>
      </w:r>
      <w:r w:rsidR="000B6FA5">
        <w:rPr>
          <w:noProof/>
        </w:rPr>
        <w:t>7</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1</w:t>
      </w:r>
      <w:r w:rsidR="00A2085C">
        <w:rPr>
          <w:noProof/>
        </w:rPr>
        <w:fldChar w:fldCharType="end"/>
      </w:r>
      <w:bookmarkEnd w:id="218"/>
      <w:r w:rsidRPr="00B0618E">
        <w:t xml:space="preserve">. </w:t>
      </w:r>
      <w:r w:rsidR="001C27A9" w:rsidRPr="00B0618E">
        <w:t>Illustration of the bootstrapping approach to estimate parameter (a) and model prediction uncertainty (b) based on a sample size of 50</w:t>
      </w:r>
      <w:r w:rsidR="00BD0B7C" w:rsidRPr="00B0618E">
        <w:t>.</w:t>
      </w:r>
      <w:bookmarkEnd w:id="219"/>
      <w:r w:rsidR="00BD0B7C" w:rsidRPr="00B0618E">
        <w:t xml:space="preserve"> </w:t>
      </w:r>
      <w:r w:rsidR="001C27A9" w:rsidRPr="00B0618E">
        <w:t xml:space="preserve"> </w:t>
      </w:r>
    </w:p>
    <w:p w14:paraId="0EF7A1AB" w14:textId="77777777" w:rsidR="008A7566" w:rsidRPr="00B0618E" w:rsidRDefault="008A7566" w:rsidP="009477D1">
      <w:pPr>
        <w:pStyle w:val="BodyText"/>
        <w:rPr>
          <w:color w:val="FF0000"/>
        </w:rPr>
      </w:pPr>
    </w:p>
    <w:p w14:paraId="53F241EA" w14:textId="6533F3CD" w:rsidR="009477D1" w:rsidRPr="00B0618E" w:rsidRDefault="008A7566" w:rsidP="009477D1">
      <w:pPr>
        <w:pStyle w:val="BodyText"/>
        <w:rPr>
          <w:color w:val="FF0000"/>
        </w:rPr>
      </w:pPr>
      <w:r w:rsidRPr="00B0618E">
        <w:rPr>
          <w:noProof/>
          <w:color w:val="FF0000"/>
        </w:rPr>
        <w:drawing>
          <wp:inline distT="0" distB="0" distL="0" distR="0" wp14:anchorId="7833A053" wp14:editId="7CF3D051">
            <wp:extent cx="5763260" cy="2875280"/>
            <wp:effectExtent l="0" t="0" r="8890" b="1270"/>
            <wp:docPr id="66" name="Picture 66" descr="Y:\OWS_FAM\Models\Bootstrapping_of_parameters_and_predictions_210317\Bootstrapping_params_preds_v08_both_random_230317_siz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OWS_FAM\Models\Bootstrapping_of_parameters_and_predictions_210317\Bootstrapping_params_preds_v08_both_random_230317_size300.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3260" cy="2875280"/>
                    </a:xfrm>
                    <a:prstGeom prst="rect">
                      <a:avLst/>
                    </a:prstGeom>
                    <a:noFill/>
                    <a:ln>
                      <a:noFill/>
                    </a:ln>
                  </pic:spPr>
                </pic:pic>
              </a:graphicData>
            </a:graphic>
          </wp:inline>
        </w:drawing>
      </w:r>
    </w:p>
    <w:p w14:paraId="1E75D5BA" w14:textId="41865190" w:rsidR="009477D1" w:rsidRPr="00B0618E" w:rsidRDefault="009477D1" w:rsidP="009477D1">
      <w:pPr>
        <w:pStyle w:val="Caption"/>
        <w:rPr>
          <w:color w:val="FF0000"/>
        </w:rPr>
      </w:pPr>
      <w:bookmarkStart w:id="220" w:name="_Ref478489247"/>
      <w:bookmarkStart w:id="221" w:name="_Toc482034955"/>
      <w:r w:rsidRPr="00B0618E">
        <w:t xml:space="preserve">Figure </w:t>
      </w:r>
      <w:r w:rsidR="00A2085C">
        <w:fldChar w:fldCharType="begin"/>
      </w:r>
      <w:r w:rsidR="00A2085C">
        <w:instrText xml:space="preserve"> STYLEREF 1 \s </w:instrText>
      </w:r>
      <w:r w:rsidR="00A2085C">
        <w:fldChar w:fldCharType="separate"/>
      </w:r>
      <w:r w:rsidR="000B6FA5">
        <w:rPr>
          <w:noProof/>
        </w:rPr>
        <w:t>7</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2</w:t>
      </w:r>
      <w:r w:rsidR="00A2085C">
        <w:rPr>
          <w:noProof/>
        </w:rPr>
        <w:fldChar w:fldCharType="end"/>
      </w:r>
      <w:bookmarkEnd w:id="220"/>
      <w:r w:rsidRPr="00B0618E">
        <w:t xml:space="preserve">. </w:t>
      </w:r>
      <w:r w:rsidR="00BD0B7C" w:rsidRPr="00B0618E">
        <w:t xml:space="preserve">Illustration of the bootstrapping approach to estimate parameter (a) and model prediction uncertainty (b) based on a sample size of </w:t>
      </w:r>
      <w:r w:rsidR="003D36F8">
        <w:t>3</w:t>
      </w:r>
      <w:r w:rsidR="009C75E5" w:rsidRPr="00B0618E">
        <w:t>0</w:t>
      </w:r>
      <w:r w:rsidR="00BD0B7C" w:rsidRPr="00B0618E">
        <w:t>0.</w:t>
      </w:r>
      <w:bookmarkEnd w:id="221"/>
      <w:r w:rsidR="00BD0B7C" w:rsidRPr="00B0618E">
        <w:t xml:space="preserve">  </w:t>
      </w:r>
    </w:p>
    <w:p w14:paraId="130CD052" w14:textId="77777777" w:rsidR="009C75E5" w:rsidRPr="00B0618E" w:rsidRDefault="009C75E5" w:rsidP="009C75E5">
      <w:pPr>
        <w:pStyle w:val="BodyText"/>
      </w:pPr>
    </w:p>
    <w:p w14:paraId="6C5E51EF" w14:textId="74492083" w:rsidR="0031761B" w:rsidRDefault="0031761B" w:rsidP="0031761B">
      <w:pPr>
        <w:pStyle w:val="BodyText"/>
      </w:pPr>
      <w:r w:rsidRPr="0031761B">
        <w:t xml:space="preserve">In </w:t>
      </w:r>
      <w:r w:rsidR="00A954BD">
        <w:t>the next</w:t>
      </w:r>
      <w:r w:rsidRPr="0031761B">
        <w:t xml:space="preserve"> step the 90 % confidence interval ranges were derived for each percentile </w:t>
      </w:r>
      <w:r>
        <w:t xml:space="preserve">of </w:t>
      </w:r>
      <w:r w:rsidRPr="0031761B">
        <w:t xml:space="preserve">the maximum drawdown prediction based on the results shown in </w:t>
      </w:r>
      <w:r w:rsidRPr="0031761B">
        <w:fldChar w:fldCharType="begin"/>
      </w:r>
      <w:r w:rsidRPr="0031761B">
        <w:instrText xml:space="preserve"> REF _Ref478489229 \h </w:instrText>
      </w:r>
      <w:r>
        <w:instrText xml:space="preserve"> \* MERGEFORMAT </w:instrText>
      </w:r>
      <w:r w:rsidRPr="0031761B">
        <w:fldChar w:fldCharType="separate"/>
      </w:r>
      <w:r w:rsidR="000B6FA5" w:rsidRPr="00B0618E">
        <w:t xml:space="preserve">Figure </w:t>
      </w:r>
      <w:r w:rsidR="000B6FA5">
        <w:t>7</w:t>
      </w:r>
      <w:r w:rsidR="000B6FA5">
        <w:noBreakHyphen/>
        <w:t>1</w:t>
      </w:r>
      <w:r w:rsidRPr="0031761B">
        <w:fldChar w:fldCharType="end"/>
      </w:r>
      <w:r w:rsidRPr="0031761B">
        <w:t xml:space="preserve">b and </w:t>
      </w:r>
      <w:r w:rsidRPr="0031761B">
        <w:fldChar w:fldCharType="begin"/>
      </w:r>
      <w:r w:rsidRPr="0031761B">
        <w:instrText xml:space="preserve"> REF _Ref478489247 \h </w:instrText>
      </w:r>
      <w:r>
        <w:instrText xml:space="preserve"> \* MERGEFORMAT </w:instrText>
      </w:r>
      <w:r w:rsidRPr="0031761B">
        <w:fldChar w:fldCharType="separate"/>
      </w:r>
      <w:r w:rsidR="000B6FA5" w:rsidRPr="00B0618E">
        <w:t xml:space="preserve">Figure </w:t>
      </w:r>
      <w:r w:rsidR="000B6FA5">
        <w:t>7</w:t>
      </w:r>
      <w:r w:rsidR="000B6FA5">
        <w:noBreakHyphen/>
        <w:t>2</w:t>
      </w:r>
      <w:r w:rsidRPr="0031761B">
        <w:fldChar w:fldCharType="end"/>
      </w:r>
      <w:r w:rsidRPr="0031761B">
        <w:t>b</w:t>
      </w:r>
      <w:r>
        <w:t>.</w:t>
      </w:r>
      <w:r w:rsidRPr="0031761B">
        <w:t xml:space="preserve"> </w:t>
      </w:r>
      <w:r>
        <w:t>The 90% confidence interval</w:t>
      </w:r>
      <w:r w:rsidR="00F07B63">
        <w:t>s</w:t>
      </w:r>
      <w:r>
        <w:t xml:space="preserve"> w</w:t>
      </w:r>
      <w:r w:rsidR="00F07B63">
        <w:t>ere</w:t>
      </w:r>
      <w:r>
        <w:t xml:space="preserve"> </w:t>
      </w:r>
      <w:r w:rsidR="00F07B63">
        <w:t xml:space="preserve">derived </w:t>
      </w:r>
      <w:r>
        <w:t>for increasing sample size from 50, 100, 200, and 300 (</w:t>
      </w:r>
      <w:r w:rsidR="00F07B63">
        <w:fldChar w:fldCharType="begin"/>
      </w:r>
      <w:r w:rsidR="00F07B63">
        <w:instrText xml:space="preserve"> REF _Ref479577279 \h </w:instrText>
      </w:r>
      <w:r w:rsidR="00F07B63">
        <w:fldChar w:fldCharType="separate"/>
      </w:r>
      <w:r w:rsidR="000B6FA5">
        <w:t xml:space="preserve">Table </w:t>
      </w:r>
      <w:r w:rsidR="000B6FA5">
        <w:rPr>
          <w:noProof/>
        </w:rPr>
        <w:t>7</w:t>
      </w:r>
      <w:r w:rsidR="000B6FA5">
        <w:noBreakHyphen/>
      </w:r>
      <w:r w:rsidR="000B6FA5">
        <w:rPr>
          <w:noProof/>
        </w:rPr>
        <w:t>2</w:t>
      </w:r>
      <w:r w:rsidR="00F07B63">
        <w:fldChar w:fldCharType="end"/>
      </w:r>
      <w:r>
        <w:t xml:space="preserve">). </w:t>
      </w:r>
      <w:r w:rsidR="00F07B63">
        <w:t xml:space="preserve">Because the distribution of the percentiles was not necessarily normal, the 90% confidence intervals were derived from the cumulative distribution function of calculated percentiles (i.e. based on the values shown in </w:t>
      </w:r>
      <w:r w:rsidR="00F07B63" w:rsidRPr="0031761B">
        <w:fldChar w:fldCharType="begin"/>
      </w:r>
      <w:r w:rsidR="00F07B63" w:rsidRPr="0031761B">
        <w:instrText xml:space="preserve"> REF _Ref478489229 \h </w:instrText>
      </w:r>
      <w:r w:rsidR="00F07B63">
        <w:instrText xml:space="preserve"> \* MERGEFORMAT </w:instrText>
      </w:r>
      <w:r w:rsidR="00F07B63" w:rsidRPr="0031761B">
        <w:fldChar w:fldCharType="separate"/>
      </w:r>
      <w:r w:rsidR="000B6FA5" w:rsidRPr="00B0618E">
        <w:t xml:space="preserve">Figure </w:t>
      </w:r>
      <w:r w:rsidR="000B6FA5">
        <w:t>7</w:t>
      </w:r>
      <w:r w:rsidR="000B6FA5">
        <w:noBreakHyphen/>
        <w:t>1</w:t>
      </w:r>
      <w:r w:rsidR="00F07B63" w:rsidRPr="0031761B">
        <w:fldChar w:fldCharType="end"/>
      </w:r>
      <w:r w:rsidR="00F07B63" w:rsidRPr="0031761B">
        <w:t xml:space="preserve">b and </w:t>
      </w:r>
      <w:r w:rsidR="00F07B63" w:rsidRPr="0031761B">
        <w:fldChar w:fldCharType="begin"/>
      </w:r>
      <w:r w:rsidR="00F07B63" w:rsidRPr="0031761B">
        <w:instrText xml:space="preserve"> REF _Ref478489247 \h </w:instrText>
      </w:r>
      <w:r w:rsidR="00F07B63">
        <w:instrText xml:space="preserve"> \* MERGEFORMAT </w:instrText>
      </w:r>
      <w:r w:rsidR="00F07B63" w:rsidRPr="0031761B">
        <w:fldChar w:fldCharType="separate"/>
      </w:r>
      <w:r w:rsidR="000B6FA5" w:rsidRPr="00B0618E">
        <w:t xml:space="preserve">Figure </w:t>
      </w:r>
      <w:r w:rsidR="000B6FA5">
        <w:t>7</w:t>
      </w:r>
      <w:r w:rsidR="000B6FA5">
        <w:noBreakHyphen/>
        <w:t>2</w:t>
      </w:r>
      <w:r w:rsidR="00F07B63" w:rsidRPr="0031761B">
        <w:fldChar w:fldCharType="end"/>
      </w:r>
      <w:r w:rsidR="00F07B63" w:rsidRPr="0031761B">
        <w:t>b</w:t>
      </w:r>
      <w:r w:rsidR="00F07B63">
        <w:t xml:space="preserve">), leaving 5% in each of the tails of the distribution. As is clear from </w:t>
      </w:r>
      <w:r w:rsidR="00F07B63">
        <w:fldChar w:fldCharType="begin"/>
      </w:r>
      <w:r w:rsidR="00F07B63">
        <w:instrText xml:space="preserve"> REF _Ref479577279 \h </w:instrText>
      </w:r>
      <w:r w:rsidR="00F07B63">
        <w:fldChar w:fldCharType="separate"/>
      </w:r>
      <w:r w:rsidR="000B6FA5">
        <w:t xml:space="preserve">Table </w:t>
      </w:r>
      <w:r w:rsidR="000B6FA5">
        <w:rPr>
          <w:noProof/>
        </w:rPr>
        <w:t>7</w:t>
      </w:r>
      <w:r w:rsidR="000B6FA5">
        <w:noBreakHyphen/>
      </w:r>
      <w:r w:rsidR="000B6FA5">
        <w:rPr>
          <w:noProof/>
        </w:rPr>
        <w:t>2</w:t>
      </w:r>
      <w:r w:rsidR="00F07B63">
        <w:fldChar w:fldCharType="end"/>
      </w:r>
      <w:r w:rsidR="00F07B63">
        <w:t>, the 90% confidence interval becomes smaller and nearly constant as the sample size increases</w:t>
      </w:r>
      <w:r w:rsidR="00AA0A14">
        <w:t xml:space="preserve"> (</w:t>
      </w:r>
      <w:r w:rsidR="00AA0A14">
        <w:fldChar w:fldCharType="begin"/>
      </w:r>
      <w:r w:rsidR="00AA0A14">
        <w:instrText xml:space="preserve"> REF _Ref479578077 \h </w:instrText>
      </w:r>
      <w:r w:rsidR="00AA0A14">
        <w:fldChar w:fldCharType="separate"/>
      </w:r>
      <w:r w:rsidR="000B6FA5">
        <w:t xml:space="preserve">Figure </w:t>
      </w:r>
      <w:r w:rsidR="000B6FA5">
        <w:rPr>
          <w:noProof/>
        </w:rPr>
        <w:t>7</w:t>
      </w:r>
      <w:r w:rsidR="000B6FA5">
        <w:noBreakHyphen/>
      </w:r>
      <w:r w:rsidR="000B6FA5">
        <w:rPr>
          <w:noProof/>
        </w:rPr>
        <w:t>3</w:t>
      </w:r>
      <w:r w:rsidR="00AA0A14">
        <w:fldChar w:fldCharType="end"/>
      </w:r>
      <w:r w:rsidR="00AA0A14">
        <w:t>)</w:t>
      </w:r>
      <w:r w:rsidR="00F07B63">
        <w:t>.</w:t>
      </w:r>
      <w:r w:rsidR="00AA0A14">
        <w:t xml:space="preserve"> On the basis of bootstrapping it is thus demonstrated that having generated 300 data sets followed by 300 model runs is sufficient to provide robust estimators of summary statistics of groundwater impact metrics (here the maximum drawdown). Further increasing the sample size would have decreased the 90% confidence interval marginally compared to the gains obtained by increasing the sample size from 50 to 300.</w:t>
      </w:r>
    </w:p>
    <w:p w14:paraId="62B34BEE" w14:textId="2A2F7955" w:rsidR="0005011C" w:rsidRPr="00B0618E" w:rsidRDefault="00D650E2" w:rsidP="0005011C">
      <w:pPr>
        <w:pStyle w:val="Caption"/>
        <w:rPr>
          <w:color w:val="1F497D"/>
        </w:rPr>
      </w:pPr>
      <w:bookmarkStart w:id="222" w:name="_Ref479577279"/>
      <w:bookmarkStart w:id="223" w:name="_Toc503253898"/>
      <w:r>
        <w:t xml:space="preserve">Table </w:t>
      </w:r>
      <w:r w:rsidR="00A2085C">
        <w:fldChar w:fldCharType="begin"/>
      </w:r>
      <w:r w:rsidR="00A2085C">
        <w:instrText xml:space="preserve"> STYLEREF 1 \s </w:instrText>
      </w:r>
      <w:r w:rsidR="00A2085C">
        <w:fldChar w:fldCharType="separate"/>
      </w:r>
      <w:r w:rsidR="000B6FA5">
        <w:rPr>
          <w:noProof/>
        </w:rPr>
        <w:t>7</w:t>
      </w:r>
      <w:r w:rsidR="00A2085C">
        <w:rPr>
          <w:noProof/>
        </w:rPr>
        <w:fldChar w:fldCharType="end"/>
      </w:r>
      <w:r w:rsidR="00643BE4">
        <w:noBreakHyphen/>
      </w:r>
      <w:r w:rsidR="00A2085C">
        <w:fldChar w:fldCharType="begin"/>
      </w:r>
      <w:r w:rsidR="00A2085C">
        <w:instrText xml:space="preserve"> SEQ Table \* </w:instrText>
      </w:r>
      <w:r w:rsidR="00A2085C">
        <w:instrText xml:space="preserve">ARABIC \s 1 </w:instrText>
      </w:r>
      <w:r w:rsidR="00A2085C">
        <w:fldChar w:fldCharType="separate"/>
      </w:r>
      <w:r w:rsidR="000B6FA5">
        <w:rPr>
          <w:noProof/>
        </w:rPr>
        <w:t>2</w:t>
      </w:r>
      <w:r w:rsidR="00A2085C">
        <w:rPr>
          <w:noProof/>
        </w:rPr>
        <w:fldChar w:fldCharType="end"/>
      </w:r>
      <w:bookmarkEnd w:id="222"/>
      <w:r>
        <w:t xml:space="preserve"> 90% confidence interval</w:t>
      </w:r>
      <w:r w:rsidR="00AB1516">
        <w:t>s</w:t>
      </w:r>
      <w:r>
        <w:t xml:space="preserve"> derived for summary statistics p50, p75, and p90</w:t>
      </w:r>
      <w:r w:rsidR="0005011C" w:rsidRPr="00B0618E">
        <w:t>.</w:t>
      </w:r>
      <w:bookmarkEnd w:id="223"/>
    </w:p>
    <w:tbl>
      <w:tblPr>
        <w:tblStyle w:val="TableCSIRO"/>
        <w:tblW w:w="5000" w:type="pct"/>
        <w:tblInd w:w="0" w:type="dxa"/>
        <w:tblLook w:val="04A0" w:firstRow="1" w:lastRow="0" w:firstColumn="1" w:lastColumn="0" w:noHBand="0" w:noVBand="1"/>
        <w:tblCaption w:val="Table 7-2"/>
        <w:tblDescription w:val="Table of 90 percent confidence interval summary statistics"/>
      </w:tblPr>
      <w:tblGrid>
        <w:gridCol w:w="2409"/>
        <w:gridCol w:w="2409"/>
        <w:gridCol w:w="2410"/>
        <w:gridCol w:w="2410"/>
      </w:tblGrid>
      <w:tr w:rsidR="0005011C" w:rsidRPr="00B0618E" w14:paraId="0B2A8078" w14:textId="77777777" w:rsidTr="002819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hideMark/>
          </w:tcPr>
          <w:p w14:paraId="1374E6D2" w14:textId="65109787" w:rsidR="0005011C" w:rsidRPr="00B0618E" w:rsidRDefault="0005011C">
            <w:pPr>
              <w:pStyle w:val="TableText"/>
              <w:rPr>
                <w:color w:val="FFFFFF" w:themeColor="background1"/>
              </w:rPr>
            </w:pPr>
            <w:r>
              <w:rPr>
                <w:color w:val="FFFFFF" w:themeColor="background1"/>
              </w:rPr>
              <w:t>Sample size</w:t>
            </w:r>
          </w:p>
        </w:tc>
        <w:tc>
          <w:tcPr>
            <w:tcW w:w="1250" w:type="pct"/>
            <w:hideMark/>
          </w:tcPr>
          <w:p w14:paraId="06C7B559" w14:textId="1ECE6AEB" w:rsidR="0005011C" w:rsidRPr="00B0618E" w:rsidRDefault="00AB1516" w:rsidP="002819F9">
            <w:pPr>
              <w:pStyle w:val="TableText"/>
              <w:ind w:right="387"/>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p50</w:t>
            </w:r>
          </w:p>
        </w:tc>
        <w:tc>
          <w:tcPr>
            <w:tcW w:w="1250" w:type="pct"/>
            <w:hideMark/>
          </w:tcPr>
          <w:p w14:paraId="3684CD82" w14:textId="6FE88B0A" w:rsidR="0005011C" w:rsidRPr="00B0618E" w:rsidRDefault="00AB1516" w:rsidP="002819F9">
            <w:pPr>
              <w:pStyle w:val="TableText"/>
              <w:ind w:right="291"/>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p75</w:t>
            </w:r>
          </w:p>
        </w:tc>
        <w:tc>
          <w:tcPr>
            <w:tcW w:w="1250" w:type="pct"/>
          </w:tcPr>
          <w:p w14:paraId="1FCCB438" w14:textId="472AFE63" w:rsidR="0005011C" w:rsidRPr="00B0618E" w:rsidRDefault="00AB1516" w:rsidP="002819F9">
            <w:pPr>
              <w:pStyle w:val="TableText"/>
              <w:ind w:right="55"/>
              <w:cnfStyle w:val="100000000000" w:firstRow="1" w:lastRow="0" w:firstColumn="0" w:lastColumn="0" w:oddVBand="0" w:evenVBand="0" w:oddHBand="0" w:evenHBand="0" w:firstRowFirstColumn="0" w:firstRowLastColumn="0" w:lastRowFirstColumn="0" w:lastRowLastColumn="0"/>
              <w:rPr>
                <w:color w:val="FFFFFF" w:themeColor="background1"/>
              </w:rPr>
            </w:pPr>
            <w:r>
              <w:rPr>
                <w:color w:val="FFFFFF" w:themeColor="background1"/>
              </w:rPr>
              <w:t>p90</w:t>
            </w:r>
          </w:p>
        </w:tc>
      </w:tr>
      <w:tr w:rsidR="0005011C" w:rsidRPr="00AB1516" w14:paraId="58656CA8" w14:textId="77777777" w:rsidTr="002819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hideMark/>
          </w:tcPr>
          <w:p w14:paraId="788F30F1" w14:textId="5EB9FD9D" w:rsidR="0005011C" w:rsidRPr="00AB1516" w:rsidRDefault="0005011C">
            <w:pPr>
              <w:pStyle w:val="TableText"/>
              <w:rPr>
                <w:b w:val="0"/>
              </w:rPr>
            </w:pPr>
            <w:r w:rsidRPr="00AB1516">
              <w:t>50</w:t>
            </w:r>
          </w:p>
        </w:tc>
        <w:tc>
          <w:tcPr>
            <w:tcW w:w="1250" w:type="pct"/>
            <w:vAlign w:val="bottom"/>
          </w:tcPr>
          <w:p w14:paraId="285573FB" w14:textId="7A3EC342" w:rsidR="0005011C" w:rsidRPr="00AB1516" w:rsidRDefault="0005011C" w:rsidP="002819F9">
            <w:pPr>
              <w:pStyle w:val="TableText"/>
              <w:cnfStyle w:val="000000100000" w:firstRow="0" w:lastRow="0" w:firstColumn="0" w:lastColumn="0" w:oddVBand="0" w:evenVBand="0" w:oddHBand="1" w:evenHBand="0" w:firstRowFirstColumn="0" w:firstRowLastColumn="0" w:lastRowFirstColumn="0" w:lastRowLastColumn="0"/>
            </w:pPr>
            <w:r w:rsidRPr="002819F9">
              <w:t>1.570</w:t>
            </w:r>
          </w:p>
        </w:tc>
        <w:tc>
          <w:tcPr>
            <w:tcW w:w="1250" w:type="pct"/>
          </w:tcPr>
          <w:p w14:paraId="714F2358" w14:textId="0FE3B405" w:rsidR="0005011C" w:rsidRPr="00AB1516" w:rsidRDefault="0005011C" w:rsidP="002819F9">
            <w:pPr>
              <w:pStyle w:val="TableText"/>
              <w:cnfStyle w:val="000000100000" w:firstRow="0" w:lastRow="0" w:firstColumn="0" w:lastColumn="0" w:oddVBand="0" w:evenVBand="0" w:oddHBand="1" w:evenHBand="0" w:firstRowFirstColumn="0" w:firstRowLastColumn="0" w:lastRowFirstColumn="0" w:lastRowLastColumn="0"/>
            </w:pPr>
            <w:r w:rsidRPr="002819F9">
              <w:t>3.058</w:t>
            </w:r>
          </w:p>
        </w:tc>
        <w:tc>
          <w:tcPr>
            <w:tcW w:w="1250" w:type="pct"/>
          </w:tcPr>
          <w:p w14:paraId="040BEBE5" w14:textId="4634B4A3" w:rsidR="0005011C" w:rsidRPr="00AB1516" w:rsidRDefault="0005011C" w:rsidP="002819F9">
            <w:pPr>
              <w:pStyle w:val="TableText"/>
              <w:cnfStyle w:val="000000100000" w:firstRow="0" w:lastRow="0" w:firstColumn="0" w:lastColumn="0" w:oddVBand="0" w:evenVBand="0" w:oddHBand="1" w:evenHBand="0" w:firstRowFirstColumn="0" w:firstRowLastColumn="0" w:lastRowFirstColumn="0" w:lastRowLastColumn="0"/>
            </w:pPr>
            <w:r w:rsidRPr="002819F9">
              <w:t>3.123</w:t>
            </w:r>
          </w:p>
        </w:tc>
      </w:tr>
      <w:tr w:rsidR="0005011C" w:rsidRPr="00AB1516" w14:paraId="41942B29" w14:textId="77777777" w:rsidTr="002819F9">
        <w:tc>
          <w:tcPr>
            <w:cnfStyle w:val="001000000000" w:firstRow="0" w:lastRow="0" w:firstColumn="1" w:lastColumn="0" w:oddVBand="0" w:evenVBand="0" w:oddHBand="0" w:evenHBand="0" w:firstRowFirstColumn="0" w:firstRowLastColumn="0" w:lastRowFirstColumn="0" w:lastRowLastColumn="0"/>
            <w:tcW w:w="1250" w:type="pct"/>
            <w:hideMark/>
          </w:tcPr>
          <w:p w14:paraId="46065946" w14:textId="20435617" w:rsidR="0005011C" w:rsidRPr="00AB1516" w:rsidRDefault="0005011C">
            <w:pPr>
              <w:pStyle w:val="TableText"/>
              <w:rPr>
                <w:b w:val="0"/>
              </w:rPr>
            </w:pPr>
            <w:r w:rsidRPr="00AB1516">
              <w:t>100</w:t>
            </w:r>
          </w:p>
        </w:tc>
        <w:tc>
          <w:tcPr>
            <w:tcW w:w="1250" w:type="pct"/>
            <w:vAlign w:val="bottom"/>
          </w:tcPr>
          <w:p w14:paraId="7C9BB003" w14:textId="54D5AAD8" w:rsidR="0005011C" w:rsidRPr="00AB1516" w:rsidRDefault="0005011C" w:rsidP="002819F9">
            <w:pPr>
              <w:pStyle w:val="TableText"/>
              <w:cnfStyle w:val="000000000000" w:firstRow="0" w:lastRow="0" w:firstColumn="0" w:lastColumn="0" w:oddVBand="0" w:evenVBand="0" w:oddHBand="0" w:evenHBand="0" w:firstRowFirstColumn="0" w:firstRowLastColumn="0" w:lastRowFirstColumn="0" w:lastRowLastColumn="0"/>
            </w:pPr>
            <w:r w:rsidRPr="002819F9">
              <w:t>1.036</w:t>
            </w:r>
          </w:p>
        </w:tc>
        <w:tc>
          <w:tcPr>
            <w:tcW w:w="1250" w:type="pct"/>
          </w:tcPr>
          <w:p w14:paraId="7BBC5E45" w14:textId="2D7DE814" w:rsidR="0005011C" w:rsidRPr="00AB1516" w:rsidRDefault="0005011C" w:rsidP="002819F9">
            <w:pPr>
              <w:pStyle w:val="TableText"/>
              <w:cnfStyle w:val="000000000000" w:firstRow="0" w:lastRow="0" w:firstColumn="0" w:lastColumn="0" w:oddVBand="0" w:evenVBand="0" w:oddHBand="0" w:evenHBand="0" w:firstRowFirstColumn="0" w:firstRowLastColumn="0" w:lastRowFirstColumn="0" w:lastRowLastColumn="0"/>
            </w:pPr>
            <w:r w:rsidRPr="002819F9">
              <w:t>2.575</w:t>
            </w:r>
          </w:p>
        </w:tc>
        <w:tc>
          <w:tcPr>
            <w:tcW w:w="1250" w:type="pct"/>
          </w:tcPr>
          <w:p w14:paraId="04796E96" w14:textId="6F02A98E" w:rsidR="0005011C" w:rsidRPr="00AB1516" w:rsidRDefault="0005011C" w:rsidP="002819F9">
            <w:pPr>
              <w:pStyle w:val="TableText"/>
              <w:cnfStyle w:val="000000000000" w:firstRow="0" w:lastRow="0" w:firstColumn="0" w:lastColumn="0" w:oddVBand="0" w:evenVBand="0" w:oddHBand="0" w:evenHBand="0" w:firstRowFirstColumn="0" w:firstRowLastColumn="0" w:lastRowFirstColumn="0" w:lastRowLastColumn="0"/>
            </w:pPr>
            <w:r w:rsidRPr="002819F9">
              <w:t>2.042</w:t>
            </w:r>
          </w:p>
        </w:tc>
      </w:tr>
      <w:tr w:rsidR="0005011C" w:rsidRPr="00AB1516" w14:paraId="5D1AE282" w14:textId="77777777" w:rsidTr="002819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hideMark/>
          </w:tcPr>
          <w:p w14:paraId="6C48A659" w14:textId="524A72F7" w:rsidR="0005011C" w:rsidRPr="00AB1516" w:rsidRDefault="0005011C">
            <w:pPr>
              <w:pStyle w:val="TableText"/>
              <w:rPr>
                <w:b w:val="0"/>
              </w:rPr>
            </w:pPr>
            <w:r w:rsidRPr="00AB1516">
              <w:t>200</w:t>
            </w:r>
          </w:p>
        </w:tc>
        <w:tc>
          <w:tcPr>
            <w:tcW w:w="1250" w:type="pct"/>
            <w:vAlign w:val="bottom"/>
          </w:tcPr>
          <w:p w14:paraId="3A229819" w14:textId="240801A7" w:rsidR="0005011C" w:rsidRPr="00AB1516" w:rsidRDefault="0005011C" w:rsidP="002819F9">
            <w:pPr>
              <w:pStyle w:val="TableText"/>
              <w:cnfStyle w:val="000000100000" w:firstRow="0" w:lastRow="0" w:firstColumn="0" w:lastColumn="0" w:oddVBand="0" w:evenVBand="0" w:oddHBand="1" w:evenHBand="0" w:firstRowFirstColumn="0" w:firstRowLastColumn="0" w:lastRowFirstColumn="0" w:lastRowLastColumn="0"/>
            </w:pPr>
            <w:r w:rsidRPr="002819F9">
              <w:t>0.615</w:t>
            </w:r>
          </w:p>
        </w:tc>
        <w:tc>
          <w:tcPr>
            <w:tcW w:w="1250" w:type="pct"/>
          </w:tcPr>
          <w:p w14:paraId="5C31C2FC" w14:textId="523D0CF3" w:rsidR="0005011C" w:rsidRPr="00AB1516" w:rsidRDefault="0005011C" w:rsidP="002819F9">
            <w:pPr>
              <w:pStyle w:val="TableText"/>
              <w:cnfStyle w:val="000000100000" w:firstRow="0" w:lastRow="0" w:firstColumn="0" w:lastColumn="0" w:oddVBand="0" w:evenVBand="0" w:oddHBand="1" w:evenHBand="0" w:firstRowFirstColumn="0" w:firstRowLastColumn="0" w:lastRowFirstColumn="0" w:lastRowLastColumn="0"/>
            </w:pPr>
            <w:r w:rsidRPr="002819F9">
              <w:t>1.980</w:t>
            </w:r>
          </w:p>
        </w:tc>
        <w:tc>
          <w:tcPr>
            <w:tcW w:w="1250" w:type="pct"/>
          </w:tcPr>
          <w:p w14:paraId="7C121775" w14:textId="542F8C58" w:rsidR="0005011C" w:rsidRPr="00AB1516" w:rsidRDefault="0005011C" w:rsidP="002819F9">
            <w:pPr>
              <w:pStyle w:val="TableText"/>
              <w:cnfStyle w:val="000000100000" w:firstRow="0" w:lastRow="0" w:firstColumn="0" w:lastColumn="0" w:oddVBand="0" w:evenVBand="0" w:oddHBand="1" w:evenHBand="0" w:firstRowFirstColumn="0" w:firstRowLastColumn="0" w:lastRowFirstColumn="0" w:lastRowLastColumn="0"/>
            </w:pPr>
            <w:r w:rsidRPr="002819F9">
              <w:t>1.577</w:t>
            </w:r>
          </w:p>
        </w:tc>
      </w:tr>
      <w:tr w:rsidR="0005011C" w:rsidRPr="00AB1516" w14:paraId="65492C37" w14:textId="77777777" w:rsidTr="002819F9">
        <w:tc>
          <w:tcPr>
            <w:cnfStyle w:val="001000000000" w:firstRow="0" w:lastRow="0" w:firstColumn="1" w:lastColumn="0" w:oddVBand="0" w:evenVBand="0" w:oddHBand="0" w:evenHBand="0" w:firstRowFirstColumn="0" w:firstRowLastColumn="0" w:lastRowFirstColumn="0" w:lastRowLastColumn="0"/>
            <w:tcW w:w="1250" w:type="pct"/>
            <w:hideMark/>
          </w:tcPr>
          <w:p w14:paraId="6B706A91" w14:textId="0D2959EE" w:rsidR="0005011C" w:rsidRPr="00AB1516" w:rsidRDefault="0005011C">
            <w:pPr>
              <w:pStyle w:val="TableText"/>
              <w:rPr>
                <w:b w:val="0"/>
              </w:rPr>
            </w:pPr>
            <w:r w:rsidRPr="00AB1516">
              <w:t>300</w:t>
            </w:r>
          </w:p>
        </w:tc>
        <w:tc>
          <w:tcPr>
            <w:tcW w:w="1250" w:type="pct"/>
            <w:vAlign w:val="bottom"/>
          </w:tcPr>
          <w:p w14:paraId="52B5389B" w14:textId="62342DB2" w:rsidR="0005011C" w:rsidRPr="00AB1516" w:rsidRDefault="0005011C" w:rsidP="002819F9">
            <w:pPr>
              <w:pStyle w:val="TableText"/>
              <w:cnfStyle w:val="000000000000" w:firstRow="0" w:lastRow="0" w:firstColumn="0" w:lastColumn="0" w:oddVBand="0" w:evenVBand="0" w:oddHBand="0" w:evenHBand="0" w:firstRowFirstColumn="0" w:firstRowLastColumn="0" w:lastRowFirstColumn="0" w:lastRowLastColumn="0"/>
            </w:pPr>
            <w:r w:rsidRPr="002819F9">
              <w:t>0.490</w:t>
            </w:r>
          </w:p>
        </w:tc>
        <w:tc>
          <w:tcPr>
            <w:tcW w:w="1250" w:type="pct"/>
            <w:vAlign w:val="bottom"/>
          </w:tcPr>
          <w:p w14:paraId="0D497CEF" w14:textId="0B269D46" w:rsidR="0005011C" w:rsidRPr="00AB1516" w:rsidRDefault="0005011C" w:rsidP="002819F9">
            <w:pPr>
              <w:pStyle w:val="TableText"/>
              <w:cnfStyle w:val="000000000000" w:firstRow="0" w:lastRow="0" w:firstColumn="0" w:lastColumn="0" w:oddVBand="0" w:evenVBand="0" w:oddHBand="0" w:evenHBand="0" w:firstRowFirstColumn="0" w:firstRowLastColumn="0" w:lastRowFirstColumn="0" w:lastRowLastColumn="0"/>
            </w:pPr>
            <w:r w:rsidRPr="002819F9">
              <w:t>1.802</w:t>
            </w:r>
          </w:p>
        </w:tc>
        <w:tc>
          <w:tcPr>
            <w:tcW w:w="1250" w:type="pct"/>
          </w:tcPr>
          <w:p w14:paraId="574AA282" w14:textId="3F27EB34" w:rsidR="0005011C" w:rsidRPr="00AB1516" w:rsidRDefault="0005011C" w:rsidP="002819F9">
            <w:pPr>
              <w:pStyle w:val="TableText"/>
              <w:cnfStyle w:val="000000000000" w:firstRow="0" w:lastRow="0" w:firstColumn="0" w:lastColumn="0" w:oddVBand="0" w:evenVBand="0" w:oddHBand="0" w:evenHBand="0" w:firstRowFirstColumn="0" w:firstRowLastColumn="0" w:lastRowFirstColumn="0" w:lastRowLastColumn="0"/>
            </w:pPr>
            <w:r w:rsidRPr="002819F9">
              <w:t>1.400</w:t>
            </w:r>
          </w:p>
        </w:tc>
      </w:tr>
    </w:tbl>
    <w:p w14:paraId="433235C3" w14:textId="77777777" w:rsidR="0005011C" w:rsidRPr="00B0618E" w:rsidRDefault="0005011C" w:rsidP="0005011C">
      <w:pPr>
        <w:spacing w:after="0"/>
      </w:pPr>
    </w:p>
    <w:p w14:paraId="24A12975" w14:textId="77777777" w:rsidR="00F07B63" w:rsidRDefault="00F07B63" w:rsidP="009C75E5">
      <w:pPr>
        <w:pStyle w:val="BodyText"/>
      </w:pPr>
    </w:p>
    <w:p w14:paraId="55C04325" w14:textId="0E359E4D" w:rsidR="00F07B63" w:rsidRDefault="00F07B63" w:rsidP="00F07B63">
      <w:pPr>
        <w:pStyle w:val="BodyText"/>
        <w:jc w:val="center"/>
      </w:pPr>
      <w:r w:rsidRPr="00F07B63">
        <w:rPr>
          <w:noProof/>
        </w:rPr>
        <w:drawing>
          <wp:inline distT="0" distB="0" distL="0" distR="0" wp14:anchorId="6D3E5B52" wp14:editId="05A05102">
            <wp:extent cx="3552093" cy="3563396"/>
            <wp:effectExtent l="0" t="0" r="0" b="0"/>
            <wp:docPr id="61" name="Picture 61" descr="Chart of the effects of sample size on estimated percentiles of drawdown" title="Fig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75598" cy="3586975"/>
                    </a:xfrm>
                    <a:prstGeom prst="rect">
                      <a:avLst/>
                    </a:prstGeom>
                    <a:noFill/>
                    <a:ln>
                      <a:noFill/>
                    </a:ln>
                  </pic:spPr>
                </pic:pic>
              </a:graphicData>
            </a:graphic>
          </wp:inline>
        </w:drawing>
      </w:r>
    </w:p>
    <w:p w14:paraId="2D1AD48B" w14:textId="39FEBD40" w:rsidR="00F07B63" w:rsidRDefault="00F07B63" w:rsidP="00F07B63">
      <w:pPr>
        <w:pStyle w:val="Caption"/>
      </w:pPr>
      <w:bookmarkStart w:id="224" w:name="_Ref479578077"/>
      <w:bookmarkStart w:id="225" w:name="_Toc482034956"/>
      <w:r>
        <w:t xml:space="preserve">Figure </w:t>
      </w:r>
      <w:r w:rsidR="00A2085C">
        <w:fldChar w:fldCharType="begin"/>
      </w:r>
      <w:r w:rsidR="00A2085C">
        <w:instrText xml:space="preserve"> STYLEREF 1 \s </w:instrText>
      </w:r>
      <w:r w:rsidR="00A2085C">
        <w:fldChar w:fldCharType="separate"/>
      </w:r>
      <w:r w:rsidR="000B6FA5">
        <w:rPr>
          <w:noProof/>
        </w:rPr>
        <w:t>7</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3</w:t>
      </w:r>
      <w:r w:rsidR="00A2085C">
        <w:rPr>
          <w:noProof/>
        </w:rPr>
        <w:fldChar w:fldCharType="end"/>
      </w:r>
      <w:bookmarkEnd w:id="224"/>
      <w:r>
        <w:t xml:space="preserve"> Effect of sample size on robustness (</w:t>
      </w:r>
      <w:r w:rsidR="00AA0A14">
        <w:t>90 % confidence interval</w:t>
      </w:r>
      <w:r>
        <w:t>) of estimated percentiles of maximum drawdown.</w:t>
      </w:r>
      <w:bookmarkEnd w:id="225"/>
    </w:p>
    <w:p w14:paraId="6B15A8A2" w14:textId="77777777" w:rsidR="00497BCA" w:rsidRPr="00497BCA" w:rsidRDefault="00497BCA" w:rsidP="00497BCA">
      <w:pPr>
        <w:pStyle w:val="BodyText"/>
      </w:pPr>
    </w:p>
    <w:p w14:paraId="20B5CB96" w14:textId="635523DD" w:rsidR="00A954BD" w:rsidRDefault="00A954BD" w:rsidP="009C75E5">
      <w:pPr>
        <w:pStyle w:val="BodyText"/>
      </w:pPr>
      <w:r>
        <w:t xml:space="preserve">In a final step the bootstrapping </w:t>
      </w:r>
      <w:r w:rsidR="00497BCA">
        <w:t xml:space="preserve">analysis </w:t>
      </w:r>
      <w:r>
        <w:t xml:space="preserve">was repeated for both the homogenous and heterogeneous model using a sample size of 50 (to have a consistent sample size across both model approaches). As </w:t>
      </w:r>
      <w:r>
        <w:fldChar w:fldCharType="begin"/>
      </w:r>
      <w:r>
        <w:instrText xml:space="preserve"> REF _Ref479579988 \h </w:instrText>
      </w:r>
      <w:r>
        <w:fldChar w:fldCharType="separate"/>
      </w:r>
      <w:r w:rsidR="000B6FA5">
        <w:t xml:space="preserve">Figure </w:t>
      </w:r>
      <w:r w:rsidR="000B6FA5">
        <w:rPr>
          <w:noProof/>
        </w:rPr>
        <w:t>7</w:t>
      </w:r>
      <w:r w:rsidR="000B6FA5">
        <w:noBreakHyphen/>
      </w:r>
      <w:r w:rsidR="000B6FA5">
        <w:rPr>
          <w:noProof/>
        </w:rPr>
        <w:t>4</w:t>
      </w:r>
      <w:r>
        <w:fldChar w:fldCharType="end"/>
      </w:r>
      <w:r>
        <w:t xml:space="preserve"> shows, the percentiles for the groundwater impact metric maximum drawdown are much better defined </w:t>
      </w:r>
      <w:r w:rsidR="00497BCA">
        <w:t xml:space="preserve">(i.e. smaller data range) </w:t>
      </w:r>
      <w:r>
        <w:t xml:space="preserve">for the heterogeneous than for the homogeneous model. </w:t>
      </w:r>
    </w:p>
    <w:p w14:paraId="0C1814F5" w14:textId="60CE63C2" w:rsidR="00A954BD" w:rsidRDefault="00A954BD" w:rsidP="009C75E5">
      <w:pPr>
        <w:pStyle w:val="BodyText"/>
      </w:pPr>
      <w:r>
        <w:rPr>
          <w:noProof/>
        </w:rPr>
        <w:drawing>
          <wp:inline distT="0" distB="0" distL="0" distR="0" wp14:anchorId="68D5F991" wp14:editId="5AAF153C">
            <wp:extent cx="5758903" cy="2878537"/>
            <wp:effectExtent l="0" t="0" r="0" b="0"/>
            <wp:docPr id="73" name="Picture 73" descr="Chart Illustrating the bootstrapping approach to estimating model uncertainty" title="Fig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ootstrapping_params_preds_v10_both_random_060417_size50.png"/>
                    <pic:cNvPicPr/>
                  </pic:nvPicPr>
                  <pic:blipFill>
                    <a:blip r:embed="rId86">
                      <a:extLst>
                        <a:ext uri="{28A0092B-C50C-407E-A947-70E740481C1C}">
                          <a14:useLocalDpi xmlns:a14="http://schemas.microsoft.com/office/drawing/2010/main" val="0"/>
                        </a:ext>
                      </a:extLst>
                    </a:blip>
                    <a:stretch>
                      <a:fillRect/>
                    </a:stretch>
                  </pic:blipFill>
                  <pic:spPr>
                    <a:xfrm>
                      <a:off x="0" y="0"/>
                      <a:ext cx="5758903" cy="2878537"/>
                    </a:xfrm>
                    <a:prstGeom prst="rect">
                      <a:avLst/>
                    </a:prstGeom>
                  </pic:spPr>
                </pic:pic>
              </a:graphicData>
            </a:graphic>
          </wp:inline>
        </w:drawing>
      </w:r>
    </w:p>
    <w:p w14:paraId="12E8AD95" w14:textId="544DC1B5" w:rsidR="00A954BD" w:rsidRDefault="00A954BD" w:rsidP="00A954BD">
      <w:pPr>
        <w:pStyle w:val="Caption"/>
      </w:pPr>
      <w:bookmarkStart w:id="226" w:name="_Ref479579988"/>
      <w:bookmarkStart w:id="227" w:name="_Toc482034957"/>
      <w:r>
        <w:t xml:space="preserve">Figure </w:t>
      </w:r>
      <w:r w:rsidR="00A2085C">
        <w:fldChar w:fldCharType="begin"/>
      </w:r>
      <w:r w:rsidR="00A2085C">
        <w:instrText xml:space="preserve"> STYLEREF 1 \s </w:instrText>
      </w:r>
      <w:r w:rsidR="00A2085C">
        <w:fldChar w:fldCharType="separate"/>
      </w:r>
      <w:r w:rsidR="000B6FA5">
        <w:rPr>
          <w:noProof/>
        </w:rPr>
        <w:t>7</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4</w:t>
      </w:r>
      <w:r w:rsidR="00A2085C">
        <w:rPr>
          <w:noProof/>
        </w:rPr>
        <w:fldChar w:fldCharType="end"/>
      </w:r>
      <w:bookmarkEnd w:id="226"/>
      <w:r>
        <w:t xml:space="preserve"> </w:t>
      </w:r>
      <w:r w:rsidRPr="00B0618E">
        <w:t>Illustration of the bootstrapping approach to estimate model prediction uncertainty (</w:t>
      </w:r>
      <w:r>
        <w:t>maximum drawdown</w:t>
      </w:r>
      <w:r w:rsidRPr="00B0618E">
        <w:t xml:space="preserve">) based on a sample size of </w:t>
      </w:r>
      <w:r>
        <w:t>5</w:t>
      </w:r>
      <w:r w:rsidRPr="00B0618E">
        <w:t>0</w:t>
      </w:r>
      <w:r>
        <w:t xml:space="preserve"> for the homogeneous (a) and heterogeneous model (b)</w:t>
      </w:r>
      <w:r w:rsidRPr="00B0618E">
        <w:t>.</w:t>
      </w:r>
      <w:bookmarkEnd w:id="227"/>
      <w:r w:rsidRPr="00B0618E">
        <w:t xml:space="preserve">  </w:t>
      </w:r>
    </w:p>
    <w:p w14:paraId="7E86D08A" w14:textId="7E3441E1" w:rsidR="00497BCA" w:rsidRDefault="00EE1E45" w:rsidP="009C75E5">
      <w:pPr>
        <w:pStyle w:val="BodyText"/>
      </w:pPr>
      <w:r>
        <w:t xml:space="preserve">Whether or not a sample size of 50 heterogeneous </w:t>
      </w:r>
      <w:r w:rsidRPr="00EE1E45">
        <w:rPr>
          <w:i/>
        </w:rPr>
        <w:t>K</w:t>
      </w:r>
      <w:r w:rsidRPr="00EE1E45">
        <w:rPr>
          <w:vertAlign w:val="subscript"/>
        </w:rPr>
        <w:t>V</w:t>
      </w:r>
      <w:r>
        <w:t xml:space="preserve"> fields and subsequent 50 model runs was sufficient to obtain robust estimations of the four groundwater impact metrics is illustrated in </w:t>
      </w:r>
      <w:r>
        <w:fldChar w:fldCharType="begin"/>
      </w:r>
      <w:r>
        <w:instrText xml:space="preserve"> REF _Ref479580401 \h </w:instrText>
      </w:r>
      <w:r>
        <w:fldChar w:fldCharType="separate"/>
      </w:r>
      <w:r w:rsidR="000B6FA5">
        <w:t xml:space="preserve">Figure </w:t>
      </w:r>
      <w:r w:rsidR="000B6FA5">
        <w:rPr>
          <w:noProof/>
        </w:rPr>
        <w:t>7</w:t>
      </w:r>
      <w:r w:rsidR="000B6FA5">
        <w:noBreakHyphen/>
      </w:r>
      <w:r w:rsidR="000B6FA5">
        <w:rPr>
          <w:noProof/>
        </w:rPr>
        <w:t>5</w:t>
      </w:r>
      <w:r>
        <w:fldChar w:fldCharType="end"/>
      </w:r>
      <w:r>
        <w:t xml:space="preserve">. For all four impact metrics, all statistics (full data range, interquartile range, median) reach more or less constant values at a sample size of 50 indicating that a sample size of 50 was indeed sufficient. </w:t>
      </w:r>
    </w:p>
    <w:p w14:paraId="14FB4229" w14:textId="7454D48F" w:rsidR="00497BCA" w:rsidRDefault="00497BCA" w:rsidP="009C75E5">
      <w:pPr>
        <w:pStyle w:val="BodyText"/>
      </w:pPr>
      <w:r>
        <w:rPr>
          <w:noProof/>
        </w:rPr>
        <w:drawing>
          <wp:inline distT="0" distB="0" distL="0" distR="0" wp14:anchorId="756B7166" wp14:editId="17A6F7A3">
            <wp:extent cx="5747930" cy="1633122"/>
            <wp:effectExtent l="0" t="0" r="5715" b="5715"/>
            <wp:docPr id="109" name="Picture 109" descr="Box and whisker plots of " title="Fig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lot_bootstrap_outputs_v03_231116_predunc.png"/>
                    <pic:cNvPicPr/>
                  </pic:nvPicPr>
                  <pic:blipFill>
                    <a:blip r:embed="rId87">
                      <a:extLst>
                        <a:ext uri="{28A0092B-C50C-407E-A947-70E740481C1C}">
                          <a14:useLocalDpi xmlns:a14="http://schemas.microsoft.com/office/drawing/2010/main" val="0"/>
                        </a:ext>
                      </a:extLst>
                    </a:blip>
                    <a:stretch>
                      <a:fillRect/>
                    </a:stretch>
                  </pic:blipFill>
                  <pic:spPr>
                    <a:xfrm>
                      <a:off x="0" y="0"/>
                      <a:ext cx="5747930" cy="1633122"/>
                    </a:xfrm>
                    <a:prstGeom prst="rect">
                      <a:avLst/>
                    </a:prstGeom>
                  </pic:spPr>
                </pic:pic>
              </a:graphicData>
            </a:graphic>
          </wp:inline>
        </w:drawing>
      </w:r>
    </w:p>
    <w:p w14:paraId="67A481F0" w14:textId="35D05983" w:rsidR="00497BCA" w:rsidRDefault="00497BCA" w:rsidP="00497BCA">
      <w:pPr>
        <w:pStyle w:val="Caption"/>
      </w:pPr>
      <w:bookmarkStart w:id="228" w:name="_Ref479580401"/>
      <w:bookmarkStart w:id="229" w:name="_Toc482034958"/>
      <w:r>
        <w:t xml:space="preserve">Figure </w:t>
      </w:r>
      <w:r w:rsidR="00A2085C">
        <w:fldChar w:fldCharType="begin"/>
      </w:r>
      <w:r w:rsidR="00A2085C">
        <w:instrText xml:space="preserve"> STYLEREF 1 \s </w:instrText>
      </w:r>
      <w:r w:rsidR="00A2085C">
        <w:fldChar w:fldCharType="separate"/>
      </w:r>
      <w:r w:rsidR="000B6FA5">
        <w:rPr>
          <w:noProof/>
        </w:rPr>
        <w:t>7</w:t>
      </w:r>
      <w:r w:rsidR="00A2085C">
        <w:rPr>
          <w:noProof/>
        </w:rPr>
        <w:fldChar w:fldCharType="end"/>
      </w:r>
      <w:r w:rsidR="00CF4813">
        <w:noBreakHyphen/>
      </w:r>
      <w:r w:rsidR="00A2085C">
        <w:fldChar w:fldCharType="begin"/>
      </w:r>
      <w:r w:rsidR="00A2085C">
        <w:instrText xml:space="preserve"> SEQ Figure \* ARABIC \s 1 </w:instrText>
      </w:r>
      <w:r w:rsidR="00A2085C">
        <w:fldChar w:fldCharType="separate"/>
      </w:r>
      <w:r w:rsidR="000B6FA5">
        <w:rPr>
          <w:noProof/>
        </w:rPr>
        <w:t>5</w:t>
      </w:r>
      <w:r w:rsidR="00A2085C">
        <w:rPr>
          <w:noProof/>
        </w:rPr>
        <w:fldChar w:fldCharType="end"/>
      </w:r>
      <w:bookmarkEnd w:id="228"/>
      <w:r>
        <w:t xml:space="preserve"> </w:t>
      </w:r>
      <w:r w:rsidRPr="00B0618E">
        <w:t>Illustration of the bootstrapping approach to estimate</w:t>
      </w:r>
      <w:r>
        <w:t xml:space="preserve"> model prediction uncertainty across</w:t>
      </w:r>
      <w:r w:rsidR="00EE1E45">
        <w:t xml:space="preserve"> different sample sizes (heterogeneous model). Box plots show full data range, interquartile range (box) and median (red line).</w:t>
      </w:r>
      <w:bookmarkEnd w:id="229"/>
    </w:p>
    <w:p w14:paraId="55D62315" w14:textId="19296090" w:rsidR="009C75E5" w:rsidRPr="00B0618E" w:rsidRDefault="009C75E5" w:rsidP="009C75E5">
      <w:pPr>
        <w:pStyle w:val="BodyText"/>
      </w:pPr>
      <w:r w:rsidRPr="00B0618E">
        <w:t>The analysis also illustrates that in order to characterise the higher extremes of the distribution of model predictions, more effort needs to be expended in reliably characterising the right tail of the parameter distribution, i.e. the high values. Increasing the reliability of the left tail will have limited effect on the predictions. Having a right tail that is too wide or too narrow may result in a considerable over or under prediction respectively of maximum drawdown.</w:t>
      </w:r>
    </w:p>
    <w:p w14:paraId="7D4FE151" w14:textId="04A17487" w:rsidR="00363264" w:rsidRPr="00B0618E" w:rsidRDefault="00363264" w:rsidP="00363264">
      <w:pPr>
        <w:pStyle w:val="BodyText"/>
      </w:pPr>
      <w:r w:rsidRPr="00B0618E">
        <w:t xml:space="preserve">As such the bootstrap procedure outlined and applied above only tested the robustness of the summary statistics with regards to the sampling of a known log-triangular distribution. A possible next step in the data worth analysis would be to include the definition of the log-triangular parameter distribution in the bootstrap procedure (i.e. use actual data to define a distribution and its parameters). This can be achieved by taking random samples with replacement from the set of hydraulic property measurements; for the current study this would mean the second data set. Based on each random sample, a new log-triangular distribution would then be formulated which is subsequently sampled to run the groundwater flow model and generate the corresponding maximum drawdown. While the analysis presented in </w:t>
      </w:r>
      <w:r w:rsidRPr="00B0618E">
        <w:fldChar w:fldCharType="begin"/>
      </w:r>
      <w:r w:rsidRPr="00B0618E">
        <w:instrText xml:space="preserve"> REF _Ref478489229 \h </w:instrText>
      </w:r>
      <w:r w:rsidR="00B0618E">
        <w:instrText xml:space="preserve"> \* MERGEFORMAT </w:instrText>
      </w:r>
      <w:r w:rsidRPr="00B0618E">
        <w:fldChar w:fldCharType="separate"/>
      </w:r>
      <w:r w:rsidR="000B6FA5" w:rsidRPr="00B0618E">
        <w:t xml:space="preserve">Figure </w:t>
      </w:r>
      <w:r w:rsidR="000B6FA5">
        <w:rPr>
          <w:noProof/>
        </w:rPr>
        <w:t>7</w:t>
      </w:r>
      <w:r w:rsidR="000B6FA5">
        <w:rPr>
          <w:noProof/>
        </w:rPr>
        <w:noBreakHyphen/>
        <w:t>1</w:t>
      </w:r>
      <w:r w:rsidRPr="00B0618E">
        <w:fldChar w:fldCharType="end"/>
      </w:r>
      <w:r w:rsidRPr="00B0618E">
        <w:t xml:space="preserve"> and </w:t>
      </w:r>
      <w:r w:rsidRPr="00B0618E">
        <w:fldChar w:fldCharType="begin"/>
      </w:r>
      <w:r w:rsidRPr="00B0618E">
        <w:instrText xml:space="preserve"> REF _Ref478489247 \h </w:instrText>
      </w:r>
      <w:r w:rsidR="00B0618E">
        <w:instrText xml:space="preserve"> \* MERGEFORMAT </w:instrText>
      </w:r>
      <w:r w:rsidRPr="00B0618E">
        <w:fldChar w:fldCharType="separate"/>
      </w:r>
      <w:r w:rsidR="000B6FA5" w:rsidRPr="00B0618E">
        <w:t xml:space="preserve">Figure </w:t>
      </w:r>
      <w:r w:rsidR="000B6FA5">
        <w:rPr>
          <w:noProof/>
        </w:rPr>
        <w:t>7</w:t>
      </w:r>
      <w:r w:rsidR="000B6FA5">
        <w:rPr>
          <w:noProof/>
        </w:rPr>
        <w:noBreakHyphen/>
        <w:t>2</w:t>
      </w:r>
      <w:r w:rsidRPr="00B0618E">
        <w:fldChar w:fldCharType="end"/>
      </w:r>
      <w:r w:rsidRPr="00B0618E">
        <w:t xml:space="preserve"> is based on a post-processing of the existing 300 model runs, this additional analysis would require additional model runs as adequate sampling is no longer guaranteed </w:t>
      </w:r>
      <w:r w:rsidR="00AC09A6" w:rsidRPr="00B0618E">
        <w:t xml:space="preserve">based on the existing distribution, </w:t>
      </w:r>
      <w:r w:rsidRPr="00B0618E">
        <w:t>when the log-triangular distribution changes</w:t>
      </w:r>
      <w:r w:rsidR="00AC09A6" w:rsidRPr="00B0618E">
        <w:t xml:space="preserve"> each time a new sample is generated</w:t>
      </w:r>
      <w:r w:rsidRPr="00B0618E">
        <w:t>.</w:t>
      </w:r>
    </w:p>
    <w:p w14:paraId="05BEA1BF" w14:textId="77777777" w:rsidR="00363264" w:rsidRPr="00B0618E" w:rsidRDefault="00363264" w:rsidP="009C75E5">
      <w:pPr>
        <w:pStyle w:val="BodyText"/>
      </w:pPr>
    </w:p>
    <w:p w14:paraId="388E43EB" w14:textId="77777777" w:rsidR="009477D1" w:rsidRPr="00B0618E" w:rsidRDefault="009477D1" w:rsidP="009477D1">
      <w:pPr>
        <w:pStyle w:val="BodyText"/>
      </w:pPr>
    </w:p>
    <w:p w14:paraId="19B400C6" w14:textId="77777777" w:rsidR="009C2963" w:rsidRPr="00B0618E" w:rsidRDefault="009C2963" w:rsidP="009C2963">
      <w:pPr>
        <w:pStyle w:val="Heading1"/>
      </w:pPr>
      <w:bookmarkStart w:id="230" w:name="_Toc483127592"/>
      <w:r w:rsidRPr="00B0618E">
        <w:t>Summary and conclusions</w:t>
      </w:r>
      <w:bookmarkEnd w:id="230"/>
    </w:p>
    <w:p w14:paraId="4B38D84F" w14:textId="1506CB56" w:rsidR="00D565A0" w:rsidRPr="00B0618E" w:rsidRDefault="00AA0F3B" w:rsidP="009C2963">
      <w:pPr>
        <w:pStyle w:val="BodyText"/>
        <w:rPr>
          <w:color w:val="auto"/>
        </w:rPr>
      </w:pPr>
      <w:r w:rsidRPr="00B0618E">
        <w:rPr>
          <w:color w:val="auto"/>
        </w:rPr>
        <w:t>The present report describe</w:t>
      </w:r>
      <w:r w:rsidR="00CF1E26" w:rsidRPr="00B0618E">
        <w:rPr>
          <w:color w:val="auto"/>
        </w:rPr>
        <w:t>d</w:t>
      </w:r>
      <w:r w:rsidRPr="00B0618E">
        <w:rPr>
          <w:color w:val="auto"/>
        </w:rPr>
        <w:t xml:space="preserve"> </w:t>
      </w:r>
      <w:r w:rsidR="00CC0560">
        <w:rPr>
          <w:color w:val="auto"/>
        </w:rPr>
        <w:t xml:space="preserve">an example for </w:t>
      </w:r>
      <w:r w:rsidRPr="00B0618E">
        <w:rPr>
          <w:color w:val="auto"/>
        </w:rPr>
        <w:t>the inclusion of upscaled aquitard parameter values in a numerical groundwater flow model. The value</w:t>
      </w:r>
      <w:r w:rsidR="00CF1E26" w:rsidRPr="00B0618E">
        <w:rPr>
          <w:color w:val="auto"/>
        </w:rPr>
        <w:t>s</w:t>
      </w:r>
      <w:r w:rsidRPr="00B0618E">
        <w:rPr>
          <w:color w:val="auto"/>
        </w:rPr>
        <w:t xml:space="preserve"> and associated uncertaint</w:t>
      </w:r>
      <w:r w:rsidR="00CF1E26" w:rsidRPr="00B0618E">
        <w:rPr>
          <w:color w:val="auto"/>
        </w:rPr>
        <w:t>i</w:t>
      </w:r>
      <w:r w:rsidRPr="00B0618E">
        <w:rPr>
          <w:color w:val="auto"/>
        </w:rPr>
        <w:t xml:space="preserve">es of four </w:t>
      </w:r>
      <w:r w:rsidR="00CC0560">
        <w:rPr>
          <w:color w:val="auto"/>
        </w:rPr>
        <w:t>selected</w:t>
      </w:r>
      <w:r w:rsidRPr="00B0618E">
        <w:rPr>
          <w:color w:val="auto"/>
        </w:rPr>
        <w:t xml:space="preserve"> predictions generated by </w:t>
      </w:r>
      <w:r w:rsidR="00CF1E26" w:rsidRPr="00B0618E">
        <w:rPr>
          <w:color w:val="auto"/>
        </w:rPr>
        <w:t xml:space="preserve">a numerical groundwater flow </w:t>
      </w:r>
      <w:r w:rsidRPr="00B0618E">
        <w:rPr>
          <w:color w:val="auto"/>
        </w:rPr>
        <w:t xml:space="preserve">model were assessed prior to and following the incorporation of aquitard vertical hydraulic conductivity data. </w:t>
      </w:r>
      <w:r w:rsidR="00D565A0" w:rsidRPr="00B0618E">
        <w:rPr>
          <w:color w:val="auto"/>
        </w:rPr>
        <w:t>Sensitivity analys</w:t>
      </w:r>
      <w:r w:rsidR="00664DBF">
        <w:rPr>
          <w:color w:val="auto"/>
        </w:rPr>
        <w:t>e</w:t>
      </w:r>
      <w:r w:rsidR="00D565A0" w:rsidRPr="00B0618E">
        <w:rPr>
          <w:color w:val="auto"/>
        </w:rPr>
        <w:t xml:space="preserve">s with an initial data set based on 300 model runs illustrated the </w:t>
      </w:r>
      <w:r w:rsidR="00CC0560">
        <w:rPr>
          <w:color w:val="auto"/>
        </w:rPr>
        <w:t xml:space="preserve">relative </w:t>
      </w:r>
      <w:r w:rsidR="00D565A0" w:rsidRPr="00B0618E">
        <w:rPr>
          <w:color w:val="auto"/>
        </w:rPr>
        <w:t>importance of the vertical hydraulic conductivity (</w:t>
      </w:r>
      <w:r w:rsidR="00D565A0" w:rsidRPr="00B0618E">
        <w:rPr>
          <w:i/>
          <w:color w:val="auto"/>
        </w:rPr>
        <w:t>K</w:t>
      </w:r>
      <w:r w:rsidR="00D565A0" w:rsidRPr="00B0618E">
        <w:rPr>
          <w:color w:val="auto"/>
          <w:vertAlign w:val="subscript"/>
        </w:rPr>
        <w:t>V</w:t>
      </w:r>
      <w:r w:rsidR="00D565A0" w:rsidRPr="00B0618E">
        <w:rPr>
          <w:color w:val="auto"/>
        </w:rPr>
        <w:t xml:space="preserve">) of the upper aquitard as an influential parameter when calculating four groundwater impact metrics. </w:t>
      </w:r>
    </w:p>
    <w:p w14:paraId="298E6A7F" w14:textId="2BD59404" w:rsidR="009C2963" w:rsidRPr="00B0618E" w:rsidRDefault="00D565A0" w:rsidP="009C2963">
      <w:pPr>
        <w:pStyle w:val="BodyText"/>
        <w:rPr>
          <w:color w:val="auto"/>
        </w:rPr>
      </w:pPr>
      <w:r w:rsidRPr="00B0618E">
        <w:rPr>
          <w:i/>
          <w:color w:val="auto"/>
        </w:rPr>
        <w:t>K</w:t>
      </w:r>
      <w:r w:rsidRPr="00B0618E">
        <w:rPr>
          <w:color w:val="auto"/>
          <w:vertAlign w:val="subscript"/>
        </w:rPr>
        <w:t>V</w:t>
      </w:r>
      <w:r w:rsidR="00AA0F3B" w:rsidRPr="00B0618E">
        <w:rPr>
          <w:color w:val="auto"/>
        </w:rPr>
        <w:t xml:space="preserve"> data </w:t>
      </w:r>
      <w:r w:rsidRPr="00B0618E">
        <w:rPr>
          <w:color w:val="auto"/>
        </w:rPr>
        <w:t xml:space="preserve">for the two </w:t>
      </w:r>
      <w:r w:rsidR="00CC0560">
        <w:rPr>
          <w:color w:val="auto"/>
        </w:rPr>
        <w:t xml:space="preserve">example </w:t>
      </w:r>
      <w:r w:rsidRPr="00B0618E">
        <w:rPr>
          <w:color w:val="auto"/>
        </w:rPr>
        <w:t xml:space="preserve">aquitards </w:t>
      </w:r>
      <w:r w:rsidR="00AA0F3B" w:rsidRPr="00B0618E">
        <w:rPr>
          <w:color w:val="auto"/>
        </w:rPr>
        <w:t xml:space="preserve">were </w:t>
      </w:r>
      <w:r w:rsidR="00D12E33" w:rsidRPr="00B0618E">
        <w:rPr>
          <w:color w:val="auto"/>
        </w:rPr>
        <w:t>measured</w:t>
      </w:r>
      <w:r w:rsidR="00AA0F3B" w:rsidRPr="00B0618E">
        <w:rPr>
          <w:color w:val="auto"/>
        </w:rPr>
        <w:t xml:space="preserve"> at the core</w:t>
      </w:r>
      <w:r w:rsidR="00664DBF">
        <w:rPr>
          <w:color w:val="auto"/>
        </w:rPr>
        <w:t>-</w:t>
      </w:r>
      <w:r w:rsidR="00AA0F3B" w:rsidRPr="00B0618E">
        <w:rPr>
          <w:color w:val="auto"/>
        </w:rPr>
        <w:t>scale by laboratory testing</w:t>
      </w:r>
      <w:r w:rsidR="00D12E33" w:rsidRPr="00B0618E">
        <w:rPr>
          <w:color w:val="auto"/>
        </w:rPr>
        <w:t xml:space="preserve">, correlated </w:t>
      </w:r>
      <w:r w:rsidR="00664DBF">
        <w:rPr>
          <w:color w:val="auto"/>
        </w:rPr>
        <w:t>with</w:t>
      </w:r>
      <w:r w:rsidR="00D12E33" w:rsidRPr="00B0618E">
        <w:rPr>
          <w:color w:val="auto"/>
        </w:rPr>
        <w:t xml:space="preserve"> wireline logging data</w:t>
      </w:r>
      <w:r w:rsidR="00AA0F3B" w:rsidRPr="00B0618E">
        <w:rPr>
          <w:color w:val="auto"/>
        </w:rPr>
        <w:t xml:space="preserve"> and subsequently </w:t>
      </w:r>
      <w:r w:rsidR="00D12E33" w:rsidRPr="00B0618E">
        <w:rPr>
          <w:color w:val="auto"/>
        </w:rPr>
        <w:t xml:space="preserve">upscaled to the regional scale </w:t>
      </w:r>
      <w:r w:rsidR="00AA0F3B" w:rsidRPr="00B0618E">
        <w:rPr>
          <w:color w:val="auto"/>
        </w:rPr>
        <w:t xml:space="preserve">commensurate with </w:t>
      </w:r>
      <w:r w:rsidR="00D12E33" w:rsidRPr="00B0618E">
        <w:rPr>
          <w:color w:val="auto"/>
        </w:rPr>
        <w:t xml:space="preserve">the scale of a cellular groundwater flow </w:t>
      </w:r>
      <w:r w:rsidR="00AA0F3B" w:rsidRPr="00B0618E">
        <w:rPr>
          <w:color w:val="auto"/>
        </w:rPr>
        <w:t>model using analytical and numerical methods. Upscaled aquitard property observations were used to update prior parameter distributions which, after incorporation in the model, produced update</w:t>
      </w:r>
      <w:r w:rsidR="00CF1E26" w:rsidRPr="00B0618E">
        <w:rPr>
          <w:color w:val="auto"/>
        </w:rPr>
        <w:t>d</w:t>
      </w:r>
      <w:r w:rsidR="00AA0F3B" w:rsidRPr="00B0618E">
        <w:rPr>
          <w:color w:val="auto"/>
        </w:rPr>
        <w:t xml:space="preserve"> prediction (posterior) distributions. The workflow presented </w:t>
      </w:r>
      <w:r w:rsidR="00CF1E26" w:rsidRPr="00B0618E">
        <w:rPr>
          <w:color w:val="auto"/>
        </w:rPr>
        <w:t xml:space="preserve">here </w:t>
      </w:r>
      <w:r w:rsidR="00AA0F3B" w:rsidRPr="00B0618E">
        <w:rPr>
          <w:color w:val="auto"/>
        </w:rPr>
        <w:t xml:space="preserve">is </w:t>
      </w:r>
      <w:r w:rsidR="00CC0560">
        <w:rPr>
          <w:color w:val="auto"/>
        </w:rPr>
        <w:t xml:space="preserve">one example that is </w:t>
      </w:r>
      <w:r w:rsidR="00AA0F3B" w:rsidRPr="00B0618E">
        <w:rPr>
          <w:color w:val="auto"/>
        </w:rPr>
        <w:t xml:space="preserve">considered to be practicable and suitable for </w:t>
      </w:r>
      <w:r w:rsidR="00CC0560">
        <w:rPr>
          <w:color w:val="auto"/>
        </w:rPr>
        <w:t xml:space="preserve">certain </w:t>
      </w:r>
      <w:r w:rsidR="00AA0F3B" w:rsidRPr="00B0618E">
        <w:rPr>
          <w:color w:val="auto"/>
        </w:rPr>
        <w:t>real-world applications.</w:t>
      </w:r>
    </w:p>
    <w:p w14:paraId="1A8214F3" w14:textId="583850A9" w:rsidR="00026B5A" w:rsidRPr="00B0618E" w:rsidRDefault="003A3D49" w:rsidP="009C2963">
      <w:pPr>
        <w:pStyle w:val="BodyText"/>
        <w:rPr>
          <w:color w:val="auto"/>
        </w:rPr>
      </w:pPr>
      <w:r w:rsidRPr="00B0618E">
        <w:rPr>
          <w:color w:val="auto"/>
        </w:rPr>
        <w:t>Key findings from using updated aquitard parameterisations for modelling groundwater impact metrics are:</w:t>
      </w:r>
    </w:p>
    <w:p w14:paraId="1DF9C68D" w14:textId="407ACC5A" w:rsidR="00683C1D" w:rsidRPr="00B0618E" w:rsidRDefault="00776AA8" w:rsidP="00A92D6D">
      <w:pPr>
        <w:pStyle w:val="BodyText"/>
        <w:numPr>
          <w:ilvl w:val="0"/>
          <w:numId w:val="22"/>
        </w:numPr>
      </w:pPr>
      <w:r>
        <w:t>I</w:t>
      </w:r>
      <w:r w:rsidRPr="00B0618E">
        <w:t xml:space="preserve">mproved </w:t>
      </w:r>
      <w:r w:rsidR="00683C1D" w:rsidRPr="00B0618E">
        <w:t xml:space="preserve">characterisation of aquitard </w:t>
      </w:r>
      <w:r w:rsidR="00683C1D" w:rsidRPr="00B0618E">
        <w:rPr>
          <w:i/>
        </w:rPr>
        <w:t>K</w:t>
      </w:r>
      <w:r w:rsidR="00683C1D" w:rsidRPr="00B0618E">
        <w:rPr>
          <w:vertAlign w:val="subscript"/>
        </w:rPr>
        <w:t xml:space="preserve">V </w:t>
      </w:r>
      <w:r w:rsidR="00683C1D" w:rsidRPr="00B0618E">
        <w:t>resulted in more credibl</w:t>
      </w:r>
      <w:r w:rsidR="00C43241" w:rsidRPr="00B0618E">
        <w:t>y</w:t>
      </w:r>
      <w:r w:rsidR="00683C1D" w:rsidRPr="00B0618E">
        <w:t xml:space="preserve"> defining </w:t>
      </w:r>
      <w:r w:rsidR="00C43241" w:rsidRPr="00B0618E">
        <w:t xml:space="preserve"> (i.e. based on a combination of field and lab-based data with a relatively high spatial density) </w:t>
      </w:r>
      <w:r w:rsidR="00683C1D" w:rsidRPr="00B0618E">
        <w:t xml:space="preserve">the probability distribution for </w:t>
      </w:r>
      <w:r w:rsidR="00683C1D" w:rsidRPr="00B0618E">
        <w:rPr>
          <w:i/>
        </w:rPr>
        <w:t>K</w:t>
      </w:r>
      <w:r w:rsidR="00683C1D" w:rsidRPr="00B0618E">
        <w:rPr>
          <w:vertAlign w:val="subscript"/>
        </w:rPr>
        <w:t xml:space="preserve">V, </w:t>
      </w:r>
      <w:r w:rsidR="00683C1D" w:rsidRPr="00B0618E">
        <w:t>with the prior</w:t>
      </w:r>
      <w:r w:rsidR="00683C1D" w:rsidRPr="00B0618E">
        <w:rPr>
          <w:vertAlign w:val="subscript"/>
        </w:rPr>
        <w:t xml:space="preserve"> </w:t>
      </w:r>
      <w:r w:rsidR="00683C1D" w:rsidRPr="00B0618E">
        <w:t>log-uniform distribution being replaced by a</w:t>
      </w:r>
      <w:r w:rsidR="00664DBF">
        <w:t>n unimodal</w:t>
      </w:r>
      <w:r w:rsidR="00683C1D" w:rsidRPr="00B0618E">
        <w:t xml:space="preserve"> log-triangular distribution; </w:t>
      </w:r>
    </w:p>
    <w:p w14:paraId="16F7CA48" w14:textId="03E28036" w:rsidR="008C6AE3" w:rsidRPr="00B0618E" w:rsidRDefault="00776AA8" w:rsidP="00A92D6D">
      <w:pPr>
        <w:pStyle w:val="BodyText"/>
        <w:numPr>
          <w:ilvl w:val="0"/>
          <w:numId w:val="22"/>
        </w:numPr>
      </w:pPr>
      <w:r>
        <w:t>F</w:t>
      </w:r>
      <w:r w:rsidR="008C6AE3" w:rsidRPr="00B0618E">
        <w:t xml:space="preserve">or both aquitards, the updated </w:t>
      </w:r>
      <w:r w:rsidR="000D4741" w:rsidRPr="00B0618E">
        <w:t xml:space="preserve">(posterior) </w:t>
      </w:r>
      <w:r w:rsidR="008C6AE3" w:rsidRPr="00B0618E">
        <w:t xml:space="preserve">probability distribution for </w:t>
      </w:r>
      <w:r w:rsidR="008C6AE3" w:rsidRPr="00B0618E">
        <w:rPr>
          <w:i/>
        </w:rPr>
        <w:t>K</w:t>
      </w:r>
      <w:r w:rsidR="008C6AE3" w:rsidRPr="00B0618E">
        <w:rPr>
          <w:vertAlign w:val="subscript"/>
        </w:rPr>
        <w:t xml:space="preserve">V </w:t>
      </w:r>
      <w:r w:rsidR="008C6AE3" w:rsidRPr="00B0618E">
        <w:t>was roughly two orders of magnitude wider than the prior distribution</w:t>
      </w:r>
      <w:r w:rsidR="000D4741" w:rsidRPr="00B0618E">
        <w:t>s; me</w:t>
      </w:r>
      <w:r w:rsidR="00683C1D" w:rsidRPr="00B0618E">
        <w:t>an</w:t>
      </w:r>
      <w:r w:rsidR="000D4741" w:rsidRPr="00B0618E">
        <w:t xml:space="preserve"> </w:t>
      </w:r>
      <w:r w:rsidR="000D4741" w:rsidRPr="00B0618E">
        <w:rPr>
          <w:i/>
        </w:rPr>
        <w:t>K</w:t>
      </w:r>
      <w:r w:rsidR="000D4741" w:rsidRPr="00B0618E">
        <w:rPr>
          <w:vertAlign w:val="subscript"/>
        </w:rPr>
        <w:t xml:space="preserve">V </w:t>
      </w:r>
      <w:r w:rsidR="000D4741" w:rsidRPr="00B0618E">
        <w:t xml:space="preserve">values were nearly identical for prior </w:t>
      </w:r>
      <w:r w:rsidR="00683C1D" w:rsidRPr="00B0618E">
        <w:t>(log</w:t>
      </w:r>
      <w:r w:rsidR="00683C1D" w:rsidRPr="00B0618E">
        <w:rPr>
          <w:vertAlign w:val="subscript"/>
        </w:rPr>
        <w:t>10</w:t>
      </w:r>
      <w:r w:rsidR="00683C1D" w:rsidRPr="00B0618E">
        <w:t xml:space="preserve"> </w:t>
      </w:r>
      <w:r w:rsidR="00683C1D" w:rsidRPr="00B0618E">
        <w:rPr>
          <w:i/>
        </w:rPr>
        <w:t>K</w:t>
      </w:r>
      <w:r w:rsidR="00683C1D" w:rsidRPr="00B0618E">
        <w:rPr>
          <w:vertAlign w:val="subscript"/>
        </w:rPr>
        <w:t>V</w:t>
      </w:r>
      <w:r w:rsidR="00683C1D" w:rsidRPr="00B0618E">
        <w:t xml:space="preserve"> = -5</w:t>
      </w:r>
      <w:r w:rsidR="00664DBF">
        <w:t>.0</w:t>
      </w:r>
      <w:r w:rsidR="00683C1D" w:rsidRPr="00B0618E">
        <w:t xml:space="preserve"> </w:t>
      </w:r>
      <w:r w:rsidR="001E1D9D">
        <w:t xml:space="preserve">m/d </w:t>
      </w:r>
      <w:r w:rsidR="00683C1D" w:rsidRPr="00B0618E">
        <w:t xml:space="preserve">for both upper and lower aquitards) </w:t>
      </w:r>
      <w:r w:rsidR="000D4741" w:rsidRPr="00B0618E">
        <w:t>and posterior distributions</w:t>
      </w:r>
      <w:r w:rsidR="00683C1D" w:rsidRPr="00B0618E">
        <w:t xml:space="preserve"> (log</w:t>
      </w:r>
      <w:r w:rsidR="00683C1D" w:rsidRPr="00B0618E">
        <w:rPr>
          <w:vertAlign w:val="subscript"/>
        </w:rPr>
        <w:t>10</w:t>
      </w:r>
      <w:r w:rsidR="00683C1D" w:rsidRPr="00B0618E">
        <w:t xml:space="preserve"> </w:t>
      </w:r>
      <w:r w:rsidR="00683C1D" w:rsidRPr="00B0618E">
        <w:rPr>
          <w:i/>
        </w:rPr>
        <w:t>K</w:t>
      </w:r>
      <w:r w:rsidR="00683C1D" w:rsidRPr="00B0618E">
        <w:rPr>
          <w:vertAlign w:val="subscript"/>
        </w:rPr>
        <w:t>V</w:t>
      </w:r>
      <w:r w:rsidR="00683C1D" w:rsidRPr="00B0618E">
        <w:t xml:space="preserve"> = -5.2 </w:t>
      </w:r>
      <w:r w:rsidR="001E1D9D">
        <w:t xml:space="preserve">m/d </w:t>
      </w:r>
      <w:r w:rsidR="00683C1D" w:rsidRPr="00B0618E">
        <w:t xml:space="preserve">for upper and = -4.7 </w:t>
      </w:r>
      <w:r w:rsidR="001E1D9D">
        <w:t xml:space="preserve">m/d </w:t>
      </w:r>
      <w:r w:rsidR="00683C1D" w:rsidRPr="00B0618E">
        <w:t>for lower aquitard, based on numerical upscaling)</w:t>
      </w:r>
      <w:r w:rsidR="005C0E22" w:rsidRPr="00B0618E">
        <w:t>. Although improving the characterisation of the aquitards resulted in an increase in parameter range</w:t>
      </w:r>
      <w:r>
        <w:t xml:space="preserve"> (</w:t>
      </w:r>
      <w:r w:rsidR="005C0E22" w:rsidRPr="00B0618E">
        <w:t>i.e.</w:t>
      </w:r>
      <w:r>
        <w:t>,</w:t>
      </w:r>
      <w:r w:rsidR="005C0E22" w:rsidRPr="00B0618E">
        <w:t xml:space="preserve"> the uncertainty </w:t>
      </w:r>
      <w:r>
        <w:t>associated with</w:t>
      </w:r>
      <w:r w:rsidRPr="00B0618E">
        <w:t xml:space="preserve"> </w:t>
      </w:r>
      <w:r w:rsidR="005C0E22" w:rsidRPr="00B0618E">
        <w:rPr>
          <w:i/>
        </w:rPr>
        <w:t>K</w:t>
      </w:r>
      <w:r w:rsidR="005C0E22" w:rsidRPr="00B0618E">
        <w:rPr>
          <w:vertAlign w:val="subscript"/>
        </w:rPr>
        <w:t>V</w:t>
      </w:r>
      <w:r w:rsidR="005C0E22" w:rsidRPr="00B0618E">
        <w:t xml:space="preserve"> increased</w:t>
      </w:r>
      <w:r>
        <w:t>)</w:t>
      </w:r>
      <w:r w:rsidR="005C0E22" w:rsidRPr="00B0618E">
        <w:t xml:space="preserve">, the new data set has a solid evidence base and thus its credibility </w:t>
      </w:r>
      <w:r w:rsidR="001817F8" w:rsidRPr="00B0618E">
        <w:t xml:space="preserve">(and the model predictions based on it) </w:t>
      </w:r>
      <w:r w:rsidR="005C0E22" w:rsidRPr="00B0618E">
        <w:t>has significantly improved</w:t>
      </w:r>
      <w:r w:rsidR="00CC0560">
        <w:t xml:space="preserve"> the aquitard parameterisation compared to </w:t>
      </w:r>
      <w:r w:rsidR="00C76D61">
        <w:t>the initial parameterisation based on literature values and models</w:t>
      </w:r>
      <w:r w:rsidR="005C0E22" w:rsidRPr="00B0618E">
        <w:t xml:space="preserve">; </w:t>
      </w:r>
    </w:p>
    <w:p w14:paraId="72CB50C3" w14:textId="1E5BB1AB" w:rsidR="003A3D49" w:rsidRPr="00B0618E" w:rsidRDefault="00776AA8" w:rsidP="00A92D6D">
      <w:pPr>
        <w:pStyle w:val="BodyText"/>
        <w:numPr>
          <w:ilvl w:val="0"/>
          <w:numId w:val="22"/>
        </w:numPr>
      </w:pPr>
      <w:r>
        <w:t>R</w:t>
      </w:r>
      <w:r w:rsidRPr="00B0618E">
        <w:t xml:space="preserve">egarding </w:t>
      </w:r>
      <w:r w:rsidR="00CC5685" w:rsidRPr="00B0618E">
        <w:t xml:space="preserve">predicted </w:t>
      </w:r>
      <w:r w:rsidR="00987984" w:rsidRPr="00B0618E">
        <w:t xml:space="preserve">groundwater </w:t>
      </w:r>
      <w:r w:rsidR="00CC5685" w:rsidRPr="00B0618E">
        <w:t xml:space="preserve">impact metrics, </w:t>
      </w:r>
      <w:r w:rsidR="003A3D49" w:rsidRPr="00B0618E">
        <w:t xml:space="preserve">the median of the maximum </w:t>
      </w:r>
      <w:r w:rsidR="00A92D6D">
        <w:t xml:space="preserve">modelled </w:t>
      </w:r>
      <w:r w:rsidR="003A3D49" w:rsidRPr="00B0618E">
        <w:t>drawdowns increases slightly (from 0.</w:t>
      </w:r>
      <w:r w:rsidR="00CC5685" w:rsidRPr="00B0618E">
        <w:t>7</w:t>
      </w:r>
      <w:r w:rsidR="003A3D49" w:rsidRPr="00B0618E">
        <w:t xml:space="preserve"> </w:t>
      </w:r>
      <w:r w:rsidR="001E1D9D">
        <w:t xml:space="preserve">m </w:t>
      </w:r>
      <w:r w:rsidR="003A3D49" w:rsidRPr="00B0618E">
        <w:t xml:space="preserve">to 1.2 m) when the first (prior) data set is replaced by the second data set (improved aquitard characterisation </w:t>
      </w:r>
      <w:r w:rsidR="00CC5685" w:rsidRPr="00B0618E">
        <w:t>with</w:t>
      </w:r>
      <w:r w:rsidR="003A3D49" w:rsidRPr="00B0618E">
        <w:t xml:space="preserve"> </w:t>
      </w:r>
      <w:r w:rsidR="003A3D49" w:rsidRPr="00B0618E">
        <w:rPr>
          <w:i/>
        </w:rPr>
        <w:t>K</w:t>
      </w:r>
      <w:r w:rsidR="003A3D49" w:rsidRPr="00B0618E">
        <w:rPr>
          <w:vertAlign w:val="subscript"/>
        </w:rPr>
        <w:t>V</w:t>
      </w:r>
      <w:r w:rsidR="003A3D49" w:rsidRPr="00B0618E">
        <w:t xml:space="preserve"> spatially uniform within each model layer). Maximum </w:t>
      </w:r>
      <w:r w:rsidR="00A92D6D">
        <w:t xml:space="preserve">modelled </w:t>
      </w:r>
      <w:r w:rsidR="003A3D49" w:rsidRPr="00B0618E">
        <w:t xml:space="preserve">drawdown further increases (from 1.2 </w:t>
      </w:r>
      <w:r w:rsidR="001E1D9D">
        <w:t xml:space="preserve">m </w:t>
      </w:r>
      <w:r w:rsidR="003A3D49" w:rsidRPr="00B0618E">
        <w:t xml:space="preserve">to 3.4 m) when the more realistic model with heterogeneous </w:t>
      </w:r>
      <w:r w:rsidR="003A3D49" w:rsidRPr="00B0618E">
        <w:rPr>
          <w:i/>
        </w:rPr>
        <w:t>K</w:t>
      </w:r>
      <w:r w:rsidR="003A3D49" w:rsidRPr="00B0618E">
        <w:rPr>
          <w:vertAlign w:val="subscript"/>
        </w:rPr>
        <w:t>V</w:t>
      </w:r>
      <w:r w:rsidR="003A3D49" w:rsidRPr="00B0618E">
        <w:t xml:space="preserve"> is used. Overall, the calculations of the median </w:t>
      </w:r>
      <w:r w:rsidR="00A92D6D">
        <w:t xml:space="preserve">modelled </w:t>
      </w:r>
      <w:r w:rsidR="003A3D49" w:rsidRPr="00B0618E">
        <w:t xml:space="preserve">drawdown are fairly robust </w:t>
      </w:r>
      <w:r w:rsidR="00B00C99">
        <w:t xml:space="preserve">(in a statistical sense) </w:t>
      </w:r>
      <w:r w:rsidR="003A3D49" w:rsidRPr="00B0618E">
        <w:t xml:space="preserve">for the three data sets tested. Improved aquitard characterisation does affect the predicted median drawdown, </w:t>
      </w:r>
      <w:r w:rsidR="00CC5685" w:rsidRPr="00B0618E">
        <w:t>however</w:t>
      </w:r>
      <w:r w:rsidR="003A3D49" w:rsidRPr="00B0618E">
        <w:t xml:space="preserve"> for the model and data sets used here the effects are rather minor. </w:t>
      </w:r>
    </w:p>
    <w:p w14:paraId="2BD97872" w14:textId="08584475" w:rsidR="00727C96" w:rsidRDefault="00776AA8" w:rsidP="00A92D6D">
      <w:pPr>
        <w:pStyle w:val="BodyText"/>
        <w:numPr>
          <w:ilvl w:val="0"/>
          <w:numId w:val="22"/>
        </w:numPr>
      </w:pPr>
      <w:r>
        <w:t>E</w:t>
      </w:r>
      <w:r w:rsidRPr="00B0618E">
        <w:t xml:space="preserve">xtreme </w:t>
      </w:r>
      <w:r w:rsidR="003A3D49" w:rsidRPr="00B0618E">
        <w:t>drawdowns (magnitude and spatial extent of 95</w:t>
      </w:r>
      <w:r w:rsidR="003A3D49" w:rsidRPr="00B0618E">
        <w:rPr>
          <w:vertAlign w:val="superscript"/>
        </w:rPr>
        <w:t>th</w:t>
      </w:r>
      <w:r w:rsidR="003A3D49" w:rsidRPr="00B0618E">
        <w:t xml:space="preserve"> percentile) are similar for the first and second data set</w:t>
      </w:r>
      <w:r w:rsidR="00CC5685" w:rsidRPr="00B0618E">
        <w:t xml:space="preserve"> (7.2 and 7.9 m, respectively)</w:t>
      </w:r>
      <w:r w:rsidR="003A3D49" w:rsidRPr="00B0618E">
        <w:t xml:space="preserve">, but much smaller with the heterogeneous </w:t>
      </w:r>
      <w:r w:rsidR="003A3D49" w:rsidRPr="00B0618E">
        <w:rPr>
          <w:i/>
        </w:rPr>
        <w:t>K</w:t>
      </w:r>
      <w:r w:rsidR="003A3D49" w:rsidRPr="00B0618E">
        <w:rPr>
          <w:vertAlign w:val="subscript"/>
        </w:rPr>
        <w:t>V</w:t>
      </w:r>
      <w:r w:rsidR="003A3D49" w:rsidRPr="00B0618E">
        <w:t xml:space="preserve"> model (third data set</w:t>
      </w:r>
      <w:r w:rsidR="00CC5685" w:rsidRPr="00B0618E">
        <w:t>, 6.1 m</w:t>
      </w:r>
      <w:r w:rsidR="003A3D49" w:rsidRPr="00B0618E">
        <w:t xml:space="preserve">). </w:t>
      </w:r>
      <w:r w:rsidR="001E2DAD" w:rsidRPr="00B0618E">
        <w:t xml:space="preserve">The improved aquitard characterisation </w:t>
      </w:r>
      <w:r w:rsidR="003E01BB">
        <w:t xml:space="preserve">and use of </w:t>
      </w:r>
      <w:r w:rsidR="00A51EDF">
        <w:t xml:space="preserve">an improved conceptualisation (heterogeneous versus homogeneous hydraulic conductivity distribution) </w:t>
      </w:r>
      <w:r w:rsidR="001E2DAD" w:rsidRPr="00B0618E">
        <w:t xml:space="preserve">thus has a major effect on such percentiles. </w:t>
      </w:r>
      <w:r w:rsidR="003A3D49" w:rsidRPr="00B0618E">
        <w:t xml:space="preserve">The </w:t>
      </w:r>
      <w:r w:rsidR="00A51EDF">
        <w:t>much smaller extreme drawdowns are also apparent in the</w:t>
      </w:r>
      <w:r w:rsidR="003A3D49" w:rsidRPr="00B0618E">
        <w:t xml:space="preserve"> maps of the spatial distribution of drawdowns</w:t>
      </w:r>
      <w:r w:rsidR="001E1D9D">
        <w:t xml:space="preserve"> (i.e., t</w:t>
      </w:r>
      <w:r w:rsidR="001E1D9D" w:rsidRPr="00B0618E">
        <w:t xml:space="preserve">he </w:t>
      </w:r>
      <w:r w:rsidR="001E1D9D">
        <w:t>90</w:t>
      </w:r>
      <w:r w:rsidR="001E1D9D" w:rsidRPr="001E1D9D">
        <w:rPr>
          <w:vertAlign w:val="superscript"/>
        </w:rPr>
        <w:t>th</w:t>
      </w:r>
      <w:r w:rsidR="001E1D9D">
        <w:t>, 95</w:t>
      </w:r>
      <w:r w:rsidR="001E1D9D" w:rsidRPr="001E1D9D">
        <w:rPr>
          <w:vertAlign w:val="superscript"/>
        </w:rPr>
        <w:t>th</w:t>
      </w:r>
      <w:r w:rsidR="001E1D9D">
        <w:t xml:space="preserve"> and 99</w:t>
      </w:r>
      <w:r w:rsidR="001E1D9D" w:rsidRPr="001E1D9D">
        <w:rPr>
          <w:vertAlign w:val="superscript"/>
        </w:rPr>
        <w:t>th</w:t>
      </w:r>
      <w:r w:rsidR="001E1D9D">
        <w:t xml:space="preserve"> percentile</w:t>
      </w:r>
      <w:r w:rsidR="001E1D9D" w:rsidRPr="00B0618E">
        <w:t xml:space="preserve"> of maximum drawdowns</w:t>
      </w:r>
      <w:r w:rsidR="001E1D9D">
        <w:t>)</w:t>
      </w:r>
      <w:r w:rsidR="003A3D49" w:rsidRPr="00B0618E">
        <w:t xml:space="preserve">, illustrating that the heterogeneous </w:t>
      </w:r>
      <w:r w:rsidR="003A3D49" w:rsidRPr="00B0618E">
        <w:rPr>
          <w:i/>
        </w:rPr>
        <w:t>K</w:t>
      </w:r>
      <w:r w:rsidR="003A3D49" w:rsidRPr="00B0618E">
        <w:rPr>
          <w:vertAlign w:val="subscript"/>
        </w:rPr>
        <w:t>V</w:t>
      </w:r>
      <w:r w:rsidR="003A3D49" w:rsidRPr="00B0618E">
        <w:t xml:space="preserve"> model is much better constrained resulting in a much smaller range of extreme drawdowns. </w:t>
      </w:r>
      <w:r w:rsidR="00CC5685" w:rsidRPr="00B0618E">
        <w:t xml:space="preserve">For instance, the spatial extent of drawdowns &gt; 2 m decreases from 5 350 for the second data set to 550 for the third data set. </w:t>
      </w:r>
      <w:r w:rsidR="003A3D49" w:rsidRPr="00B0618E">
        <w:t>The extreme values (e.g., 95</w:t>
      </w:r>
      <w:r w:rsidR="003A3D49" w:rsidRPr="00B0618E">
        <w:rPr>
          <w:vertAlign w:val="superscript"/>
        </w:rPr>
        <w:t>th</w:t>
      </w:r>
      <w:r w:rsidR="003A3D49" w:rsidRPr="00B0618E">
        <w:t xml:space="preserve"> percentiles) are materially affected (i.e. smaller) by using the heterogeneous </w:t>
      </w:r>
      <w:r w:rsidR="003A3D49" w:rsidRPr="00B0618E">
        <w:rPr>
          <w:i/>
        </w:rPr>
        <w:t>K</w:t>
      </w:r>
      <w:r w:rsidR="00664DBF">
        <w:rPr>
          <w:vertAlign w:val="subscript"/>
        </w:rPr>
        <w:t>V</w:t>
      </w:r>
      <w:r w:rsidR="003A3D49" w:rsidRPr="00B0618E">
        <w:t xml:space="preserve"> model. </w:t>
      </w:r>
      <w:r w:rsidR="003B3215" w:rsidRPr="00B0618E">
        <w:t>Main reasons for this result are: i) a</w:t>
      </w:r>
      <w:r w:rsidR="003A3D49" w:rsidRPr="00B0618E">
        <w:t xml:space="preserve"> better constrained </w:t>
      </w:r>
      <w:r w:rsidR="003A3D49" w:rsidRPr="00B0618E">
        <w:rPr>
          <w:i/>
        </w:rPr>
        <w:t>K</w:t>
      </w:r>
      <w:r w:rsidR="00664DBF">
        <w:rPr>
          <w:vertAlign w:val="subscript"/>
        </w:rPr>
        <w:t>V</w:t>
      </w:r>
      <w:r w:rsidR="003A3D49" w:rsidRPr="00B0618E">
        <w:t xml:space="preserve"> model </w:t>
      </w:r>
      <w:r w:rsidR="003B3215" w:rsidRPr="00B0618E">
        <w:t>owing to the use of</w:t>
      </w:r>
      <w:r w:rsidR="003A3D49" w:rsidRPr="00B0618E">
        <w:t xml:space="preserve"> conditioned Sequential Gaussian Simulation, which honours the observed </w:t>
      </w:r>
      <w:r w:rsidR="003A3D49" w:rsidRPr="00B0618E">
        <w:rPr>
          <w:i/>
        </w:rPr>
        <w:t>K</w:t>
      </w:r>
      <w:r w:rsidR="00664DBF">
        <w:rPr>
          <w:vertAlign w:val="subscript"/>
        </w:rPr>
        <w:t>V</w:t>
      </w:r>
      <w:r w:rsidR="003A3D49" w:rsidRPr="00B0618E">
        <w:t xml:space="preserve"> data</w:t>
      </w:r>
      <w:r w:rsidR="003B3215" w:rsidRPr="00B0618E">
        <w:t xml:space="preserve">; </w:t>
      </w:r>
      <w:r w:rsidR="005C0E22" w:rsidRPr="00B0618E">
        <w:t xml:space="preserve">and </w:t>
      </w:r>
      <w:r w:rsidR="003B3215" w:rsidRPr="00B0618E">
        <w:t>ii)</w:t>
      </w:r>
      <w:r w:rsidR="003A3D49" w:rsidRPr="00B0618E">
        <w:t xml:space="preserve"> the smaller number of model runs, 50</w:t>
      </w:r>
      <w:r w:rsidR="003B3215" w:rsidRPr="00B0618E">
        <w:t>,</w:t>
      </w:r>
      <w:r w:rsidR="003A3D49" w:rsidRPr="00B0618E">
        <w:t xml:space="preserve"> for the heterogeneous model versus 300 for the homogeneous models</w:t>
      </w:r>
      <w:r w:rsidR="003B3215" w:rsidRPr="00B0618E">
        <w:t>, causing</w:t>
      </w:r>
      <w:r w:rsidR="003A3D49" w:rsidRPr="00B0618E">
        <w:t xml:space="preserve"> a smaller </w:t>
      </w:r>
      <w:r w:rsidR="003A3D49" w:rsidRPr="00B0618E">
        <w:rPr>
          <w:i/>
        </w:rPr>
        <w:t>K</w:t>
      </w:r>
      <w:r w:rsidR="00664DBF">
        <w:rPr>
          <w:vertAlign w:val="subscript"/>
        </w:rPr>
        <w:t>V</w:t>
      </w:r>
      <w:r w:rsidR="003A3D49" w:rsidRPr="00B0618E">
        <w:t xml:space="preserve"> parameter space </w:t>
      </w:r>
      <w:r w:rsidR="003B3215" w:rsidRPr="00B0618E">
        <w:t>to be</w:t>
      </w:r>
      <w:r w:rsidR="003A3D49" w:rsidRPr="00B0618E">
        <w:t xml:space="preserve"> sampled.</w:t>
      </w:r>
    </w:p>
    <w:p w14:paraId="4072F468" w14:textId="4292D3A8" w:rsidR="00727C96" w:rsidRDefault="00727C96" w:rsidP="00A92D6D">
      <w:pPr>
        <w:pStyle w:val="BodyText"/>
        <w:numPr>
          <w:ilvl w:val="0"/>
          <w:numId w:val="22"/>
        </w:numPr>
      </w:pPr>
      <w:r>
        <w:t xml:space="preserve">Time to maximum drawdown </w:t>
      </w:r>
      <w:r w:rsidR="007913EE">
        <w:t>decreased considerably when the heterogeneous model was implemented:</w:t>
      </w:r>
      <w:r>
        <w:t xml:space="preserve"> </w:t>
      </w:r>
      <w:r w:rsidR="007913EE">
        <w:t xml:space="preserve">the </w:t>
      </w:r>
      <w:r w:rsidR="007913EE" w:rsidRPr="00B0618E">
        <w:rPr>
          <w:color w:val="auto"/>
        </w:rPr>
        <w:t xml:space="preserve">median value decreased from 155 </w:t>
      </w:r>
      <w:r w:rsidR="007913EE">
        <w:rPr>
          <w:color w:val="auto"/>
        </w:rPr>
        <w:t xml:space="preserve">(homogenous model) </w:t>
      </w:r>
      <w:r w:rsidR="007913EE" w:rsidRPr="00B0618E">
        <w:rPr>
          <w:color w:val="auto"/>
        </w:rPr>
        <w:t>to 35 year</w:t>
      </w:r>
      <w:r w:rsidR="007913EE">
        <w:rPr>
          <w:color w:val="auto"/>
        </w:rPr>
        <w:t xml:space="preserve"> (heterogeneous model)</w:t>
      </w:r>
      <w:r w:rsidR="007913EE" w:rsidRPr="00B0618E">
        <w:rPr>
          <w:color w:val="auto"/>
        </w:rPr>
        <w:t xml:space="preserve">, and </w:t>
      </w:r>
      <w:r w:rsidR="007913EE">
        <w:rPr>
          <w:color w:val="auto"/>
        </w:rPr>
        <w:t xml:space="preserve">the </w:t>
      </w:r>
      <w:r w:rsidR="007913EE" w:rsidRPr="00B0618E">
        <w:rPr>
          <w:color w:val="auto"/>
        </w:rPr>
        <w:t>95</w:t>
      </w:r>
      <w:r w:rsidR="007913EE" w:rsidRPr="00B0618E">
        <w:rPr>
          <w:color w:val="auto"/>
          <w:vertAlign w:val="superscript"/>
        </w:rPr>
        <w:t>th</w:t>
      </w:r>
      <w:r w:rsidR="007913EE" w:rsidRPr="00B0618E">
        <w:rPr>
          <w:color w:val="auto"/>
        </w:rPr>
        <w:t xml:space="preserve"> percentile decreased from 160 </w:t>
      </w:r>
      <w:r w:rsidR="007913EE">
        <w:rPr>
          <w:color w:val="auto"/>
        </w:rPr>
        <w:t xml:space="preserve">(homogenous model) </w:t>
      </w:r>
      <w:r w:rsidR="007913EE" w:rsidRPr="00B0618E">
        <w:rPr>
          <w:color w:val="auto"/>
        </w:rPr>
        <w:t>to 81 y</w:t>
      </w:r>
      <w:r w:rsidR="007913EE">
        <w:rPr>
          <w:color w:val="auto"/>
        </w:rPr>
        <w:t>ear (heterogeneous model).</w:t>
      </w:r>
      <w:r w:rsidR="007913EE">
        <w:t xml:space="preserve"> </w:t>
      </w:r>
      <w:r>
        <w:t xml:space="preserve">Unlike the homogeneous models, all of the heterogeneous model runs do achieve their maximum drawdown within the total model run time, yielding the smaller median value of 35 years. </w:t>
      </w:r>
      <w:r w:rsidR="007913EE">
        <w:t xml:space="preserve">This result is believed to be due to the higher degree of connectivity within a heterogeneous model when both high and low conductivity zones are present in the model. These conditions are conducive to propagate the </w:t>
      </w:r>
      <w:r w:rsidR="00F50586">
        <w:t>depressurisation occurring in the coal formation much faster than models that have a homogeneous conductivity model. The heterogeneous model thus provides a more realistic reaction time of the groundwater systems, and is</w:t>
      </w:r>
      <w:r w:rsidR="00F50586" w:rsidRPr="00F50586">
        <w:t xml:space="preserve"> a more accurate approach for </w:t>
      </w:r>
      <w:r w:rsidR="00F50586">
        <w:t>obtaining</w:t>
      </w:r>
      <w:r w:rsidR="00F50586" w:rsidRPr="00F50586">
        <w:t xml:space="preserve"> a more robust estimate of likely timing of max</w:t>
      </w:r>
      <w:r w:rsidR="00F50586">
        <w:t>imum</w:t>
      </w:r>
      <w:r w:rsidR="00F50586" w:rsidRPr="00F50586">
        <w:t xml:space="preserve"> drawdown</w:t>
      </w:r>
      <w:r w:rsidR="00F50586">
        <w:t>.</w:t>
      </w:r>
    </w:p>
    <w:p w14:paraId="7CE64990" w14:textId="23280DBE" w:rsidR="003A3D49" w:rsidRPr="00B0618E" w:rsidRDefault="003A3D49" w:rsidP="007913EE">
      <w:pPr>
        <w:pStyle w:val="BodyText"/>
        <w:ind w:left="720"/>
      </w:pPr>
    </w:p>
    <w:p w14:paraId="7B4E94AC" w14:textId="0FBA680E" w:rsidR="00053E51" w:rsidRDefault="00053E51" w:rsidP="00F50586">
      <w:pPr>
        <w:pStyle w:val="BodyText"/>
        <w:rPr>
          <w:color w:val="auto"/>
        </w:rPr>
      </w:pPr>
      <w:r w:rsidRPr="00B0618E">
        <w:rPr>
          <w:color w:val="auto"/>
        </w:rPr>
        <w:t xml:space="preserve">Casting groundwater impact metrics in a probabilistic framework will </w:t>
      </w:r>
      <w:r w:rsidR="00664DBF">
        <w:rPr>
          <w:color w:val="auto"/>
        </w:rPr>
        <w:t>be of</w:t>
      </w:r>
      <w:r w:rsidRPr="00B0618E">
        <w:rPr>
          <w:color w:val="auto"/>
        </w:rPr>
        <w:t xml:space="preserve"> greatest benefits to groundwater management if management rules are also expressed in a probabilistic sense. Future research is recommended to explore </w:t>
      </w:r>
      <w:r w:rsidR="0044268A" w:rsidRPr="00B0618E">
        <w:rPr>
          <w:color w:val="auto"/>
        </w:rPr>
        <w:t xml:space="preserve">how to </w:t>
      </w:r>
      <w:r w:rsidRPr="00B0618E">
        <w:rPr>
          <w:color w:val="auto"/>
        </w:rPr>
        <w:t xml:space="preserve">optimally connect water management to probabilistic results from groundwater impact studies. </w:t>
      </w:r>
    </w:p>
    <w:p w14:paraId="0DDEB5D8" w14:textId="7D369010" w:rsidR="009506DB" w:rsidRDefault="00F50586" w:rsidP="001F2A0C">
      <w:pPr>
        <w:pStyle w:val="BodyText"/>
      </w:pPr>
      <w:r>
        <w:t xml:space="preserve">Bootstrapping analysis demonstrated </w:t>
      </w:r>
      <w:r w:rsidRPr="00B0618E">
        <w:t>how robust the summary statistics (</w:t>
      </w:r>
      <w:r w:rsidR="00664DBF">
        <w:t xml:space="preserve">i.e., </w:t>
      </w:r>
      <w:r w:rsidRPr="00B0618E">
        <w:t xml:space="preserve">the percentiles) of the </w:t>
      </w:r>
      <w:r>
        <w:t xml:space="preserve">groundwater impact </w:t>
      </w:r>
      <w:r w:rsidRPr="00B0618E">
        <w:t>predictions are.</w:t>
      </w:r>
      <w:bookmarkStart w:id="231" w:name="_Toc315694433"/>
      <w:r w:rsidR="001F2A0C">
        <w:t xml:space="preserve"> Based on a </w:t>
      </w:r>
      <w:r w:rsidR="001F2A0C" w:rsidRPr="00B0618E">
        <w:t>bootstrap resampling with respectively a sample size of 50 and 300</w:t>
      </w:r>
      <w:r w:rsidR="001F2A0C">
        <w:t>, t</w:t>
      </w:r>
      <w:r w:rsidR="001F2A0C" w:rsidRPr="00B0618E">
        <w:t>he bootstrap with sample size 50 shows considerable spread in the percentiles of predicted drawdown</w:t>
      </w:r>
      <w:r w:rsidR="001F2A0C">
        <w:t>. B</w:t>
      </w:r>
      <w:r w:rsidR="001F2A0C" w:rsidRPr="00B0618E">
        <w:t xml:space="preserve">y increasing the sample size </w:t>
      </w:r>
      <w:r w:rsidR="000F410C">
        <w:t xml:space="preserve">from 50 </w:t>
      </w:r>
      <w:r w:rsidR="001F2A0C" w:rsidRPr="00B0618E">
        <w:t>to 300 the range of predictions decreases considerably</w:t>
      </w:r>
      <w:r w:rsidR="001F2A0C">
        <w:t xml:space="preserve">, </w:t>
      </w:r>
      <w:r w:rsidR="000F410C">
        <w:t>demonstrating how robustness of the summary statistics improve as sample size increases.</w:t>
      </w:r>
    </w:p>
    <w:p w14:paraId="1A062AAB" w14:textId="77777777" w:rsidR="000F410C" w:rsidRDefault="000F410C" w:rsidP="000F410C">
      <w:pPr>
        <w:pStyle w:val="BodyText"/>
      </w:pPr>
      <w:r>
        <w:t xml:space="preserve">Main learnings from this study relevant to other characterisation and groundwater modelling studies are as follows: </w:t>
      </w:r>
    </w:p>
    <w:p w14:paraId="3843BAF5" w14:textId="7825B4CA" w:rsidR="000F410C" w:rsidRDefault="000F410C" w:rsidP="00A92D6D">
      <w:pPr>
        <w:pStyle w:val="BodyText"/>
        <w:numPr>
          <w:ilvl w:val="0"/>
          <w:numId w:val="23"/>
        </w:numPr>
      </w:pPr>
      <w:r>
        <w:t>I</w:t>
      </w:r>
      <w:r w:rsidRPr="00B0618E">
        <w:t xml:space="preserve">mproved characterisation of aquitard </w:t>
      </w:r>
      <w:r w:rsidRPr="00B0618E">
        <w:rPr>
          <w:i/>
        </w:rPr>
        <w:t>K</w:t>
      </w:r>
      <w:r w:rsidRPr="00B0618E">
        <w:rPr>
          <w:vertAlign w:val="subscript"/>
        </w:rPr>
        <w:t xml:space="preserve">V </w:t>
      </w:r>
      <w:r w:rsidRPr="00B0618E">
        <w:t xml:space="preserve">resulted in more credibly defining the probability distribution for </w:t>
      </w:r>
      <w:r w:rsidRPr="00B0618E">
        <w:rPr>
          <w:i/>
        </w:rPr>
        <w:t>K</w:t>
      </w:r>
      <w:r w:rsidRPr="00B0618E">
        <w:rPr>
          <w:vertAlign w:val="subscript"/>
        </w:rPr>
        <w:t xml:space="preserve">V, </w:t>
      </w:r>
      <w:r w:rsidRPr="00B0618E">
        <w:t xml:space="preserve">with the </w:t>
      </w:r>
      <w:r>
        <w:t xml:space="preserve">rather arbitrarily chosen </w:t>
      </w:r>
      <w:r w:rsidRPr="00B0618E">
        <w:t>prior</w:t>
      </w:r>
      <w:r w:rsidRPr="00B0618E">
        <w:rPr>
          <w:vertAlign w:val="subscript"/>
        </w:rPr>
        <w:t xml:space="preserve"> </w:t>
      </w:r>
      <w:r w:rsidRPr="00B0618E">
        <w:t xml:space="preserve">log-uniform distribution being replaced by </w:t>
      </w:r>
      <w:r w:rsidR="00222A6F" w:rsidRPr="00B0618E">
        <w:t>a</w:t>
      </w:r>
      <w:r w:rsidR="00664DBF">
        <w:t xml:space="preserve"> unimodal</w:t>
      </w:r>
      <w:r w:rsidRPr="00B0618E">
        <w:t xml:space="preserve"> log-triangular distribution</w:t>
      </w:r>
      <w:r>
        <w:t>. T</w:t>
      </w:r>
      <w:r w:rsidRPr="00B0618E">
        <w:t>he new data set has a solid evidence base and thus its credibility (and the model predictions based on it) has significantly improved</w:t>
      </w:r>
      <w:r>
        <w:t xml:space="preserve">. The model </w:t>
      </w:r>
      <w:r w:rsidR="00A92D6D">
        <w:t>further</w:t>
      </w:r>
      <w:r>
        <w:t xml:space="preserve"> provides a basis for subsequent investigations that aim to reduce model uncertainty once the key factors contributing to uncertainty have been identified. This underscores the need to improve more broadly characterisation efforts of </w:t>
      </w:r>
      <w:r w:rsidR="001E1D9D">
        <w:t>hydrogeological</w:t>
      </w:r>
      <w:r>
        <w:t xml:space="preserve"> parameters</w:t>
      </w:r>
      <w:r w:rsidRPr="00B0618E">
        <w:t xml:space="preserve"> </w:t>
      </w:r>
      <w:r>
        <w:t>to progressively reduced predictive uncertainty to a level that both the modelling community and regulators are comfortable with. Building reliable groundwater models is an iterative process whereby uncertainties in the initial parameters and model components are reduced progressively through data collection, sensitivity and uncertainty analysis</w:t>
      </w:r>
      <w:r w:rsidR="003004B5">
        <w:t xml:space="preserve"> (Gedeon et al., 2013)</w:t>
      </w:r>
      <w:r>
        <w:t xml:space="preserve">. </w:t>
      </w:r>
    </w:p>
    <w:p w14:paraId="04229794" w14:textId="767E3055" w:rsidR="000F410C" w:rsidRDefault="00D855FA" w:rsidP="00A92D6D">
      <w:pPr>
        <w:pStyle w:val="BodyText"/>
        <w:numPr>
          <w:ilvl w:val="0"/>
          <w:numId w:val="23"/>
        </w:numPr>
      </w:pPr>
      <w:r>
        <w:t>E</w:t>
      </w:r>
      <w:r w:rsidRPr="00B0618E">
        <w:t>xtreme drawdowns (magnitude and spatial extent of 95</w:t>
      </w:r>
      <w:r w:rsidRPr="00D855FA">
        <w:t>th</w:t>
      </w:r>
      <w:r w:rsidRPr="00B0618E">
        <w:t xml:space="preserve"> percentile) are much smaller </w:t>
      </w:r>
      <w:r>
        <w:t>for</w:t>
      </w:r>
      <w:r w:rsidRPr="00B0618E">
        <w:t xml:space="preserve"> the heterogeneous model </w:t>
      </w:r>
      <w:r>
        <w:t>compared to the homogeneous model</w:t>
      </w:r>
      <w:r w:rsidRPr="00B0618E">
        <w:t>.</w:t>
      </w:r>
      <w:r>
        <w:t xml:space="preserve"> This</w:t>
      </w:r>
      <w:r w:rsidRPr="00B0618E">
        <w:t xml:space="preserve"> illustrat</w:t>
      </w:r>
      <w:r>
        <w:t>es</w:t>
      </w:r>
      <w:r w:rsidRPr="00B0618E">
        <w:t xml:space="preserve"> that the heterogeneous model is much better constrained resulting in a much smaller range of extreme drawdowns. The better constrained </w:t>
      </w:r>
      <w:r w:rsidRPr="00B0618E">
        <w:rPr>
          <w:i/>
        </w:rPr>
        <w:t>K</w:t>
      </w:r>
      <w:r w:rsidR="00664DBF">
        <w:rPr>
          <w:vertAlign w:val="subscript"/>
        </w:rPr>
        <w:t>V</w:t>
      </w:r>
      <w:r w:rsidRPr="00B0618E">
        <w:t xml:space="preserve"> model results from using the conditioned Sequential Gaussian Simulation, which honours the observed </w:t>
      </w:r>
      <w:r w:rsidRPr="00B0618E">
        <w:rPr>
          <w:i/>
        </w:rPr>
        <w:t>K</w:t>
      </w:r>
      <w:r w:rsidR="00664DBF">
        <w:rPr>
          <w:vertAlign w:val="subscript"/>
        </w:rPr>
        <w:t>V</w:t>
      </w:r>
      <w:r w:rsidRPr="00B0618E">
        <w:t xml:space="preserve"> data.</w:t>
      </w:r>
    </w:p>
    <w:p w14:paraId="17282D60" w14:textId="32EB59F2" w:rsidR="0023437D" w:rsidRDefault="0023437D" w:rsidP="00A92D6D">
      <w:pPr>
        <w:pStyle w:val="BodyText"/>
        <w:numPr>
          <w:ilvl w:val="0"/>
          <w:numId w:val="23"/>
        </w:numPr>
      </w:pPr>
      <w:r>
        <w:t>The heterogeneous model provides a more realistic reaction time of the groundwater systems, and is</w:t>
      </w:r>
      <w:r w:rsidRPr="00F50586">
        <w:t xml:space="preserve"> a more accurate approach for </w:t>
      </w:r>
      <w:r>
        <w:t>obtaining</w:t>
      </w:r>
      <w:r w:rsidRPr="00F50586">
        <w:t xml:space="preserve"> a more robust estimate of likely timing of max</w:t>
      </w:r>
      <w:r>
        <w:t>imum</w:t>
      </w:r>
      <w:r w:rsidRPr="00F50586">
        <w:t xml:space="preserve"> drawdown</w:t>
      </w:r>
      <w:r>
        <w:t>.</w:t>
      </w:r>
    </w:p>
    <w:p w14:paraId="73DE0BEC" w14:textId="69B855BC" w:rsidR="00FB2181" w:rsidRDefault="00FB2181" w:rsidP="00A92D6D">
      <w:pPr>
        <w:pStyle w:val="BodyText"/>
        <w:numPr>
          <w:ilvl w:val="0"/>
          <w:numId w:val="23"/>
        </w:numPr>
      </w:pPr>
      <w:r>
        <w:t>T</w:t>
      </w:r>
      <w:r w:rsidRPr="00B0618E">
        <w:t xml:space="preserve">he use of improved aquitard conceptualisations and parameterisation does not necessarily result in overall reduction in predictive uncertainty. However, incorporation of a more data-driven </w:t>
      </w:r>
      <w:r>
        <w:t xml:space="preserve">and spatially heterogeneous </w:t>
      </w:r>
      <w:r w:rsidRPr="00B0618E">
        <w:t xml:space="preserve">hydraulic conductivity </w:t>
      </w:r>
      <w:r>
        <w:t xml:space="preserve">parameterisation always results in </w:t>
      </w:r>
      <w:r w:rsidRPr="00B0618E">
        <w:t>a more technically defensible model</w:t>
      </w:r>
      <w:r>
        <w:t xml:space="preserve"> and provides more credible model predictions</w:t>
      </w:r>
      <w:r w:rsidRPr="00B0618E">
        <w:t>.</w:t>
      </w:r>
    </w:p>
    <w:p w14:paraId="2AAF967D" w14:textId="77777777" w:rsidR="00D855FA" w:rsidRPr="002819F9" w:rsidRDefault="00D855FA" w:rsidP="002819F9">
      <w:pPr>
        <w:pStyle w:val="BodyText"/>
      </w:pPr>
    </w:p>
    <w:p w14:paraId="33F2D7AB" w14:textId="77777777" w:rsidR="00A943B2" w:rsidRPr="00B0618E" w:rsidRDefault="00A943B2" w:rsidP="00D1044D">
      <w:pPr>
        <w:pStyle w:val="Heading1notnumbered"/>
      </w:pPr>
      <w:bookmarkStart w:id="232" w:name="_Toc483127593"/>
      <w:r w:rsidRPr="00B0618E">
        <w:t>References</w:t>
      </w:r>
      <w:bookmarkEnd w:id="231"/>
      <w:bookmarkEnd w:id="232"/>
    </w:p>
    <w:p w14:paraId="23709F85" w14:textId="69EDD4CA" w:rsidR="005735E5" w:rsidRPr="00A57A11" w:rsidRDefault="005735E5" w:rsidP="00A57A11">
      <w:pPr>
        <w:pStyle w:val="BodyText"/>
        <w:ind w:left="567" w:hanging="567"/>
      </w:pPr>
      <w:r w:rsidRPr="00A57A11">
        <w:t xml:space="preserve">Ababou R (1988) </w:t>
      </w:r>
      <w:r w:rsidRPr="002819F9">
        <w:rPr>
          <w:i/>
        </w:rPr>
        <w:t>Three-Dimensional Flow in Random Porous Media</w:t>
      </w:r>
      <w:r w:rsidR="002A274E">
        <w:t>,</w:t>
      </w:r>
      <w:r w:rsidRPr="00A57A11">
        <w:t xml:space="preserve"> PhD </w:t>
      </w:r>
      <w:r w:rsidR="002A274E">
        <w:t>t</w:t>
      </w:r>
      <w:r w:rsidRPr="00A57A11">
        <w:t>hesis</w:t>
      </w:r>
      <w:r w:rsidR="002A274E">
        <w:t>,</w:t>
      </w:r>
      <w:r w:rsidRPr="00A57A11">
        <w:t xml:space="preserve"> Department of Civil Engineering, Massachusetts Institute of Technology</w:t>
      </w:r>
      <w:r w:rsidR="002A274E">
        <w:t>,</w:t>
      </w:r>
      <w:r w:rsidRPr="00A57A11">
        <w:t xml:space="preserve"> Cambridge, Massachusetts</w:t>
      </w:r>
      <w:r w:rsidR="002A274E">
        <w:t>, USA,</w:t>
      </w:r>
      <w:r w:rsidRPr="00A57A11">
        <w:t xml:space="preserve"> 2 vol</w:t>
      </w:r>
      <w:r w:rsidR="002A274E">
        <w:t>.s</w:t>
      </w:r>
      <w:r w:rsidRPr="00A57A11">
        <w:t>, 833p.</w:t>
      </w:r>
    </w:p>
    <w:p w14:paraId="32A485D6" w14:textId="4E6258C1" w:rsidR="005735E5" w:rsidRDefault="005735E5" w:rsidP="00B702F3">
      <w:pPr>
        <w:pStyle w:val="BodyText"/>
        <w:ind w:left="567" w:hanging="567"/>
      </w:pPr>
      <w:r w:rsidRPr="00B702F3">
        <w:t>Ababou R</w:t>
      </w:r>
      <w:r>
        <w:t>,</w:t>
      </w:r>
      <w:r w:rsidRPr="00B702F3">
        <w:t xml:space="preserve"> McLaughlin</w:t>
      </w:r>
      <w:r>
        <w:t xml:space="preserve"> D</w:t>
      </w:r>
      <w:r w:rsidRPr="00B702F3">
        <w:t>, Gelhar</w:t>
      </w:r>
      <w:r>
        <w:t xml:space="preserve"> LW</w:t>
      </w:r>
      <w:r w:rsidRPr="00B702F3">
        <w:t>, and Tompson</w:t>
      </w:r>
      <w:r>
        <w:t xml:space="preserve"> AF</w:t>
      </w:r>
      <w:r w:rsidRPr="00B702F3">
        <w:t xml:space="preserve"> (1989) Numerical simulation of three dimensional saturated flow in randomly heterogeneous porous media</w:t>
      </w:r>
      <w:r w:rsidR="002A274E">
        <w:t>,</w:t>
      </w:r>
      <w:r w:rsidRPr="00B702F3">
        <w:t xml:space="preserve"> </w:t>
      </w:r>
      <w:r w:rsidRPr="002819F9">
        <w:rPr>
          <w:i/>
        </w:rPr>
        <w:t>Transport in Porous Media</w:t>
      </w:r>
      <w:r w:rsidRPr="00B702F3">
        <w:t xml:space="preserve"> 4: 549-565.</w:t>
      </w:r>
    </w:p>
    <w:p w14:paraId="58711800" w14:textId="522FA16A" w:rsidR="00FD158C" w:rsidRDefault="00FD158C" w:rsidP="00FD158C">
      <w:pPr>
        <w:pStyle w:val="BodyText"/>
        <w:ind w:left="567" w:hanging="567"/>
      </w:pPr>
      <w:r w:rsidRPr="00FD158C">
        <w:t>Arena</w:t>
      </w:r>
      <w:r>
        <w:t xml:space="preserve"> A</w:t>
      </w:r>
      <w:r w:rsidRPr="00FD158C">
        <w:t>, Carnerup</w:t>
      </w:r>
      <w:r>
        <w:t xml:space="preserve"> A</w:t>
      </w:r>
      <w:r w:rsidRPr="00FD158C">
        <w:t>, Deakin</w:t>
      </w:r>
      <w:r>
        <w:t xml:space="preserve"> L</w:t>
      </w:r>
      <w:r w:rsidRPr="00FD158C">
        <w:t>, Golab</w:t>
      </w:r>
      <w:r>
        <w:t xml:space="preserve"> A</w:t>
      </w:r>
      <w:r w:rsidRPr="00FD158C">
        <w:t>, Green</w:t>
      </w:r>
      <w:r>
        <w:t xml:space="preserve"> C</w:t>
      </w:r>
      <w:r w:rsidRPr="00FD158C">
        <w:t>, Hussain</w:t>
      </w:r>
      <w:r>
        <w:t xml:space="preserve"> F</w:t>
      </w:r>
      <w:r w:rsidRPr="00FD158C">
        <w:t>, Goodwin</w:t>
      </w:r>
      <w:r>
        <w:t xml:space="preserve"> C</w:t>
      </w:r>
      <w:r w:rsidRPr="00FD158C">
        <w:t>, Rajan</w:t>
      </w:r>
      <w:r>
        <w:t xml:space="preserve"> P</w:t>
      </w:r>
      <w:r w:rsidRPr="00FD158C">
        <w:t>, Dodd</w:t>
      </w:r>
      <w:r>
        <w:t xml:space="preserve"> N</w:t>
      </w:r>
      <w:r w:rsidRPr="00FD158C">
        <w:t>, Khor</w:t>
      </w:r>
      <w:r>
        <w:t xml:space="preserve"> J</w:t>
      </w:r>
      <w:r w:rsidRPr="00FD158C">
        <w:t>, Knackstedt</w:t>
      </w:r>
      <w:r>
        <w:t xml:space="preserve"> M</w:t>
      </w:r>
      <w:r w:rsidRPr="00FD158C">
        <w:t>, Knuefing</w:t>
      </w:r>
      <w:r>
        <w:t xml:space="preserve"> L</w:t>
      </w:r>
      <w:r w:rsidRPr="00FD158C">
        <w:t>, Larsson</w:t>
      </w:r>
      <w:r>
        <w:t xml:space="preserve"> A</w:t>
      </w:r>
      <w:r w:rsidRPr="00FD158C">
        <w:t>, Sok</w:t>
      </w:r>
      <w:r>
        <w:t xml:space="preserve"> R</w:t>
      </w:r>
      <w:r w:rsidRPr="00FD158C">
        <w:t>, Sommacal</w:t>
      </w:r>
      <w:r>
        <w:t xml:space="preserve"> S</w:t>
      </w:r>
      <w:r w:rsidRPr="00FD158C">
        <w:t>, Young</w:t>
      </w:r>
      <w:r>
        <w:t xml:space="preserve"> B</w:t>
      </w:r>
      <w:r w:rsidRPr="00FD158C">
        <w:t xml:space="preserve">, Zhang </w:t>
      </w:r>
      <w:r>
        <w:t xml:space="preserve">J </w:t>
      </w:r>
      <w:r w:rsidRPr="00FD158C">
        <w:t>(2016) Maximising the value of digital core analysis for carbon sequestration site assessment. Milestone 0.4: Final project report.</w:t>
      </w:r>
    </w:p>
    <w:p w14:paraId="6CAF3862" w14:textId="77777777" w:rsidR="005735E5" w:rsidRPr="00B0618E" w:rsidRDefault="005735E5" w:rsidP="005735E5">
      <w:pPr>
        <w:pStyle w:val="BodyText"/>
        <w:ind w:left="567" w:hanging="567"/>
        <w:rPr>
          <w:color w:val="auto"/>
        </w:rPr>
      </w:pPr>
      <w:r w:rsidRPr="00B0618E">
        <w:rPr>
          <w:color w:val="auto"/>
        </w:rPr>
        <w:t xml:space="preserve">Bakker M, Post VEA, Langevin CD, Hughes JD, White JT, Starn JJ and Fienen MN (2016) Scripting MODFLOW model development using Python and FloPy, </w:t>
      </w:r>
      <w:r w:rsidRPr="00B0618E">
        <w:rPr>
          <w:i/>
          <w:color w:val="auto"/>
        </w:rPr>
        <w:t>Ground Water</w:t>
      </w:r>
      <w:r w:rsidRPr="00B0618E">
        <w:rPr>
          <w:color w:val="auto"/>
        </w:rPr>
        <w:t xml:space="preserve"> 54: 733–739.</w:t>
      </w:r>
    </w:p>
    <w:p w14:paraId="1912F90C" w14:textId="77777777" w:rsidR="005735E5" w:rsidRPr="00B0618E" w:rsidRDefault="005735E5" w:rsidP="000A321F">
      <w:pPr>
        <w:pStyle w:val="BodyText"/>
        <w:ind w:left="567" w:hanging="567"/>
      </w:pPr>
      <w:r w:rsidRPr="00B0618E">
        <w:t>Bohling G (2005) Introduction to geostatistics and variogram analysis, Kansas Geological Survey, URL=&lt;https://pdfs.semanticscholar.org/ef33/f1ef327b1b8bcf5e424f9f4c90b51fc78ae5.pdf&gt;, accessed 22 March 2017, 20p.</w:t>
      </w:r>
    </w:p>
    <w:p w14:paraId="07E8F523" w14:textId="77777777" w:rsidR="005735E5" w:rsidRDefault="005735E5" w:rsidP="000A321F">
      <w:pPr>
        <w:pStyle w:val="BodyText"/>
        <w:ind w:left="567" w:hanging="567"/>
      </w:pPr>
      <w:r w:rsidRPr="00B0618E">
        <w:t xml:space="preserve">Borgonovo E (2007) A new uncertainty importance measure, </w:t>
      </w:r>
      <w:r w:rsidRPr="00B0618E">
        <w:rPr>
          <w:i/>
        </w:rPr>
        <w:t xml:space="preserve">Reliability Engineering and System Safety </w:t>
      </w:r>
      <w:r w:rsidRPr="00B0618E">
        <w:t>92(6): 771-784.</w:t>
      </w:r>
    </w:p>
    <w:p w14:paraId="51B57934" w14:textId="2A98A949" w:rsidR="00437C87" w:rsidRDefault="00437C87" w:rsidP="00437C87">
      <w:pPr>
        <w:pStyle w:val="BodyText"/>
        <w:ind w:left="567" w:hanging="567"/>
      </w:pPr>
      <w:r>
        <w:t xml:space="preserve">Bredehoeft JD (2005) The conceptualization model problem—surprise. </w:t>
      </w:r>
      <w:r w:rsidRPr="00437C87">
        <w:rPr>
          <w:i/>
        </w:rPr>
        <w:t>Hydrogeology Journal</w:t>
      </w:r>
      <w:r>
        <w:t xml:space="preserve"> 13: 37–46.</w:t>
      </w:r>
    </w:p>
    <w:p w14:paraId="0F1106E6" w14:textId="4FCF59E7" w:rsidR="005735E5" w:rsidRDefault="005735E5" w:rsidP="000A321F">
      <w:pPr>
        <w:pStyle w:val="BodyText"/>
        <w:ind w:left="567" w:hanging="567"/>
      </w:pPr>
      <w:r w:rsidRPr="00B0618E">
        <w:t>Burn D H (2003) The use of resampling for estimating confidence intervals for single site and pooled frequency analysis</w:t>
      </w:r>
      <w:r w:rsidR="002A274E">
        <w:t>,</w:t>
      </w:r>
      <w:r w:rsidRPr="00B0618E">
        <w:t xml:space="preserve"> </w:t>
      </w:r>
      <w:r w:rsidRPr="002819F9">
        <w:rPr>
          <w:i/>
        </w:rPr>
        <w:t>Hydrological Sciences Journal</w:t>
      </w:r>
      <w:r w:rsidRPr="00B0618E">
        <w:t xml:space="preserve"> 48: 25-38. </w:t>
      </w:r>
    </w:p>
    <w:p w14:paraId="2442F78A" w14:textId="77777777" w:rsidR="001446C7" w:rsidRDefault="001446C7" w:rsidP="002819F9">
      <w:pPr>
        <w:pStyle w:val="BodyText"/>
        <w:ind w:left="567" w:hanging="567"/>
      </w:pPr>
      <w:r w:rsidRPr="00AA5DA7">
        <w:t xml:space="preserve">Carrera J, Alcolea A, Medina A, Hidalgo J and Slooten L J (2005) Inverse problem in hydrogeology </w:t>
      </w:r>
      <w:r w:rsidRPr="00437C87">
        <w:rPr>
          <w:i/>
        </w:rPr>
        <w:t>Hydrogeology Journal</w:t>
      </w:r>
      <w:r w:rsidRPr="00AA5DA7">
        <w:t>, 13, 206-222 http://dx.doi.org/10.1007/s10040-004-0404-7</w:t>
      </w:r>
    </w:p>
    <w:p w14:paraId="1B426E76" w14:textId="7C3BC54E" w:rsidR="005735E5" w:rsidRDefault="005735E5" w:rsidP="000A321F">
      <w:pPr>
        <w:pStyle w:val="BodyText"/>
        <w:ind w:left="567" w:hanging="567"/>
        <w:rPr>
          <w:color w:val="auto"/>
        </w:rPr>
      </w:pPr>
      <w:r>
        <w:rPr>
          <w:color w:val="auto"/>
        </w:rPr>
        <w:t>CDM Smith (2016)</w:t>
      </w:r>
      <w:r w:rsidRPr="00B0618E">
        <w:rPr>
          <w:color w:val="auto"/>
        </w:rPr>
        <w:t xml:space="preserve"> </w:t>
      </w:r>
      <w:r w:rsidRPr="00B0618E">
        <w:rPr>
          <w:i/>
          <w:color w:val="auto"/>
        </w:rPr>
        <w:t>Narrabri Gas Project Groundwater Modelling Report</w:t>
      </w:r>
      <w:r w:rsidRPr="00B0618E">
        <w:rPr>
          <w:color w:val="auto"/>
        </w:rPr>
        <w:t xml:space="preserve">, report produced for Santos Ltd, </w:t>
      </w:r>
      <w:r w:rsidR="00540244">
        <w:rPr>
          <w:color w:val="auto"/>
        </w:rPr>
        <w:t>389p</w:t>
      </w:r>
      <w:r w:rsidRPr="00B0618E">
        <w:rPr>
          <w:color w:val="auto"/>
        </w:rPr>
        <w:t>.</w:t>
      </w:r>
    </w:p>
    <w:p w14:paraId="1AC25676" w14:textId="41B59138" w:rsidR="003B5C47" w:rsidRPr="00B0618E" w:rsidRDefault="00E81AE0" w:rsidP="00D55857">
      <w:pPr>
        <w:pStyle w:val="BodyText"/>
        <w:ind w:left="567" w:hanging="567"/>
        <w:rPr>
          <w:color w:val="auto"/>
        </w:rPr>
      </w:pPr>
      <w:r w:rsidRPr="00D55857">
        <w:rPr>
          <w:color w:val="auto"/>
        </w:rPr>
        <w:t>Cirpka</w:t>
      </w:r>
      <w:r w:rsidR="00D55857" w:rsidRPr="00D55857">
        <w:rPr>
          <w:color w:val="auto"/>
        </w:rPr>
        <w:t xml:space="preserve"> OA,</w:t>
      </w:r>
      <w:r w:rsidRPr="00D55857">
        <w:rPr>
          <w:color w:val="auto"/>
        </w:rPr>
        <w:t xml:space="preserve"> Bu</w:t>
      </w:r>
      <w:r w:rsidR="00D55857">
        <w:rPr>
          <w:color w:val="auto"/>
        </w:rPr>
        <w:t>e</w:t>
      </w:r>
      <w:r w:rsidRPr="00D55857">
        <w:rPr>
          <w:color w:val="auto"/>
        </w:rPr>
        <w:t>rger</w:t>
      </w:r>
      <w:r w:rsidR="00D55857">
        <w:rPr>
          <w:color w:val="auto"/>
        </w:rPr>
        <w:t xml:space="preserve"> CM</w:t>
      </w:r>
      <w:r w:rsidRPr="00D55857">
        <w:rPr>
          <w:color w:val="auto"/>
        </w:rPr>
        <w:t>, Nowak</w:t>
      </w:r>
      <w:r w:rsidR="00D55857">
        <w:rPr>
          <w:color w:val="auto"/>
        </w:rPr>
        <w:t xml:space="preserve"> W</w:t>
      </w:r>
      <w:r w:rsidRPr="00D55857">
        <w:rPr>
          <w:color w:val="auto"/>
        </w:rPr>
        <w:t xml:space="preserve"> and Finkel</w:t>
      </w:r>
      <w:r w:rsidR="00D55857">
        <w:rPr>
          <w:color w:val="auto"/>
        </w:rPr>
        <w:t xml:space="preserve"> M</w:t>
      </w:r>
      <w:r w:rsidRPr="00D55857">
        <w:rPr>
          <w:color w:val="auto"/>
        </w:rPr>
        <w:t xml:space="preserve"> (2004) Uncertainty and data worth analysis for the hydraulic design of funnel-and-gate systems in heterogeneous aquifers. W</w:t>
      </w:r>
      <w:r w:rsidR="00D55857">
        <w:rPr>
          <w:color w:val="auto"/>
        </w:rPr>
        <w:t xml:space="preserve">ater Resources Research, </w:t>
      </w:r>
      <w:r w:rsidRPr="00D55857">
        <w:rPr>
          <w:color w:val="auto"/>
        </w:rPr>
        <w:t>V</w:t>
      </w:r>
      <w:r w:rsidR="00D55857">
        <w:rPr>
          <w:color w:val="auto"/>
        </w:rPr>
        <w:t>ol</w:t>
      </w:r>
      <w:r w:rsidRPr="00D55857">
        <w:rPr>
          <w:color w:val="auto"/>
        </w:rPr>
        <w:t>. 40, W11502, doi:10.1029/2004WR003352</w:t>
      </w:r>
      <w:r w:rsidR="00D55857">
        <w:rPr>
          <w:color w:val="auto"/>
        </w:rPr>
        <w:t>.</w:t>
      </w:r>
    </w:p>
    <w:p w14:paraId="14ED4487" w14:textId="63BF8B8B" w:rsidR="001446C7" w:rsidRDefault="001446C7" w:rsidP="00E7574C">
      <w:pPr>
        <w:pStyle w:val="BodyText"/>
        <w:ind w:left="567" w:hanging="567"/>
      </w:pPr>
      <w:r w:rsidRPr="002C3525">
        <w:t xml:space="preserve">Cook P, Miller A, Shanafield M and Simmons C (2016) Predicting Water Resource Impacts of Unconventional Gas Using Simple Analytical Equations Groundwater, </w:t>
      </w:r>
      <w:hyperlink r:id="rId88" w:history="1">
        <w:r w:rsidR="00C504B8" w:rsidRPr="0094460A">
          <w:rPr>
            <w:rStyle w:val="Hyperlink"/>
          </w:rPr>
          <w:t>http://dx.doi.org/10.1111/gwat.12489</w:t>
        </w:r>
      </w:hyperlink>
      <w:r w:rsidR="00C504B8">
        <w:t>.</w:t>
      </w:r>
    </w:p>
    <w:p w14:paraId="01E569DF" w14:textId="0568F5A8" w:rsidR="00C504B8" w:rsidRDefault="00C504B8" w:rsidP="00C504B8">
      <w:pPr>
        <w:pStyle w:val="BodyText"/>
        <w:ind w:left="567" w:hanging="567"/>
        <w:rPr>
          <w:color w:val="auto"/>
        </w:rPr>
      </w:pPr>
      <w:r w:rsidRPr="00C504B8">
        <w:rPr>
          <w:color w:val="auto"/>
        </w:rPr>
        <w:t>C</w:t>
      </w:r>
      <w:r>
        <w:rPr>
          <w:color w:val="auto"/>
        </w:rPr>
        <w:t>ox</w:t>
      </w:r>
      <w:r w:rsidRPr="00C504B8">
        <w:rPr>
          <w:color w:val="auto"/>
        </w:rPr>
        <w:t xml:space="preserve"> D</w:t>
      </w:r>
      <w:r>
        <w:rPr>
          <w:color w:val="auto"/>
        </w:rPr>
        <w:t>C and</w:t>
      </w:r>
      <w:r w:rsidRPr="00C504B8">
        <w:rPr>
          <w:color w:val="auto"/>
        </w:rPr>
        <w:t xml:space="preserve"> B</w:t>
      </w:r>
      <w:r>
        <w:rPr>
          <w:color w:val="auto"/>
        </w:rPr>
        <w:t>aybutt P</w:t>
      </w:r>
      <w:r w:rsidRPr="00C504B8">
        <w:rPr>
          <w:color w:val="auto"/>
        </w:rPr>
        <w:t xml:space="preserve"> (1981). </w:t>
      </w:r>
      <w:r>
        <w:rPr>
          <w:color w:val="auto"/>
        </w:rPr>
        <w:t xml:space="preserve">Limit lines for risk, </w:t>
      </w:r>
      <w:r w:rsidRPr="00C504B8">
        <w:rPr>
          <w:i/>
          <w:color w:val="auto"/>
        </w:rPr>
        <w:t>Nuclear Technology</w:t>
      </w:r>
      <w:r w:rsidRPr="00C504B8">
        <w:rPr>
          <w:color w:val="auto"/>
        </w:rPr>
        <w:t xml:space="preserve"> 57: 320-330.</w:t>
      </w:r>
    </w:p>
    <w:p w14:paraId="6C62DA96" w14:textId="77777777" w:rsidR="00FA284E" w:rsidRDefault="00FA284E" w:rsidP="00FA284E">
      <w:pPr>
        <w:pStyle w:val="BodyText"/>
        <w:ind w:left="567" w:hanging="567"/>
        <w:rPr>
          <w:color w:val="auto"/>
        </w:rPr>
      </w:pPr>
      <w:r w:rsidRPr="00B0618E">
        <w:rPr>
          <w:color w:val="auto"/>
        </w:rPr>
        <w:t xml:space="preserve">Cressie N (1985) Fitting variogram models by weighted least squares, </w:t>
      </w:r>
      <w:r w:rsidRPr="00B0618E">
        <w:rPr>
          <w:i/>
          <w:color w:val="auto"/>
        </w:rPr>
        <w:t>Mathematical Geology</w:t>
      </w:r>
      <w:r w:rsidRPr="00B0618E">
        <w:rPr>
          <w:color w:val="auto"/>
        </w:rPr>
        <w:t xml:space="preserve"> 17(5): 563-586.</w:t>
      </w:r>
    </w:p>
    <w:p w14:paraId="3E12A579" w14:textId="77777777" w:rsidR="00FA284E" w:rsidRDefault="00FA284E" w:rsidP="00C504B8">
      <w:pPr>
        <w:pStyle w:val="BodyText"/>
        <w:ind w:left="567" w:hanging="567"/>
        <w:rPr>
          <w:color w:val="auto"/>
        </w:rPr>
      </w:pPr>
    </w:p>
    <w:p w14:paraId="64015952" w14:textId="1E7DCDA3" w:rsidR="00FA284E" w:rsidRPr="00C504B8" w:rsidRDefault="00FA284E" w:rsidP="00C504B8">
      <w:pPr>
        <w:pStyle w:val="BodyText"/>
        <w:ind w:left="567" w:hanging="567"/>
        <w:rPr>
          <w:color w:val="auto"/>
        </w:rPr>
      </w:pPr>
      <w:r w:rsidRPr="00D40DDB">
        <w:rPr>
          <w:color w:val="auto"/>
        </w:rPr>
        <w:t>CSIRO (2012) Water resource assessment for the Surat region. A report to the Australian Government from the CSIRO Great Artesian Basin Water Resource Assessment. CSIRO Water for a Healthy Country Flagship, Australia.</w:t>
      </w:r>
    </w:p>
    <w:p w14:paraId="0049A8E4" w14:textId="081DFA55" w:rsidR="005735E5" w:rsidRDefault="005735E5" w:rsidP="000A321F">
      <w:pPr>
        <w:pStyle w:val="BodyText"/>
        <w:ind w:left="567" w:hanging="567"/>
        <w:rPr>
          <w:color w:val="auto"/>
        </w:rPr>
      </w:pPr>
      <w:r w:rsidRPr="00B0618E">
        <w:rPr>
          <w:color w:val="auto"/>
        </w:rPr>
        <w:t>Dai C, Xue L, Zhang D, and Guadagnini A (2016) Data-worth analysis through probabilistic collocation-based ensemble Kalman filter</w:t>
      </w:r>
      <w:r w:rsidR="002A274E">
        <w:rPr>
          <w:color w:val="auto"/>
        </w:rPr>
        <w:t>,</w:t>
      </w:r>
      <w:r w:rsidRPr="00B0618E">
        <w:rPr>
          <w:color w:val="auto"/>
        </w:rPr>
        <w:t xml:space="preserve"> </w:t>
      </w:r>
      <w:r w:rsidRPr="002819F9">
        <w:rPr>
          <w:i/>
          <w:color w:val="auto"/>
        </w:rPr>
        <w:t>Journal of Hydrology</w:t>
      </w:r>
      <w:r w:rsidRPr="00B0618E">
        <w:rPr>
          <w:color w:val="auto"/>
        </w:rPr>
        <w:t xml:space="preserve"> 540: 488-503.</w:t>
      </w:r>
    </w:p>
    <w:p w14:paraId="0371C8A5" w14:textId="11A813EB" w:rsidR="00E43EA6" w:rsidRDefault="00E43EA6" w:rsidP="00E43EA6">
      <w:pPr>
        <w:pStyle w:val="BodyText"/>
        <w:ind w:left="567" w:hanging="567"/>
        <w:rPr>
          <w:color w:val="auto"/>
        </w:rPr>
      </w:pPr>
      <w:r w:rsidRPr="00E43EA6">
        <w:rPr>
          <w:color w:val="auto"/>
        </w:rPr>
        <w:t>Der Kiureghian A, Ditlevsen O (2007) Aleatory or epistemic? Does it matter? Special Workshop on Risk Acceptance and</w:t>
      </w:r>
      <w:r>
        <w:rPr>
          <w:color w:val="auto"/>
        </w:rPr>
        <w:t xml:space="preserve"> </w:t>
      </w:r>
      <w:r w:rsidRPr="00E43EA6">
        <w:rPr>
          <w:color w:val="auto"/>
        </w:rPr>
        <w:t>Risk Communication March 26‐27, 2007, Stanford University: 13 pp.</w:t>
      </w:r>
    </w:p>
    <w:p w14:paraId="2A2999A6" w14:textId="311E9AA5" w:rsidR="002A274E" w:rsidRDefault="000D19A9" w:rsidP="000A321F">
      <w:pPr>
        <w:pStyle w:val="BodyText"/>
        <w:ind w:left="567" w:hanging="567"/>
        <w:rPr>
          <w:color w:val="auto"/>
        </w:rPr>
      </w:pPr>
      <w:r w:rsidRPr="000D19A9">
        <w:rPr>
          <w:color w:val="auto"/>
        </w:rPr>
        <w:t xml:space="preserve">Desbarats A (1987) Numerical estimation of effective permeability in sand‐shale formations, </w:t>
      </w:r>
      <w:r w:rsidRPr="002819F9">
        <w:rPr>
          <w:i/>
          <w:color w:val="auto"/>
        </w:rPr>
        <w:t>Water Resources Research</w:t>
      </w:r>
      <w:r w:rsidRPr="000D19A9">
        <w:rPr>
          <w:color w:val="auto"/>
        </w:rPr>
        <w:t xml:space="preserve"> 23(2): 273‐286.</w:t>
      </w:r>
    </w:p>
    <w:p w14:paraId="444A13A8" w14:textId="1FC64DD9" w:rsidR="0078357A" w:rsidRDefault="0078357A">
      <w:pPr>
        <w:pStyle w:val="BodyText"/>
        <w:ind w:left="567" w:hanging="567"/>
        <w:rPr>
          <w:color w:val="auto"/>
        </w:rPr>
      </w:pPr>
      <w:r w:rsidRPr="00D40DDB">
        <w:rPr>
          <w:color w:val="auto"/>
        </w:rPr>
        <w:t>Distinguin</w:t>
      </w:r>
      <w:r>
        <w:rPr>
          <w:color w:val="auto"/>
        </w:rPr>
        <w:t xml:space="preserve"> M,</w:t>
      </w:r>
      <w:r w:rsidRPr="00D40DDB">
        <w:rPr>
          <w:color w:val="auto"/>
        </w:rPr>
        <w:t xml:space="preserve"> Lavanchy </w:t>
      </w:r>
      <w:r>
        <w:rPr>
          <w:color w:val="auto"/>
        </w:rPr>
        <w:t xml:space="preserve">JM </w:t>
      </w:r>
      <w:r w:rsidRPr="00D40DDB">
        <w:rPr>
          <w:color w:val="auto"/>
        </w:rPr>
        <w:t>(2007) Determination of hydraulic properties of the Callovo</w:t>
      </w:r>
      <w:r w:rsidRPr="00D40DDB">
        <w:rPr>
          <w:rFonts w:hint="eastAsia"/>
          <w:color w:val="auto"/>
        </w:rPr>
        <w:t>‐</w:t>
      </w:r>
      <w:r w:rsidRPr="00D40DDB">
        <w:rPr>
          <w:color w:val="auto"/>
        </w:rPr>
        <w:t>Oxfordian argillite at the Bure site: Synthesis</w:t>
      </w:r>
      <w:r>
        <w:rPr>
          <w:color w:val="auto"/>
        </w:rPr>
        <w:t xml:space="preserve"> </w:t>
      </w:r>
      <w:r w:rsidRPr="00D40DDB">
        <w:rPr>
          <w:color w:val="auto"/>
        </w:rPr>
        <w:t xml:space="preserve">of the results obtained in deep boreholes using several in situ investigation technniques, </w:t>
      </w:r>
      <w:r w:rsidRPr="00D40DDB">
        <w:rPr>
          <w:i/>
          <w:color w:val="auto"/>
        </w:rPr>
        <w:t>Phys. Chem. Earth</w:t>
      </w:r>
      <w:r w:rsidRPr="00D40DDB">
        <w:rPr>
          <w:color w:val="auto"/>
        </w:rPr>
        <w:t>, 32</w:t>
      </w:r>
      <w:r>
        <w:rPr>
          <w:color w:val="auto"/>
        </w:rPr>
        <w:t>:</w:t>
      </w:r>
      <w:r w:rsidRPr="00D40DDB">
        <w:rPr>
          <w:color w:val="auto"/>
        </w:rPr>
        <w:t xml:space="preserve"> 379–392.</w:t>
      </w:r>
    </w:p>
    <w:p w14:paraId="7E1F7F2F" w14:textId="6A6098A1" w:rsidR="000D19A9" w:rsidRDefault="000D19A9" w:rsidP="000A321F">
      <w:pPr>
        <w:pStyle w:val="BodyText"/>
        <w:ind w:left="567" w:hanging="567"/>
        <w:rPr>
          <w:color w:val="auto"/>
        </w:rPr>
      </w:pPr>
      <w:r w:rsidRPr="000D19A9">
        <w:rPr>
          <w:color w:val="auto"/>
        </w:rPr>
        <w:t xml:space="preserve">Deutsch C (1989) Calculating effective absolute permeability in sandstone/shale sequences, </w:t>
      </w:r>
      <w:r w:rsidRPr="002819F9">
        <w:rPr>
          <w:i/>
          <w:color w:val="auto"/>
        </w:rPr>
        <w:t>SPE Formation Evaluation</w:t>
      </w:r>
      <w:r w:rsidRPr="000D19A9">
        <w:rPr>
          <w:color w:val="auto"/>
        </w:rPr>
        <w:t xml:space="preserve"> 4(3).</w:t>
      </w:r>
    </w:p>
    <w:p w14:paraId="24E0D2C0" w14:textId="6E5BBAEC" w:rsidR="005735E5" w:rsidRPr="00B0618E" w:rsidRDefault="005735E5" w:rsidP="0073507E">
      <w:pPr>
        <w:pStyle w:val="BodyText"/>
        <w:ind w:left="567" w:hanging="567"/>
        <w:rPr>
          <w:color w:val="auto"/>
        </w:rPr>
      </w:pPr>
      <w:r w:rsidRPr="0073507E">
        <w:rPr>
          <w:color w:val="auto"/>
        </w:rPr>
        <w:t>Engelhardt I, Prommer H, Moore C, Schulz M, Scheuth C, and Ternes TA (2013) Suitability of temperature, hydraulic heads,</w:t>
      </w:r>
      <w:r>
        <w:rPr>
          <w:color w:val="auto"/>
        </w:rPr>
        <w:t xml:space="preserve"> </w:t>
      </w:r>
      <w:r w:rsidRPr="0073507E">
        <w:rPr>
          <w:color w:val="auto"/>
        </w:rPr>
        <w:t>and acesulfame to quantify wastewater‐related fluxes in the hyporheic and riparian zone</w:t>
      </w:r>
      <w:r w:rsidR="002A274E">
        <w:rPr>
          <w:color w:val="auto"/>
        </w:rPr>
        <w:t>,</w:t>
      </w:r>
      <w:r w:rsidRPr="0073507E">
        <w:rPr>
          <w:color w:val="auto"/>
        </w:rPr>
        <w:t xml:space="preserve"> </w:t>
      </w:r>
      <w:r w:rsidRPr="002819F9">
        <w:rPr>
          <w:i/>
          <w:color w:val="auto"/>
        </w:rPr>
        <w:t>Water Resources Research</w:t>
      </w:r>
      <w:r w:rsidRPr="0073507E">
        <w:rPr>
          <w:color w:val="auto"/>
        </w:rPr>
        <w:t xml:space="preserve"> 49: 426–440.</w:t>
      </w:r>
    </w:p>
    <w:p w14:paraId="6001D1C3" w14:textId="77777777" w:rsidR="005735E5" w:rsidRPr="00B0618E" w:rsidRDefault="005735E5" w:rsidP="000A321F">
      <w:pPr>
        <w:pStyle w:val="BodyText"/>
        <w:ind w:left="567" w:hanging="567"/>
        <w:rPr>
          <w:color w:val="auto"/>
        </w:rPr>
      </w:pPr>
      <w:r w:rsidRPr="00B0618E">
        <w:rPr>
          <w:color w:val="auto"/>
        </w:rPr>
        <w:t xml:space="preserve">Ferretti F, Saltelli A and Tarantola S (2016) Trends in sensitivity analysis practice in the last decade, </w:t>
      </w:r>
      <w:r w:rsidRPr="00B0618E">
        <w:rPr>
          <w:i/>
          <w:color w:val="auto"/>
        </w:rPr>
        <w:t>Science of the Total Environment</w:t>
      </w:r>
      <w:r w:rsidRPr="00B0618E">
        <w:rPr>
          <w:color w:val="auto"/>
        </w:rPr>
        <w:t xml:space="preserve"> 568: 666-670.</w:t>
      </w:r>
    </w:p>
    <w:p w14:paraId="40D90F0A" w14:textId="4CEAA751" w:rsidR="005735E5" w:rsidRDefault="005735E5" w:rsidP="000A321F">
      <w:pPr>
        <w:pStyle w:val="BodyText"/>
        <w:ind w:left="567" w:hanging="567"/>
        <w:rPr>
          <w:color w:val="auto"/>
        </w:rPr>
      </w:pPr>
      <w:r w:rsidRPr="00B0618E">
        <w:rPr>
          <w:color w:val="auto"/>
        </w:rPr>
        <w:t>Finsterle S (2015) Practical notes on local data-worth analysis</w:t>
      </w:r>
      <w:r w:rsidR="002A274E">
        <w:rPr>
          <w:color w:val="auto"/>
        </w:rPr>
        <w:t>,</w:t>
      </w:r>
      <w:r w:rsidRPr="00B0618E">
        <w:rPr>
          <w:color w:val="auto"/>
        </w:rPr>
        <w:t xml:space="preserve"> </w:t>
      </w:r>
      <w:r w:rsidRPr="002819F9">
        <w:rPr>
          <w:i/>
          <w:color w:val="auto"/>
        </w:rPr>
        <w:t>Water Resources Research</w:t>
      </w:r>
      <w:r w:rsidRPr="00B0618E">
        <w:rPr>
          <w:color w:val="auto"/>
        </w:rPr>
        <w:t xml:space="preserve"> 51: 9904-9924. </w:t>
      </w:r>
    </w:p>
    <w:p w14:paraId="686611A0" w14:textId="77777777" w:rsidR="00437C87" w:rsidRPr="00437C87" w:rsidRDefault="00437C87" w:rsidP="00437C87">
      <w:pPr>
        <w:pStyle w:val="BodyText"/>
        <w:ind w:left="567" w:hanging="567"/>
        <w:rPr>
          <w:color w:val="auto"/>
        </w:rPr>
      </w:pPr>
      <w:r w:rsidRPr="00437C87">
        <w:rPr>
          <w:color w:val="auto"/>
        </w:rPr>
        <w:t>Freeze RA and Cherry JA (1979) Groundwater, Prentice Hall, Englewood Cliffs, NJ, USA, 604p.</w:t>
      </w:r>
    </w:p>
    <w:p w14:paraId="6222CD5F" w14:textId="77777777" w:rsidR="005735E5" w:rsidRDefault="005735E5" w:rsidP="005C0593">
      <w:pPr>
        <w:pStyle w:val="BodyText"/>
        <w:ind w:left="567" w:hanging="567"/>
        <w:rPr>
          <w:color w:val="auto"/>
        </w:rPr>
      </w:pPr>
      <w:r w:rsidRPr="005C0593">
        <w:rPr>
          <w:color w:val="auto"/>
        </w:rPr>
        <w:t>Freeze RA, James B, Massmann J, Sperling T and Smith L (1992) Hydrogeological decision analysis: 4. The concept of data</w:t>
      </w:r>
      <w:r>
        <w:rPr>
          <w:color w:val="auto"/>
        </w:rPr>
        <w:t xml:space="preserve"> </w:t>
      </w:r>
      <w:r w:rsidRPr="005C0593">
        <w:rPr>
          <w:color w:val="auto"/>
        </w:rPr>
        <w:t xml:space="preserve">worth and its use in the development of site investigation strategies, </w:t>
      </w:r>
      <w:r w:rsidRPr="002819F9">
        <w:rPr>
          <w:i/>
          <w:color w:val="auto"/>
        </w:rPr>
        <w:t>Groundwater</w:t>
      </w:r>
      <w:r w:rsidRPr="005C0593">
        <w:rPr>
          <w:color w:val="auto"/>
        </w:rPr>
        <w:t xml:space="preserve"> 30(4): 574‐588.</w:t>
      </w:r>
    </w:p>
    <w:p w14:paraId="6C2D8E13" w14:textId="61164355" w:rsidR="005735E5" w:rsidRPr="003004B5" w:rsidRDefault="005735E5" w:rsidP="003004B5">
      <w:pPr>
        <w:pStyle w:val="BodyText"/>
        <w:ind w:left="567" w:hanging="567"/>
        <w:rPr>
          <w:color w:val="auto"/>
        </w:rPr>
      </w:pPr>
      <w:r w:rsidRPr="003004B5">
        <w:rPr>
          <w:color w:val="auto"/>
        </w:rPr>
        <w:t xml:space="preserve">Gedeon M, Mallants D, </w:t>
      </w:r>
      <w:r>
        <w:rPr>
          <w:color w:val="auto"/>
        </w:rPr>
        <w:t xml:space="preserve">and </w:t>
      </w:r>
      <w:r w:rsidRPr="003004B5">
        <w:rPr>
          <w:color w:val="auto"/>
        </w:rPr>
        <w:t xml:space="preserve">Rogiers B </w:t>
      </w:r>
      <w:r>
        <w:rPr>
          <w:color w:val="auto"/>
        </w:rPr>
        <w:t>(</w:t>
      </w:r>
      <w:r w:rsidRPr="003004B5">
        <w:rPr>
          <w:color w:val="auto"/>
        </w:rPr>
        <w:t>2013</w:t>
      </w:r>
      <w:r>
        <w:rPr>
          <w:color w:val="auto"/>
        </w:rPr>
        <w:t>)</w:t>
      </w:r>
      <w:r w:rsidRPr="003004B5">
        <w:rPr>
          <w:color w:val="auto"/>
        </w:rPr>
        <w:t xml:space="preserve"> </w:t>
      </w:r>
      <w:r w:rsidRPr="002819F9">
        <w:rPr>
          <w:i/>
          <w:color w:val="auto"/>
        </w:rPr>
        <w:t>Building a staircase of confidence in groundwater modeling: a summary of ten years data collection and model development</w:t>
      </w:r>
      <w:r w:rsidR="002A274E">
        <w:rPr>
          <w:color w:val="auto"/>
        </w:rPr>
        <w:t>,</w:t>
      </w:r>
      <w:r w:rsidRPr="003004B5">
        <w:rPr>
          <w:color w:val="auto"/>
        </w:rPr>
        <w:t xml:space="preserve"> Modflow and More 2013: Translating Science into Practice, Golden, CA, 2-5 June, pp. 545-550.</w:t>
      </w:r>
    </w:p>
    <w:p w14:paraId="2AB06391" w14:textId="0E363B2B" w:rsidR="005735E5" w:rsidRDefault="005735E5" w:rsidP="002F1D9B">
      <w:pPr>
        <w:pStyle w:val="BodyText"/>
        <w:ind w:left="567" w:hanging="567"/>
        <w:rPr>
          <w:color w:val="auto"/>
        </w:rPr>
      </w:pPr>
      <w:r w:rsidRPr="002F1D9B">
        <w:rPr>
          <w:color w:val="auto"/>
        </w:rPr>
        <w:t>Gelhar LW</w:t>
      </w:r>
      <w:r>
        <w:rPr>
          <w:color w:val="auto"/>
        </w:rPr>
        <w:t xml:space="preserve"> (1993)</w:t>
      </w:r>
      <w:r w:rsidRPr="002F1D9B">
        <w:rPr>
          <w:color w:val="auto"/>
        </w:rPr>
        <w:t xml:space="preserve"> </w:t>
      </w:r>
      <w:r w:rsidRPr="002819F9">
        <w:rPr>
          <w:i/>
          <w:color w:val="auto"/>
        </w:rPr>
        <w:t xml:space="preserve">Stochastic </w:t>
      </w:r>
      <w:r w:rsidR="002A274E" w:rsidRPr="002A274E">
        <w:rPr>
          <w:i/>
          <w:color w:val="auto"/>
        </w:rPr>
        <w:t>Subsurface Hydrology</w:t>
      </w:r>
      <w:r w:rsidRPr="002F1D9B">
        <w:rPr>
          <w:color w:val="auto"/>
        </w:rPr>
        <w:t>, Englewood Cliffs, NJ, Prentice Hall, 1993.</w:t>
      </w:r>
    </w:p>
    <w:p w14:paraId="107A4F13" w14:textId="7E3C330C" w:rsidR="0040628E" w:rsidRPr="0040628E" w:rsidRDefault="0040628E" w:rsidP="0040628E">
      <w:pPr>
        <w:pStyle w:val="BodyText"/>
        <w:ind w:left="567" w:hanging="567"/>
        <w:rPr>
          <w:color w:val="auto"/>
        </w:rPr>
      </w:pPr>
      <w:r w:rsidRPr="0040628E">
        <w:rPr>
          <w:color w:val="auto"/>
        </w:rPr>
        <w:t>G</w:t>
      </w:r>
      <w:r>
        <w:rPr>
          <w:color w:val="auto"/>
        </w:rPr>
        <w:t xml:space="preserve">elhar LW (1986). </w:t>
      </w:r>
      <w:r w:rsidRPr="0040628E">
        <w:rPr>
          <w:color w:val="auto"/>
        </w:rPr>
        <w:t>Stochastic subsurface hydrolog</w:t>
      </w:r>
      <w:r>
        <w:rPr>
          <w:color w:val="auto"/>
        </w:rPr>
        <w:t>y: From Theory to Applications,</w:t>
      </w:r>
      <w:r w:rsidRPr="0040628E">
        <w:rPr>
          <w:color w:val="auto"/>
        </w:rPr>
        <w:t xml:space="preserve"> </w:t>
      </w:r>
      <w:r w:rsidRPr="0040628E">
        <w:rPr>
          <w:i/>
          <w:color w:val="auto"/>
        </w:rPr>
        <w:t>Water Resources Research</w:t>
      </w:r>
      <w:r w:rsidRPr="0040628E">
        <w:rPr>
          <w:color w:val="auto"/>
        </w:rPr>
        <w:t xml:space="preserve"> 22(9): 135s-145s.</w:t>
      </w:r>
    </w:p>
    <w:p w14:paraId="5A4774F6" w14:textId="0392FD55" w:rsidR="001446C7" w:rsidRPr="002819F9" w:rsidRDefault="001446C7" w:rsidP="002819F9">
      <w:pPr>
        <w:pStyle w:val="BodyText"/>
        <w:ind w:left="567" w:hanging="567"/>
        <w:rPr>
          <w:color w:val="auto"/>
        </w:rPr>
      </w:pPr>
      <w:r w:rsidRPr="002819F9">
        <w:rPr>
          <w:color w:val="auto"/>
        </w:rPr>
        <w:t>Giambastiani B M S, Kelly B F J, The C, Andersen M S, McCallum A M and Acworth R I (2009) 3D time and space analysis of groundwater head change for mapping river and aquifer interactions 18th World Imacs Congress and Modsim09 International Congress On Modelling and Simulation: Interfacing Modelling and Simulation With Mathematical and Computational Sciences, 3067-3073 http://www.mssanz.org.au/modsim09/I1/giambastiani.pdf</w:t>
      </w:r>
    </w:p>
    <w:p w14:paraId="4BE88479" w14:textId="77777777" w:rsidR="005735E5" w:rsidRDefault="005735E5" w:rsidP="000A321F">
      <w:pPr>
        <w:pStyle w:val="BodyText"/>
        <w:ind w:left="567" w:hanging="567"/>
        <w:rPr>
          <w:color w:val="auto"/>
        </w:rPr>
      </w:pPr>
      <w:r w:rsidRPr="00B0618E">
        <w:rPr>
          <w:color w:val="auto"/>
        </w:rPr>
        <w:t xml:space="preserve">Geoscience Australia (2016) </w:t>
      </w:r>
      <w:r w:rsidRPr="00B0618E">
        <w:rPr>
          <w:i/>
          <w:color w:val="auto"/>
        </w:rPr>
        <w:t>Australian Stratigraphic Units Database</w:t>
      </w:r>
      <w:r w:rsidRPr="00B0618E">
        <w:rPr>
          <w:color w:val="auto"/>
        </w:rPr>
        <w:t>, URL=http://dbforms.ga.gov.au/www/geodx.strat_units.int, last accessed 08/11/16.</w:t>
      </w:r>
    </w:p>
    <w:p w14:paraId="16CC46DD" w14:textId="773519CE" w:rsidR="000D19A9" w:rsidRDefault="000D19A9" w:rsidP="000A321F">
      <w:pPr>
        <w:pStyle w:val="BodyText"/>
        <w:ind w:left="567" w:hanging="567"/>
        <w:rPr>
          <w:color w:val="auto"/>
        </w:rPr>
      </w:pPr>
      <w:r w:rsidRPr="000D19A9">
        <w:rPr>
          <w:color w:val="auto"/>
        </w:rPr>
        <w:t xml:space="preserve">Gómez‐Hernández J and Wen X (1998) To be or not to be multi‐Gaussian? A reflection on stochastic hydrogeology, </w:t>
      </w:r>
      <w:r w:rsidRPr="002819F9">
        <w:rPr>
          <w:i/>
          <w:color w:val="auto"/>
        </w:rPr>
        <w:t>Advances in Water Resources</w:t>
      </w:r>
      <w:r w:rsidRPr="000D19A9">
        <w:rPr>
          <w:color w:val="auto"/>
        </w:rPr>
        <w:t xml:space="preserve"> 21(1): 47‐61.</w:t>
      </w:r>
    </w:p>
    <w:p w14:paraId="322EE4C8" w14:textId="51D4D0E9" w:rsidR="005735E5" w:rsidRPr="00A21553" w:rsidRDefault="005735E5" w:rsidP="00A21553">
      <w:pPr>
        <w:pStyle w:val="BodyText"/>
        <w:ind w:left="567" w:hanging="567"/>
        <w:rPr>
          <w:color w:val="auto"/>
        </w:rPr>
      </w:pPr>
      <w:r w:rsidRPr="008043B1">
        <w:rPr>
          <w:color w:val="auto"/>
        </w:rPr>
        <w:t>Guillaume JHA, Hunt RJ, Comunian A, Blakers RS and Fu B (2016) Methods for Exploring Uncertainty in Groundwater Management Predictions</w:t>
      </w:r>
      <w:r w:rsidR="002A274E" w:rsidRPr="008043B1">
        <w:rPr>
          <w:color w:val="auto"/>
        </w:rPr>
        <w:t>,</w:t>
      </w:r>
      <w:r w:rsidRPr="008043B1">
        <w:rPr>
          <w:color w:val="auto"/>
        </w:rPr>
        <w:t xml:space="preserve"> </w:t>
      </w:r>
      <w:r w:rsidRPr="008043B1">
        <w:rPr>
          <w:i/>
          <w:color w:val="auto"/>
        </w:rPr>
        <w:t>Integrated Groundwater Management</w:t>
      </w:r>
      <w:r w:rsidRPr="008043B1">
        <w:rPr>
          <w:color w:val="auto"/>
        </w:rPr>
        <w:t xml:space="preserve">, 711-737. </w:t>
      </w:r>
      <w:hyperlink r:id="rId89" w:history="1">
        <w:r w:rsidRPr="008043B1">
          <w:rPr>
            <w:color w:val="auto"/>
          </w:rPr>
          <w:t>http://dx.doi.org/10.1007/978-3-319-23576-9_28</w:t>
        </w:r>
      </w:hyperlink>
      <w:r w:rsidRPr="008043B1">
        <w:rPr>
          <w:color w:val="auto"/>
        </w:rPr>
        <w:t>.</w:t>
      </w:r>
      <w:r w:rsidRPr="00A21553">
        <w:rPr>
          <w:color w:val="auto"/>
        </w:rPr>
        <w:t xml:space="preserve"> </w:t>
      </w:r>
    </w:p>
    <w:p w14:paraId="4C0BA9CB" w14:textId="77777777" w:rsidR="005735E5" w:rsidRPr="00B0618E" w:rsidRDefault="005735E5" w:rsidP="00BD3336">
      <w:pPr>
        <w:pStyle w:val="BodyText"/>
        <w:ind w:left="567" w:hanging="567"/>
      </w:pPr>
      <w:r w:rsidRPr="00B0618E">
        <w:t xml:space="preserve">Gupta HV, Clark MP, Vrugt JA, Abramowitz G and Ye M (2012) Towards a comprehensive assessment of model structural adequacy, </w:t>
      </w:r>
      <w:r w:rsidRPr="00B0618E">
        <w:rPr>
          <w:i/>
        </w:rPr>
        <w:t>Water Resources Research</w:t>
      </w:r>
      <w:r w:rsidRPr="00B0618E">
        <w:t xml:space="preserve"> 48(8).</w:t>
      </w:r>
    </w:p>
    <w:p w14:paraId="767DA21D" w14:textId="6091AC4C" w:rsidR="005735E5" w:rsidRDefault="005735E5" w:rsidP="000A321F">
      <w:pPr>
        <w:pStyle w:val="BodyText"/>
        <w:ind w:left="567" w:hanging="567"/>
        <w:rPr>
          <w:color w:val="auto"/>
        </w:rPr>
      </w:pPr>
      <w:r w:rsidRPr="00B0618E">
        <w:rPr>
          <w:color w:val="auto"/>
        </w:rPr>
        <w:t xml:space="preserve">Harbaugh AW (2005) </w:t>
      </w:r>
      <w:r w:rsidRPr="00B0618E">
        <w:rPr>
          <w:i/>
          <w:color w:val="auto"/>
        </w:rPr>
        <w:t xml:space="preserve">MODFLOW-2005, The US Geological Survey </w:t>
      </w:r>
      <w:r w:rsidR="000D19A9" w:rsidRPr="00B0618E">
        <w:rPr>
          <w:i/>
          <w:color w:val="auto"/>
        </w:rPr>
        <w:t xml:space="preserve">Modular Ground-Water Model: </w:t>
      </w:r>
      <w:r w:rsidRPr="00B0618E">
        <w:rPr>
          <w:i/>
          <w:color w:val="auto"/>
        </w:rPr>
        <w:t xml:space="preserve">The </w:t>
      </w:r>
      <w:r w:rsidR="000D19A9" w:rsidRPr="00B0618E">
        <w:rPr>
          <w:i/>
          <w:color w:val="auto"/>
        </w:rPr>
        <w:t>Ground-Water Flow Process</w:t>
      </w:r>
      <w:r w:rsidRPr="00B0618E">
        <w:rPr>
          <w:color w:val="auto"/>
        </w:rPr>
        <w:t>, US Geological Survey Techniques and Methods report no. 6-A16, US Department of the Interior, Reston, VA, USA, 253p.</w:t>
      </w:r>
    </w:p>
    <w:p w14:paraId="4CC13CC7" w14:textId="4360E862" w:rsidR="005735E5" w:rsidRDefault="005735E5" w:rsidP="000A321F">
      <w:pPr>
        <w:pStyle w:val="BodyText"/>
        <w:ind w:left="567" w:hanging="567"/>
        <w:rPr>
          <w:color w:val="auto"/>
        </w:rPr>
      </w:pPr>
      <w:r>
        <w:rPr>
          <w:color w:val="auto"/>
        </w:rPr>
        <w:t>Helton JC and RJ Breeding (1993) Calculation of reactor accident safety goals</w:t>
      </w:r>
      <w:r w:rsidR="000D19A9">
        <w:rPr>
          <w:color w:val="auto"/>
        </w:rPr>
        <w:t>,</w:t>
      </w:r>
      <w:r>
        <w:rPr>
          <w:color w:val="auto"/>
        </w:rPr>
        <w:t xml:space="preserve"> </w:t>
      </w:r>
      <w:r w:rsidRPr="002819F9">
        <w:rPr>
          <w:i/>
          <w:color w:val="auto"/>
        </w:rPr>
        <w:t xml:space="preserve">Reliability Engineering and Systems Safety </w:t>
      </w:r>
      <w:r>
        <w:rPr>
          <w:color w:val="auto"/>
        </w:rPr>
        <w:t>39: 129-158.</w:t>
      </w:r>
    </w:p>
    <w:p w14:paraId="2C457D14" w14:textId="136B5DE4" w:rsidR="005735E5" w:rsidRPr="009529DE" w:rsidRDefault="005735E5" w:rsidP="009529DE">
      <w:pPr>
        <w:pStyle w:val="BodyText"/>
        <w:ind w:left="567" w:hanging="567"/>
        <w:rPr>
          <w:color w:val="auto"/>
        </w:rPr>
      </w:pPr>
      <w:r w:rsidRPr="009529DE">
        <w:rPr>
          <w:color w:val="auto"/>
        </w:rPr>
        <w:t>Helton JC, Johnson JD, Oberkampf WL (2004) An exploration of alternative approaches to the representation of uncertainty in model predictions</w:t>
      </w:r>
      <w:r w:rsidR="000D19A9">
        <w:rPr>
          <w:color w:val="auto"/>
        </w:rPr>
        <w:t>,</w:t>
      </w:r>
      <w:r w:rsidRPr="009529DE">
        <w:rPr>
          <w:color w:val="auto"/>
        </w:rPr>
        <w:t xml:space="preserve"> </w:t>
      </w:r>
      <w:r w:rsidRPr="002819F9">
        <w:rPr>
          <w:i/>
          <w:color w:val="auto"/>
        </w:rPr>
        <w:t>Reliability Engineering and System Safety</w:t>
      </w:r>
      <w:r w:rsidRPr="009529DE">
        <w:rPr>
          <w:color w:val="auto"/>
        </w:rPr>
        <w:t xml:space="preserve"> 85: 39–71.</w:t>
      </w:r>
    </w:p>
    <w:p w14:paraId="00DC397E" w14:textId="518D0E31" w:rsidR="005735E5" w:rsidRPr="00B0618E" w:rsidRDefault="005735E5" w:rsidP="000A321F">
      <w:pPr>
        <w:pStyle w:val="BodyText"/>
        <w:ind w:left="567" w:hanging="567"/>
        <w:rPr>
          <w:color w:val="auto"/>
        </w:rPr>
      </w:pPr>
      <w:r w:rsidRPr="00B0618E">
        <w:rPr>
          <w:color w:val="auto"/>
        </w:rPr>
        <w:t xml:space="preserve">Herman JD and Usher W (2016) SALib: An open-source Python library for </w:t>
      </w:r>
      <w:r w:rsidR="000D19A9">
        <w:rPr>
          <w:color w:val="auto"/>
        </w:rPr>
        <w:t>s</w:t>
      </w:r>
      <w:r w:rsidRPr="00B0618E">
        <w:rPr>
          <w:color w:val="auto"/>
        </w:rPr>
        <w:t xml:space="preserve">ensitivity </w:t>
      </w:r>
      <w:r w:rsidR="000D19A9">
        <w:rPr>
          <w:color w:val="auto"/>
        </w:rPr>
        <w:t>a</w:t>
      </w:r>
      <w:r w:rsidRPr="00B0618E">
        <w:rPr>
          <w:color w:val="auto"/>
        </w:rPr>
        <w:t xml:space="preserve">nalysis, </w:t>
      </w:r>
      <w:r w:rsidRPr="00B0618E">
        <w:rPr>
          <w:i/>
          <w:color w:val="auto"/>
        </w:rPr>
        <w:t>Journal of Open Source Software</w:t>
      </w:r>
      <w:r w:rsidRPr="00B0618E">
        <w:rPr>
          <w:color w:val="auto"/>
        </w:rPr>
        <w:t>, http://dx.doi.org/10.21105/joss.00097.</w:t>
      </w:r>
    </w:p>
    <w:p w14:paraId="1B96465B" w14:textId="77777777" w:rsidR="005735E5" w:rsidRDefault="005735E5" w:rsidP="003D353D">
      <w:pPr>
        <w:pStyle w:val="BodyText"/>
        <w:ind w:left="567" w:hanging="567"/>
        <w:rPr>
          <w:color w:val="auto"/>
        </w:rPr>
      </w:pPr>
      <w:r w:rsidRPr="00B0618E">
        <w:rPr>
          <w:color w:val="auto"/>
        </w:rPr>
        <w:t xml:space="preserve">Hill MC (2003) </w:t>
      </w:r>
      <w:r w:rsidRPr="00B0618E">
        <w:rPr>
          <w:i/>
          <w:color w:val="auto"/>
        </w:rPr>
        <w:t>Preconditioned Conjugate-Gradient 2 (PCG2): A Computer Program for Solving Ground-Water Flow Equations</w:t>
      </w:r>
      <w:r w:rsidRPr="00B0618E">
        <w:rPr>
          <w:color w:val="auto"/>
        </w:rPr>
        <w:t>, 2</w:t>
      </w:r>
      <w:r w:rsidRPr="00B0618E">
        <w:rPr>
          <w:color w:val="auto"/>
          <w:vertAlign w:val="superscript"/>
        </w:rPr>
        <w:t>nd</w:t>
      </w:r>
      <w:r w:rsidRPr="00B0618E">
        <w:rPr>
          <w:color w:val="auto"/>
        </w:rPr>
        <w:t xml:space="preserve"> printing, US Geological Survey Water Resources Investigations Report no. 90-4048, 25p.</w:t>
      </w:r>
    </w:p>
    <w:p w14:paraId="0508D289" w14:textId="36A4292A" w:rsidR="005F512D" w:rsidRDefault="005F512D" w:rsidP="005F512D">
      <w:pPr>
        <w:pStyle w:val="BodyText"/>
        <w:ind w:left="567" w:hanging="567"/>
        <w:rPr>
          <w:color w:val="auto"/>
        </w:rPr>
      </w:pPr>
      <w:r w:rsidRPr="005F512D">
        <w:rPr>
          <w:color w:val="auto"/>
        </w:rPr>
        <w:t>Hill M</w:t>
      </w:r>
      <w:r>
        <w:rPr>
          <w:color w:val="auto"/>
        </w:rPr>
        <w:t>c</w:t>
      </w:r>
      <w:r w:rsidRPr="005F512D">
        <w:rPr>
          <w:color w:val="auto"/>
        </w:rPr>
        <w:t xml:space="preserve"> (2006)</w:t>
      </w:r>
      <w:r>
        <w:rPr>
          <w:color w:val="auto"/>
        </w:rPr>
        <w:t xml:space="preserve"> </w:t>
      </w:r>
      <w:r w:rsidRPr="005F512D">
        <w:rPr>
          <w:color w:val="auto"/>
        </w:rPr>
        <w:t>The Practical Use of Simplicity in Developing Ground Water Models. Ground Water 44(6): 775-781.</w:t>
      </w:r>
      <w:r w:rsidRPr="005F512D">
        <w:rPr>
          <w:color w:val="auto"/>
        </w:rPr>
        <w:tab/>
      </w:r>
    </w:p>
    <w:p w14:paraId="5FD43EBB" w14:textId="6C64918C" w:rsidR="00437C87" w:rsidRDefault="00437C87" w:rsidP="00437C87">
      <w:pPr>
        <w:pStyle w:val="BodyText"/>
        <w:ind w:left="567" w:hanging="567"/>
        <w:rPr>
          <w:color w:val="auto"/>
        </w:rPr>
      </w:pPr>
      <w:r w:rsidRPr="00437C87">
        <w:rPr>
          <w:color w:val="auto"/>
        </w:rPr>
        <w:t xml:space="preserve">Højberg AL, Refsgaard JC (2005) Model uncertainty – parameter uncertainty versus conceptual models. </w:t>
      </w:r>
      <w:r w:rsidRPr="00437C87">
        <w:rPr>
          <w:i/>
          <w:color w:val="auto"/>
        </w:rPr>
        <w:t>Water Science Technology</w:t>
      </w:r>
      <w:r w:rsidRPr="00437C87">
        <w:rPr>
          <w:color w:val="auto"/>
        </w:rPr>
        <w:t xml:space="preserve"> 52(6): 177–86.</w:t>
      </w:r>
    </w:p>
    <w:p w14:paraId="1E299265" w14:textId="693097CD" w:rsidR="00D673CC" w:rsidRPr="00437C87" w:rsidRDefault="00D673CC" w:rsidP="00D673CC">
      <w:pPr>
        <w:pStyle w:val="BodyText"/>
        <w:ind w:left="567" w:hanging="567"/>
        <w:rPr>
          <w:color w:val="auto"/>
        </w:rPr>
      </w:pPr>
      <w:r w:rsidRPr="00D673CC">
        <w:rPr>
          <w:color w:val="auto"/>
        </w:rPr>
        <w:t>Hunt and Zheng</w:t>
      </w:r>
      <w:r>
        <w:rPr>
          <w:color w:val="auto"/>
        </w:rPr>
        <w:t xml:space="preserve"> (1999)</w:t>
      </w:r>
      <w:r w:rsidRPr="00D673CC">
        <w:rPr>
          <w:color w:val="auto"/>
        </w:rPr>
        <w:t xml:space="preserve"> Eos Transactions, AGU, p. 29, January 19, 1999.</w:t>
      </w:r>
    </w:p>
    <w:p w14:paraId="6F15D1A5" w14:textId="77777777" w:rsidR="005735E5" w:rsidRDefault="005735E5" w:rsidP="00167499">
      <w:pPr>
        <w:pStyle w:val="BodyText"/>
        <w:ind w:left="567" w:hanging="567"/>
        <w:rPr>
          <w:color w:val="auto"/>
        </w:rPr>
      </w:pPr>
      <w:r w:rsidRPr="00B0618E">
        <w:rPr>
          <w:color w:val="auto"/>
        </w:rPr>
        <w:t xml:space="preserve">HydroGeoLogic (1996) </w:t>
      </w:r>
      <w:r w:rsidRPr="00B0618E">
        <w:rPr>
          <w:i/>
          <w:color w:val="auto"/>
        </w:rPr>
        <w:t>MODHMS/MODFLOW-SURFACT software documentation Volume 1: Groundwater flow modules</w:t>
      </w:r>
      <w:r w:rsidRPr="00B0618E">
        <w:rPr>
          <w:color w:val="auto"/>
        </w:rPr>
        <w:t>, HydroGeoLogic Inc., Reston, VA, USA.</w:t>
      </w:r>
    </w:p>
    <w:p w14:paraId="3CB2A161" w14:textId="57ED18B9" w:rsidR="005642E9" w:rsidRPr="002819F9" w:rsidRDefault="005642E9" w:rsidP="002819F9">
      <w:pPr>
        <w:pStyle w:val="BodyText"/>
        <w:ind w:left="567" w:hanging="567"/>
        <w:rPr>
          <w:color w:val="auto"/>
        </w:rPr>
      </w:pPr>
      <w:r w:rsidRPr="002819F9">
        <w:rPr>
          <w:color w:val="auto"/>
        </w:rPr>
        <w:t>Janardhanan S, Crosbie R, Pickett T, Cui T, Peeters L, Slatter E, Northey J, Merrin LE, Davies P, Miotlinski K, Schmid W and Herr A (201</w:t>
      </w:r>
      <w:r w:rsidR="00D646E1">
        <w:rPr>
          <w:color w:val="auto"/>
        </w:rPr>
        <w:t>8</w:t>
      </w:r>
      <w:r w:rsidRPr="002819F9">
        <w:rPr>
          <w:color w:val="auto"/>
        </w:rPr>
        <w:t xml:space="preserve">) Groundwater numerical modelling for the Namoi subregion. Product 2.6.2 for the Namoi subregion from the Northern Inland Catchments Bioregional Assessment. Department of the Environment and Energy, Bureau of Meteorology, CSIRO and Geoscience Australia, Australia, http://data.bioregionalassessments.gov.au/product/NIC/NAM/2.6.2. </w:t>
      </w:r>
    </w:p>
    <w:p w14:paraId="4B2BDB50" w14:textId="6ED5D6C5" w:rsidR="000D19A9" w:rsidRDefault="000D19A9" w:rsidP="000A321F">
      <w:pPr>
        <w:pStyle w:val="BodyText"/>
        <w:ind w:left="567" w:hanging="567"/>
        <w:rPr>
          <w:color w:val="auto"/>
        </w:rPr>
      </w:pPr>
      <w:r w:rsidRPr="000D19A9">
        <w:rPr>
          <w:color w:val="auto"/>
        </w:rPr>
        <w:t xml:space="preserve">Journel AG, Deutsch C and Desbarats AJ (1986) Power averaging for block effective permeability, </w:t>
      </w:r>
      <w:r w:rsidRPr="002819F9">
        <w:rPr>
          <w:i/>
          <w:color w:val="auto"/>
        </w:rPr>
        <w:t>SPE California Regional Meeting</w:t>
      </w:r>
      <w:r w:rsidRPr="000D19A9">
        <w:rPr>
          <w:color w:val="auto"/>
        </w:rPr>
        <w:t>, Society of Petroleum Engineers.</w:t>
      </w:r>
    </w:p>
    <w:p w14:paraId="3318A250" w14:textId="77777777" w:rsidR="005735E5" w:rsidRDefault="005735E5" w:rsidP="000A321F">
      <w:pPr>
        <w:pStyle w:val="BodyText"/>
        <w:ind w:left="567" w:hanging="567"/>
        <w:rPr>
          <w:color w:val="auto"/>
        </w:rPr>
      </w:pPr>
      <w:r w:rsidRPr="00B0618E">
        <w:rPr>
          <w:color w:val="auto"/>
        </w:rPr>
        <w:t xml:space="preserve">Journel AG and Huijbregts CJ (1978) </w:t>
      </w:r>
      <w:r w:rsidRPr="00B0618E">
        <w:rPr>
          <w:i/>
          <w:color w:val="auto"/>
        </w:rPr>
        <w:t>Mining Geostatistics</w:t>
      </w:r>
      <w:r w:rsidRPr="00B0618E">
        <w:rPr>
          <w:color w:val="auto"/>
        </w:rPr>
        <w:t>, Academic Press, New York, USA, 600p.</w:t>
      </w:r>
    </w:p>
    <w:p w14:paraId="11114BAC" w14:textId="2239AA15" w:rsidR="003B5C47" w:rsidRPr="00B0618E" w:rsidRDefault="003B5C47" w:rsidP="00D55857">
      <w:pPr>
        <w:pStyle w:val="BodyText"/>
        <w:ind w:left="567" w:hanging="567"/>
        <w:rPr>
          <w:color w:val="auto"/>
        </w:rPr>
      </w:pPr>
      <w:r w:rsidRPr="00D55857">
        <w:rPr>
          <w:color w:val="auto"/>
        </w:rPr>
        <w:t xml:space="preserve">Khader </w:t>
      </w:r>
      <w:r w:rsidR="00D55857">
        <w:rPr>
          <w:color w:val="auto"/>
        </w:rPr>
        <w:t>A</w:t>
      </w:r>
      <w:r w:rsidR="00E81AE0" w:rsidRPr="00D55857">
        <w:rPr>
          <w:color w:val="auto"/>
        </w:rPr>
        <w:t>I</w:t>
      </w:r>
      <w:r w:rsidR="00D55857">
        <w:rPr>
          <w:color w:val="auto"/>
        </w:rPr>
        <w:t>,</w:t>
      </w:r>
      <w:r w:rsidR="00E81AE0" w:rsidRPr="00D55857">
        <w:rPr>
          <w:color w:val="auto"/>
        </w:rPr>
        <w:t xml:space="preserve"> Rosenberg</w:t>
      </w:r>
      <w:r w:rsidR="00D55857">
        <w:rPr>
          <w:color w:val="auto"/>
        </w:rPr>
        <w:t xml:space="preserve"> DE</w:t>
      </w:r>
      <w:r w:rsidR="00E81AE0" w:rsidRPr="00D55857">
        <w:rPr>
          <w:color w:val="auto"/>
        </w:rPr>
        <w:t xml:space="preserve"> and McKee</w:t>
      </w:r>
      <w:r w:rsidR="00D55857">
        <w:rPr>
          <w:color w:val="auto"/>
        </w:rPr>
        <w:t xml:space="preserve"> M</w:t>
      </w:r>
      <w:r w:rsidR="00E81AE0" w:rsidRPr="00D55857">
        <w:rPr>
          <w:color w:val="auto"/>
        </w:rPr>
        <w:t xml:space="preserve"> (2013) A decision tree model to estimate the value of information provided by a groundwater quality monitoring network. Hydrol. Earth Syst. Sci., 17, 1797–1807</w:t>
      </w:r>
      <w:r w:rsidR="00D55857">
        <w:rPr>
          <w:color w:val="auto"/>
        </w:rPr>
        <w:t>.</w:t>
      </w:r>
    </w:p>
    <w:p w14:paraId="5317A091" w14:textId="77777777" w:rsidR="005735E5" w:rsidRPr="00B0618E" w:rsidRDefault="005735E5" w:rsidP="000A321F">
      <w:pPr>
        <w:pStyle w:val="BodyText"/>
        <w:ind w:left="567" w:hanging="567"/>
        <w:rPr>
          <w:color w:val="auto"/>
        </w:rPr>
      </w:pPr>
      <w:r w:rsidRPr="00B0618E">
        <w:rPr>
          <w:color w:val="auto"/>
        </w:rPr>
        <w:t xml:space="preserve">Kitanidis PK (1997) </w:t>
      </w:r>
      <w:r w:rsidRPr="00B0618E">
        <w:rPr>
          <w:i/>
          <w:color w:val="auto"/>
        </w:rPr>
        <w:t>Introduction to geostatistics</w:t>
      </w:r>
      <w:r w:rsidRPr="00B0618E">
        <w:rPr>
          <w:color w:val="auto"/>
        </w:rPr>
        <w:t>, Cambridge University Press, Cambridge, UK, 249p.</w:t>
      </w:r>
    </w:p>
    <w:p w14:paraId="738A7ED9" w14:textId="53EB8D51" w:rsidR="00C85606" w:rsidRDefault="00C85606" w:rsidP="00C85606">
      <w:pPr>
        <w:pStyle w:val="BodyText"/>
        <w:ind w:left="567" w:hanging="567"/>
        <w:rPr>
          <w:color w:val="auto"/>
        </w:rPr>
      </w:pPr>
      <w:r w:rsidRPr="00C85606">
        <w:rPr>
          <w:color w:val="auto"/>
        </w:rPr>
        <w:t xml:space="preserve">Klohn Crippen Berger (KCB) (2012) </w:t>
      </w:r>
      <w:r w:rsidRPr="002819F9">
        <w:rPr>
          <w:i/>
          <w:color w:val="auto"/>
        </w:rPr>
        <w:t>Forecasting coal seam gas water production in Queensland’s Surat and southern Bowen basins</w:t>
      </w:r>
      <w:r w:rsidRPr="00C85606">
        <w:rPr>
          <w:color w:val="auto"/>
        </w:rPr>
        <w:t xml:space="preserve">, </w:t>
      </w:r>
      <w:r>
        <w:rPr>
          <w:color w:val="auto"/>
        </w:rPr>
        <w:t>t</w:t>
      </w:r>
      <w:r w:rsidRPr="00C85606">
        <w:rPr>
          <w:color w:val="auto"/>
        </w:rPr>
        <w:t>echnical report</w:t>
      </w:r>
      <w:r>
        <w:rPr>
          <w:color w:val="auto"/>
        </w:rPr>
        <w:t xml:space="preserve"> </w:t>
      </w:r>
      <w:r w:rsidRPr="00C85606">
        <w:rPr>
          <w:color w:val="auto"/>
        </w:rPr>
        <w:t>for the Department of Natural Resources and Mines</w:t>
      </w:r>
      <w:r>
        <w:rPr>
          <w:color w:val="auto"/>
        </w:rPr>
        <w:t xml:space="preserve">, Qld, </w:t>
      </w:r>
      <w:r w:rsidRPr="00C85606">
        <w:rPr>
          <w:color w:val="auto"/>
        </w:rPr>
        <w:t>Brisbane, Australia</w:t>
      </w:r>
      <w:r>
        <w:rPr>
          <w:color w:val="auto"/>
        </w:rPr>
        <w:t>, 118p.</w:t>
      </w:r>
    </w:p>
    <w:p w14:paraId="4C77BBC8" w14:textId="77777777" w:rsidR="005735E5" w:rsidRPr="00B0618E" w:rsidRDefault="005735E5" w:rsidP="00AE6843">
      <w:pPr>
        <w:pStyle w:val="BodyText"/>
        <w:ind w:left="567" w:hanging="567"/>
        <w:rPr>
          <w:color w:val="auto"/>
        </w:rPr>
      </w:pPr>
      <w:r w:rsidRPr="00B0618E">
        <w:rPr>
          <w:color w:val="auto"/>
        </w:rPr>
        <w:t xml:space="preserve">Kolterman CE and Gorelick SM (1996) Heterogeneity in sedimentary deposits: A review of structure-imitating, process-imitating, and descriptive approaches, </w:t>
      </w:r>
      <w:r w:rsidRPr="00B0618E">
        <w:rPr>
          <w:i/>
          <w:color w:val="auto"/>
        </w:rPr>
        <w:t>Water Resources Research</w:t>
      </w:r>
      <w:r w:rsidRPr="00B0618E">
        <w:rPr>
          <w:color w:val="auto"/>
        </w:rPr>
        <w:t xml:space="preserve"> 32(9): 2617-2658.</w:t>
      </w:r>
    </w:p>
    <w:p w14:paraId="286BD115" w14:textId="117A91D1" w:rsidR="005735E5" w:rsidRDefault="005735E5" w:rsidP="00AE6843">
      <w:pPr>
        <w:pStyle w:val="BodyText"/>
        <w:ind w:left="567" w:hanging="567"/>
        <w:rPr>
          <w:color w:val="auto"/>
        </w:rPr>
      </w:pPr>
      <w:r w:rsidRPr="00B0618E">
        <w:rPr>
          <w:color w:val="auto"/>
        </w:rPr>
        <w:t>Lall U and Sharma A (1996) A nearest neighbour bootstrap for resampling hydrologic time series</w:t>
      </w:r>
      <w:r w:rsidR="000D19A9">
        <w:rPr>
          <w:color w:val="auto"/>
        </w:rPr>
        <w:t>,</w:t>
      </w:r>
      <w:r w:rsidRPr="00B0618E">
        <w:rPr>
          <w:color w:val="auto"/>
        </w:rPr>
        <w:t xml:space="preserve"> </w:t>
      </w:r>
      <w:r w:rsidRPr="002819F9">
        <w:rPr>
          <w:i/>
          <w:color w:val="auto"/>
        </w:rPr>
        <w:t>Water Resources Research</w:t>
      </w:r>
      <w:r w:rsidRPr="00B0618E">
        <w:rPr>
          <w:color w:val="auto"/>
        </w:rPr>
        <w:t xml:space="preserve"> 32: 679-693.</w:t>
      </w:r>
    </w:p>
    <w:p w14:paraId="205030E8" w14:textId="57377098" w:rsidR="00BD32CA" w:rsidRDefault="00BD32CA" w:rsidP="000D19A9">
      <w:pPr>
        <w:pStyle w:val="BodyText"/>
        <w:ind w:left="567" w:hanging="567"/>
      </w:pPr>
      <w:r w:rsidRPr="00D55857">
        <w:t xml:space="preserve">Leaf AT, Fienen MN, Hunt RJ and Buchwald </w:t>
      </w:r>
      <w:r w:rsidR="00D55857" w:rsidRPr="00D55857">
        <w:t>C</w:t>
      </w:r>
      <w:r w:rsidRPr="00D55857">
        <w:t xml:space="preserve">A </w:t>
      </w:r>
      <w:r w:rsidR="00D55857" w:rsidRPr="00D55857">
        <w:t>(</w:t>
      </w:r>
      <w:r w:rsidRPr="00D55857">
        <w:t>2015</w:t>
      </w:r>
      <w:r w:rsidR="00D55857" w:rsidRPr="00D55857">
        <w:t>)</w:t>
      </w:r>
      <w:r w:rsidRPr="00D55857">
        <w:t xml:space="preserve"> Groundwater/Surface-Water Interactions in the Bad River Watershed, Wisconsin: U.S. Geological Survey Scientific Investigations Report 2015–5162, 110 p., </w:t>
      </w:r>
      <w:hyperlink r:id="rId90" w:history="1">
        <w:r w:rsidRPr="00D55857">
          <w:rPr>
            <w:rStyle w:val="Hyperlink"/>
          </w:rPr>
          <w:t>http://dx.doi.org/10.3133/sir20155162</w:t>
        </w:r>
      </w:hyperlink>
      <w:r w:rsidRPr="00D55857">
        <w:t>.</w:t>
      </w:r>
    </w:p>
    <w:p w14:paraId="1C9D4160" w14:textId="6FBB736D" w:rsidR="000D19A9" w:rsidRDefault="000D19A9" w:rsidP="000D19A9">
      <w:pPr>
        <w:pStyle w:val="BodyText"/>
        <w:ind w:left="567" w:hanging="567"/>
        <w:rPr>
          <w:color w:val="auto"/>
        </w:rPr>
      </w:pPr>
      <w:r w:rsidRPr="000D19A9">
        <w:rPr>
          <w:color w:val="auto"/>
        </w:rPr>
        <w:t>Li L, Zhou H and Gomez‐Hernandez J (2011) A comparative study of three‐dimensional hydraulic conductivity upscaling at</w:t>
      </w:r>
      <w:r>
        <w:rPr>
          <w:color w:val="auto"/>
        </w:rPr>
        <w:t xml:space="preserve"> </w:t>
      </w:r>
      <w:r w:rsidRPr="000D19A9">
        <w:rPr>
          <w:color w:val="auto"/>
        </w:rPr>
        <w:t xml:space="preserve">the macro‐dispersion experiment (MADE) site, Columbus Air Force Base, Mississippi (USA), </w:t>
      </w:r>
      <w:r w:rsidRPr="002819F9">
        <w:rPr>
          <w:i/>
          <w:color w:val="auto"/>
        </w:rPr>
        <w:t>Journal of Hydrology</w:t>
      </w:r>
      <w:r>
        <w:rPr>
          <w:i/>
          <w:color w:val="auto"/>
        </w:rPr>
        <w:t xml:space="preserve"> </w:t>
      </w:r>
      <w:r w:rsidRPr="000D19A9">
        <w:rPr>
          <w:color w:val="auto"/>
        </w:rPr>
        <w:t>404(3‐4): 278‐293.</w:t>
      </w:r>
    </w:p>
    <w:p w14:paraId="289BACCF" w14:textId="10B9C4D8" w:rsidR="00BD32CA" w:rsidRPr="008C7FF2" w:rsidRDefault="00BD32CA" w:rsidP="000D19A9">
      <w:pPr>
        <w:pStyle w:val="BodyText"/>
        <w:ind w:left="567" w:hanging="567"/>
        <w:rPr>
          <w:color w:val="auto"/>
        </w:rPr>
      </w:pPr>
      <w:r w:rsidRPr="008C7FF2">
        <w:rPr>
          <w:color w:val="auto"/>
        </w:rPr>
        <w:t xml:space="preserve">Liu </w:t>
      </w:r>
      <w:r w:rsidR="00D55857">
        <w:rPr>
          <w:color w:val="auto"/>
        </w:rPr>
        <w:t>X,</w:t>
      </w:r>
      <w:r w:rsidRPr="008C7FF2">
        <w:rPr>
          <w:color w:val="auto"/>
        </w:rPr>
        <w:t xml:space="preserve"> </w:t>
      </w:r>
      <w:r w:rsidR="00D55857">
        <w:rPr>
          <w:color w:val="auto"/>
        </w:rPr>
        <w:t>L</w:t>
      </w:r>
      <w:r w:rsidRPr="008C7FF2">
        <w:rPr>
          <w:color w:val="auto"/>
        </w:rPr>
        <w:t>ee</w:t>
      </w:r>
      <w:r w:rsidR="00D55857">
        <w:rPr>
          <w:color w:val="auto"/>
        </w:rPr>
        <w:t xml:space="preserve"> J,</w:t>
      </w:r>
      <w:r w:rsidRPr="008C7FF2">
        <w:rPr>
          <w:color w:val="auto"/>
        </w:rPr>
        <w:t xml:space="preserve"> Kitanidis</w:t>
      </w:r>
      <w:r w:rsidR="00D55857">
        <w:rPr>
          <w:color w:val="auto"/>
        </w:rPr>
        <w:t xml:space="preserve"> PK,</w:t>
      </w:r>
      <w:r w:rsidRPr="008C7FF2">
        <w:rPr>
          <w:color w:val="auto"/>
        </w:rPr>
        <w:t xml:space="preserve"> Parker</w:t>
      </w:r>
      <w:r w:rsidR="00D55857">
        <w:rPr>
          <w:color w:val="auto"/>
        </w:rPr>
        <w:t xml:space="preserve"> J and</w:t>
      </w:r>
      <w:r w:rsidRPr="008C7FF2">
        <w:rPr>
          <w:color w:val="auto"/>
        </w:rPr>
        <w:t xml:space="preserve"> Kim </w:t>
      </w:r>
      <w:r w:rsidR="00D55857">
        <w:rPr>
          <w:color w:val="auto"/>
        </w:rPr>
        <w:t xml:space="preserve">U </w:t>
      </w:r>
      <w:r w:rsidRPr="008C7FF2">
        <w:rPr>
          <w:color w:val="auto"/>
        </w:rPr>
        <w:t xml:space="preserve">(2012) Value of Information as a Context-Specific Measure of Uncertainty in Groundwater Remediation. </w:t>
      </w:r>
      <w:r w:rsidRPr="008C7FF2">
        <w:rPr>
          <w:i/>
          <w:color w:val="auto"/>
        </w:rPr>
        <w:t>Water Resour</w:t>
      </w:r>
      <w:r w:rsidR="00D55857" w:rsidRPr="008C7FF2">
        <w:rPr>
          <w:i/>
          <w:color w:val="auto"/>
        </w:rPr>
        <w:t>ce</w:t>
      </w:r>
      <w:r w:rsidRPr="008C7FF2">
        <w:rPr>
          <w:i/>
          <w:color w:val="auto"/>
        </w:rPr>
        <w:t xml:space="preserve"> Manage</w:t>
      </w:r>
      <w:r w:rsidR="00D55857" w:rsidRPr="008C7FF2">
        <w:rPr>
          <w:i/>
          <w:color w:val="auto"/>
        </w:rPr>
        <w:t>ment</w:t>
      </w:r>
      <w:r w:rsidRPr="008C7FF2">
        <w:rPr>
          <w:color w:val="auto"/>
        </w:rPr>
        <w:t xml:space="preserve"> (2012) 26:1513–1535.</w:t>
      </w:r>
    </w:p>
    <w:p w14:paraId="4B40DBE9" w14:textId="77777777" w:rsidR="005735E5" w:rsidRPr="00B0618E" w:rsidRDefault="005735E5" w:rsidP="00CD4A98">
      <w:pPr>
        <w:pStyle w:val="BodyText"/>
        <w:ind w:left="567" w:hanging="567"/>
        <w:rPr>
          <w:color w:val="auto"/>
        </w:rPr>
      </w:pPr>
      <w:r w:rsidRPr="00B0618E">
        <w:rPr>
          <w:color w:val="auto"/>
        </w:rPr>
        <w:t xml:space="preserve">Mallants D, Volckaert G, and Labat S (2001) </w:t>
      </w:r>
      <w:r w:rsidRPr="00B0618E">
        <w:rPr>
          <w:i/>
          <w:color w:val="auto"/>
        </w:rPr>
        <w:t>Parameter values used in the performance assessment of the disposal of low level radioactive waste at the nuclear zone Mol-Dessel</w:t>
      </w:r>
      <w:r w:rsidRPr="00B0618E">
        <w:rPr>
          <w:color w:val="auto"/>
        </w:rPr>
        <w:t>, vol. 1, 2 &amp; 3, report no. R-3521, SCK•CEN, Mol, Belgium, 41p (vol. 1), 220p (vol. 2), 63p (vol. 3).</w:t>
      </w:r>
    </w:p>
    <w:p w14:paraId="124145DA" w14:textId="77777777" w:rsidR="005735E5" w:rsidRDefault="005735E5" w:rsidP="006B2399">
      <w:pPr>
        <w:pStyle w:val="BodyText"/>
        <w:ind w:left="567" w:hanging="567"/>
        <w:rPr>
          <w:color w:val="auto"/>
        </w:rPr>
      </w:pPr>
      <w:r w:rsidRPr="00B0618E">
        <w:rPr>
          <w:color w:val="auto"/>
        </w:rPr>
        <w:t xml:space="preserve">Mazurek, M, Alt‐Epping, P, Bath, A, Gimmi, T, Waber, HN, Buschaert, S, De Canniere, P, De Craen, M, Gautschi, A, Savoye, S, Vinsot, A, Wemeare, I and Wouters, L (2011) Natural tracer profiles across argillaceous formations, </w:t>
      </w:r>
      <w:r w:rsidRPr="00B0618E">
        <w:rPr>
          <w:i/>
          <w:color w:val="auto"/>
        </w:rPr>
        <w:t>Applied Geochemistry</w:t>
      </w:r>
      <w:r w:rsidRPr="00B0618E">
        <w:rPr>
          <w:color w:val="auto"/>
        </w:rPr>
        <w:t xml:space="preserve"> 173: 219‐240.</w:t>
      </w:r>
    </w:p>
    <w:p w14:paraId="753A8DB3" w14:textId="76AEA5D8" w:rsidR="000F79E7" w:rsidRDefault="000F79E7" w:rsidP="00E81AE0">
      <w:pPr>
        <w:pStyle w:val="BodyText"/>
        <w:ind w:left="567" w:hanging="567"/>
        <w:rPr>
          <w:rFonts w:ascii="Arial" w:eastAsiaTheme="minorHAnsi" w:hAnsi="Arial" w:cs="Arial"/>
          <w:color w:val="auto"/>
          <w:sz w:val="21"/>
          <w:szCs w:val="21"/>
        </w:rPr>
      </w:pPr>
      <w:r w:rsidRPr="00E81AE0">
        <w:rPr>
          <w:color w:val="auto"/>
        </w:rPr>
        <w:t xml:space="preserve">McKenna </w:t>
      </w:r>
      <w:r w:rsidR="00E81AE0" w:rsidRPr="00E81AE0">
        <w:rPr>
          <w:color w:val="auto"/>
        </w:rPr>
        <w:t xml:space="preserve">SA and CA </w:t>
      </w:r>
      <w:r w:rsidRPr="00E81AE0">
        <w:rPr>
          <w:color w:val="auto"/>
        </w:rPr>
        <w:t>Rautman (1996)</w:t>
      </w:r>
      <w:r>
        <w:rPr>
          <w:color w:val="auto"/>
        </w:rPr>
        <w:t xml:space="preserve"> </w:t>
      </w:r>
      <w:r w:rsidR="00E81AE0" w:rsidRPr="00E81AE0">
        <w:rPr>
          <w:color w:val="auto"/>
        </w:rPr>
        <w:t>Scaling of Material Properties for Yucca Mountain:</w:t>
      </w:r>
      <w:r w:rsidR="00E81AE0">
        <w:rPr>
          <w:color w:val="auto"/>
        </w:rPr>
        <w:t xml:space="preserve"> </w:t>
      </w:r>
      <w:r w:rsidR="00E81AE0" w:rsidRPr="00E81AE0">
        <w:rPr>
          <w:color w:val="auto"/>
        </w:rPr>
        <w:t>Literature Review and Numerical Experiments on</w:t>
      </w:r>
      <w:r w:rsidR="00E81AE0">
        <w:rPr>
          <w:color w:val="auto"/>
        </w:rPr>
        <w:t xml:space="preserve"> </w:t>
      </w:r>
      <w:r w:rsidR="00E81AE0" w:rsidRPr="00E81AE0">
        <w:rPr>
          <w:color w:val="auto"/>
        </w:rPr>
        <w:t>Saturated Hydraulic Conductivity</w:t>
      </w:r>
      <w:r w:rsidR="00E81AE0">
        <w:rPr>
          <w:color w:val="auto"/>
        </w:rPr>
        <w:t xml:space="preserve">. </w:t>
      </w:r>
      <w:r w:rsidR="00E81AE0">
        <w:rPr>
          <w:rFonts w:ascii="Arial" w:eastAsiaTheme="minorHAnsi" w:hAnsi="Arial" w:cs="Arial"/>
          <w:color w:val="auto"/>
          <w:sz w:val="21"/>
          <w:szCs w:val="21"/>
        </w:rPr>
        <w:t>SAND95-2338.</w:t>
      </w:r>
    </w:p>
    <w:p w14:paraId="3D2C18F4" w14:textId="483F2152" w:rsidR="00FC45F0" w:rsidRPr="00FC45F0" w:rsidRDefault="00FC45F0" w:rsidP="00FC45F0">
      <w:pPr>
        <w:pStyle w:val="BodyText"/>
        <w:ind w:left="567" w:hanging="567"/>
        <w:rPr>
          <w:color w:val="auto"/>
        </w:rPr>
      </w:pPr>
      <w:r w:rsidRPr="00FC45F0">
        <w:rPr>
          <w:color w:val="auto"/>
        </w:rPr>
        <w:t>Neuman SP and Di Federico V (1998) Correlation, flow, and transport in multiscale permeability fields, in: Scale Dependence and Scale Invariance in Hydrology, Cambridge University Press, Cambridge, UK, pp. 354‐397.</w:t>
      </w:r>
    </w:p>
    <w:p w14:paraId="0CB732C7" w14:textId="77777777" w:rsidR="00103C16" w:rsidRPr="004B7450" w:rsidRDefault="00103C16" w:rsidP="00103C16">
      <w:pPr>
        <w:pStyle w:val="BodyText"/>
        <w:ind w:left="567" w:hanging="567"/>
        <w:rPr>
          <w:color w:val="auto"/>
        </w:rPr>
      </w:pPr>
      <w:r w:rsidRPr="004B7450">
        <w:rPr>
          <w:color w:val="auto"/>
        </w:rPr>
        <w:t>Neuman SP and Wierenga PJ (2003) A Comprehensive Strategy of Hydrogeologic Modeling and Uncertainty Analysis for Nuclear Facilities and Sites. NUREG/CR-6805 U.S. Nuclear Regulatory Commission, Office of Nuclear Regulatory Research, Washington, DC.</w:t>
      </w:r>
    </w:p>
    <w:p w14:paraId="6B23BB28" w14:textId="77777777" w:rsidR="00103C16" w:rsidRPr="00B0618E" w:rsidRDefault="00103C16" w:rsidP="00103C16">
      <w:pPr>
        <w:pStyle w:val="BodyText"/>
        <w:ind w:left="567" w:hanging="567"/>
      </w:pPr>
      <w:r w:rsidRPr="00B0618E">
        <w:rPr>
          <w:color w:val="auto"/>
        </w:rPr>
        <w:t xml:space="preserve">New South Wales Department of Primary Industries Office of Water (NSW DPI OW) (2012) </w:t>
      </w:r>
      <w:r w:rsidRPr="00B0618E">
        <w:rPr>
          <w:i/>
          <w:color w:val="auto"/>
        </w:rPr>
        <w:t>NSW</w:t>
      </w:r>
      <w:r w:rsidRPr="00B0618E">
        <w:rPr>
          <w:color w:val="auto"/>
        </w:rPr>
        <w:t xml:space="preserve"> </w:t>
      </w:r>
      <w:r w:rsidRPr="00B0618E">
        <w:rPr>
          <w:i/>
          <w:color w:val="auto"/>
        </w:rPr>
        <w:t>Aquifer Interference Policy</w:t>
      </w:r>
      <w:r w:rsidRPr="00B0618E">
        <w:rPr>
          <w:color w:val="auto"/>
        </w:rPr>
        <w:t>, State of New South Wales Department of Trade and Investment, Regional Infrastructure and Services, 34p, URL=&lt;http://www.water.nsw.gov.au/__data/assets/pdf_file/0004/549175/nsw_aquifer_interference_policy.pdf&gt;, accessed 27/02/17.</w:t>
      </w:r>
    </w:p>
    <w:p w14:paraId="54CFD694" w14:textId="77777777" w:rsidR="00103C16" w:rsidRPr="00B0618E" w:rsidRDefault="00103C16" w:rsidP="00103C16">
      <w:pPr>
        <w:pStyle w:val="BodyText"/>
        <w:ind w:left="567" w:hanging="567"/>
      </w:pPr>
      <w:r w:rsidRPr="00B0618E">
        <w:t xml:space="preserve">Niswonger RG, Panday S and Ibaraki M (2011) </w:t>
      </w:r>
      <w:r w:rsidRPr="00B0618E">
        <w:rPr>
          <w:i/>
        </w:rPr>
        <w:t>MODFLOW-NWT: A Newton formulation for MODFLOW-2005</w:t>
      </w:r>
      <w:r w:rsidRPr="00B0618E">
        <w:t xml:space="preserve">, US Geological Survey Techniques and Methods report no. 6–A37, 44p. </w:t>
      </w:r>
    </w:p>
    <w:p w14:paraId="6D216541" w14:textId="7467D817" w:rsidR="005735E5" w:rsidRDefault="005735E5" w:rsidP="005C0593">
      <w:pPr>
        <w:pStyle w:val="BodyText"/>
        <w:ind w:left="567" w:hanging="567"/>
        <w:rPr>
          <w:color w:val="auto"/>
        </w:rPr>
      </w:pPr>
      <w:r w:rsidRPr="005C0593">
        <w:rPr>
          <w:color w:val="auto"/>
        </w:rPr>
        <w:t>Moore C</w:t>
      </w:r>
      <w:r w:rsidR="005D5B36">
        <w:rPr>
          <w:color w:val="auto"/>
        </w:rPr>
        <w:t>R</w:t>
      </w:r>
      <w:r w:rsidRPr="005C0593">
        <w:rPr>
          <w:color w:val="auto"/>
        </w:rPr>
        <w:t xml:space="preserve"> (2005) </w:t>
      </w:r>
      <w:r w:rsidRPr="002819F9">
        <w:rPr>
          <w:i/>
          <w:color w:val="auto"/>
        </w:rPr>
        <w:t>The Use of Regularized Inversion in Groundwater Model Calibration and Prediction Uncertainty Analysis</w:t>
      </w:r>
      <w:r w:rsidRPr="005C0593">
        <w:rPr>
          <w:color w:val="auto"/>
        </w:rPr>
        <w:t>,</w:t>
      </w:r>
      <w:r>
        <w:rPr>
          <w:color w:val="auto"/>
        </w:rPr>
        <w:t xml:space="preserve"> </w:t>
      </w:r>
      <w:r w:rsidRPr="005C0593">
        <w:rPr>
          <w:color w:val="auto"/>
        </w:rPr>
        <w:t>PhD thesis, University of Queensland, St. Lucia, Australia.</w:t>
      </w:r>
    </w:p>
    <w:p w14:paraId="4178A821" w14:textId="380A6D7F" w:rsidR="00810576" w:rsidRDefault="00810576" w:rsidP="00810576">
      <w:pPr>
        <w:pStyle w:val="BodyText"/>
        <w:ind w:left="567" w:hanging="567"/>
        <w:rPr>
          <w:color w:val="auto"/>
        </w:rPr>
      </w:pPr>
      <w:r w:rsidRPr="000D2B1C">
        <w:rPr>
          <w:color w:val="auto"/>
        </w:rPr>
        <w:t>Moore C</w:t>
      </w:r>
      <w:r w:rsidR="00836443">
        <w:rPr>
          <w:color w:val="auto"/>
        </w:rPr>
        <w:t>R</w:t>
      </w:r>
      <w:r w:rsidRPr="000D2B1C">
        <w:rPr>
          <w:color w:val="auto"/>
        </w:rPr>
        <w:t xml:space="preserve"> and Doherty</w:t>
      </w:r>
      <w:r>
        <w:rPr>
          <w:color w:val="auto"/>
        </w:rPr>
        <w:t xml:space="preserve"> J (</w:t>
      </w:r>
      <w:r w:rsidRPr="000D2B1C">
        <w:rPr>
          <w:color w:val="auto"/>
        </w:rPr>
        <w:t>2006</w:t>
      </w:r>
      <w:r>
        <w:rPr>
          <w:color w:val="auto"/>
        </w:rPr>
        <w:t>)</w:t>
      </w:r>
      <w:r w:rsidRPr="000D2B1C">
        <w:rPr>
          <w:color w:val="auto"/>
        </w:rPr>
        <w:t xml:space="preserve"> The cost of uniqueness in groundwater model calibration</w:t>
      </w:r>
      <w:r>
        <w:rPr>
          <w:color w:val="auto"/>
        </w:rPr>
        <w:t>,</w:t>
      </w:r>
      <w:r w:rsidRPr="000D2B1C">
        <w:rPr>
          <w:color w:val="auto"/>
        </w:rPr>
        <w:t xml:space="preserve"> </w:t>
      </w:r>
      <w:r w:rsidRPr="000D2B1C">
        <w:rPr>
          <w:i/>
          <w:color w:val="auto"/>
        </w:rPr>
        <w:t>Advances in Water Resources</w:t>
      </w:r>
      <w:r w:rsidRPr="000D2B1C">
        <w:rPr>
          <w:color w:val="auto"/>
        </w:rPr>
        <w:t xml:space="preserve"> 29</w:t>
      </w:r>
      <w:r>
        <w:rPr>
          <w:color w:val="auto"/>
        </w:rPr>
        <w:t>(</w:t>
      </w:r>
      <w:r w:rsidRPr="000D2B1C">
        <w:rPr>
          <w:color w:val="auto"/>
        </w:rPr>
        <w:t>4</w:t>
      </w:r>
      <w:r>
        <w:rPr>
          <w:color w:val="auto"/>
        </w:rPr>
        <w:t>)</w:t>
      </w:r>
      <w:r w:rsidRPr="000D2B1C">
        <w:rPr>
          <w:color w:val="auto"/>
        </w:rPr>
        <w:t>: 605–623.</w:t>
      </w:r>
    </w:p>
    <w:p w14:paraId="465FD915" w14:textId="03177CA1" w:rsidR="00BA3F33" w:rsidRPr="00BA3F33" w:rsidRDefault="00BA3F33" w:rsidP="00BA3F33">
      <w:pPr>
        <w:pStyle w:val="BodyText"/>
        <w:ind w:left="567" w:hanging="567"/>
        <w:rPr>
          <w:color w:val="auto"/>
        </w:rPr>
      </w:pPr>
      <w:r w:rsidRPr="00BA3F33">
        <w:rPr>
          <w:color w:val="auto"/>
        </w:rPr>
        <w:t>Moore C</w:t>
      </w:r>
      <w:r w:rsidR="00836443">
        <w:rPr>
          <w:color w:val="auto"/>
        </w:rPr>
        <w:t>R</w:t>
      </w:r>
      <w:r w:rsidRPr="00BA3F33">
        <w:rPr>
          <w:color w:val="auto"/>
        </w:rPr>
        <w:t>, Wohling T and Wolf L (2011) Optimisation of monitoring data for increased predictive reliability of regional water allocation models, 19th International Congress on Modelling and Simulation, Perth, Australia, 12–16 December 2011 .</w:t>
      </w:r>
    </w:p>
    <w:p w14:paraId="0548213A" w14:textId="3D9ABD95" w:rsidR="000D19A9" w:rsidRDefault="000D19A9" w:rsidP="000D19A9">
      <w:pPr>
        <w:pStyle w:val="BodyText"/>
        <w:ind w:left="567" w:hanging="567"/>
        <w:rPr>
          <w:color w:val="auto"/>
        </w:rPr>
      </w:pPr>
      <w:r w:rsidRPr="000D19A9">
        <w:rPr>
          <w:color w:val="auto"/>
        </w:rPr>
        <w:t>Moore C</w:t>
      </w:r>
      <w:r w:rsidR="005D5B36">
        <w:rPr>
          <w:color w:val="auto"/>
        </w:rPr>
        <w:t>R</w:t>
      </w:r>
      <w:r w:rsidRPr="000D19A9">
        <w:rPr>
          <w:color w:val="auto"/>
        </w:rPr>
        <w:t xml:space="preserve">, Doherty J, Howell S and Erriah L (2013). </w:t>
      </w:r>
      <w:r w:rsidRPr="002819F9">
        <w:rPr>
          <w:i/>
          <w:color w:val="auto"/>
        </w:rPr>
        <w:t>Upscaling hydraulic properties and processes in the Coal Seam Gas Context ‐ Heterogeneity and dual phase flow challenges in lithologically segregated upscaling</w:t>
      </w:r>
      <w:r>
        <w:rPr>
          <w:color w:val="auto"/>
        </w:rPr>
        <w:t>,</w:t>
      </w:r>
      <w:r w:rsidRPr="000D19A9">
        <w:rPr>
          <w:color w:val="auto"/>
        </w:rPr>
        <w:t xml:space="preserve"> CSIRO </w:t>
      </w:r>
      <w:r>
        <w:rPr>
          <w:color w:val="auto"/>
        </w:rPr>
        <w:t>c</w:t>
      </w:r>
      <w:r w:rsidRPr="000D19A9">
        <w:rPr>
          <w:color w:val="auto"/>
        </w:rPr>
        <w:t xml:space="preserve">lient </w:t>
      </w:r>
      <w:r>
        <w:rPr>
          <w:color w:val="auto"/>
        </w:rPr>
        <w:t>r</w:t>
      </w:r>
      <w:r w:rsidRPr="000D19A9">
        <w:rPr>
          <w:color w:val="auto"/>
        </w:rPr>
        <w:t>eport</w:t>
      </w:r>
      <w:r>
        <w:rPr>
          <w:color w:val="auto"/>
        </w:rPr>
        <w:t xml:space="preserve">, </w:t>
      </w:r>
      <w:r w:rsidRPr="000D19A9">
        <w:rPr>
          <w:color w:val="auto"/>
        </w:rPr>
        <w:t>129p.</w:t>
      </w:r>
    </w:p>
    <w:p w14:paraId="0F22B6B9" w14:textId="612E4F03" w:rsidR="005D5B36" w:rsidRDefault="005D5B36" w:rsidP="000D19A9">
      <w:pPr>
        <w:pStyle w:val="BodyText"/>
        <w:ind w:left="567" w:hanging="567"/>
        <w:rPr>
          <w:color w:val="auto"/>
        </w:rPr>
      </w:pPr>
      <w:r w:rsidRPr="005D5B36">
        <w:rPr>
          <w:color w:val="auto"/>
        </w:rPr>
        <w:t>Moore CR, Doherty J, Howel</w:t>
      </w:r>
      <w:r>
        <w:rPr>
          <w:color w:val="auto"/>
        </w:rPr>
        <w:t>l</w:t>
      </w:r>
      <w:r w:rsidRPr="005D5B36">
        <w:rPr>
          <w:color w:val="auto"/>
        </w:rPr>
        <w:t xml:space="preserve"> </w:t>
      </w:r>
      <w:r>
        <w:rPr>
          <w:color w:val="auto"/>
        </w:rPr>
        <w:t xml:space="preserve">and </w:t>
      </w:r>
      <w:r w:rsidRPr="005D5B36">
        <w:rPr>
          <w:color w:val="auto"/>
        </w:rPr>
        <w:t>Erriah L (2015) Some challenges posed by coal bed methane regional assessment modeling</w:t>
      </w:r>
      <w:r>
        <w:rPr>
          <w:color w:val="auto"/>
        </w:rPr>
        <w:t>,</w:t>
      </w:r>
      <w:r w:rsidRPr="005D5B36">
        <w:rPr>
          <w:color w:val="auto"/>
        </w:rPr>
        <w:t xml:space="preserve"> </w:t>
      </w:r>
      <w:r w:rsidRPr="002819F9">
        <w:rPr>
          <w:i/>
          <w:color w:val="auto"/>
        </w:rPr>
        <w:t>Groundwater</w:t>
      </w:r>
      <w:r w:rsidRPr="005D5B36">
        <w:rPr>
          <w:color w:val="auto"/>
        </w:rPr>
        <w:t xml:space="preserve"> 53(5)</w:t>
      </w:r>
      <w:r>
        <w:rPr>
          <w:color w:val="auto"/>
        </w:rPr>
        <w:t>:</w:t>
      </w:r>
      <w:r w:rsidRPr="005D5B36">
        <w:rPr>
          <w:color w:val="auto"/>
        </w:rPr>
        <w:t xml:space="preserve"> 737-747.</w:t>
      </w:r>
    </w:p>
    <w:p w14:paraId="470E6C73" w14:textId="707BEBCD" w:rsidR="00836443" w:rsidRPr="00836443" w:rsidRDefault="00836443" w:rsidP="00836443">
      <w:pPr>
        <w:pStyle w:val="BodyText"/>
        <w:ind w:left="567" w:hanging="567"/>
        <w:rPr>
          <w:color w:val="auto"/>
        </w:rPr>
      </w:pPr>
      <w:r w:rsidRPr="00836443">
        <w:rPr>
          <w:color w:val="auto"/>
        </w:rPr>
        <w:t>Moore T (2012) Coalbed methane: a review</w:t>
      </w:r>
      <w:r>
        <w:rPr>
          <w:color w:val="auto"/>
        </w:rPr>
        <w:t>,</w:t>
      </w:r>
      <w:r w:rsidRPr="00836443">
        <w:rPr>
          <w:color w:val="auto"/>
        </w:rPr>
        <w:t xml:space="preserve"> </w:t>
      </w:r>
      <w:r w:rsidRPr="00836443">
        <w:rPr>
          <w:i/>
          <w:color w:val="auto"/>
        </w:rPr>
        <w:t>International Journal of Coal Geology</w:t>
      </w:r>
      <w:r w:rsidRPr="00836443">
        <w:rPr>
          <w:color w:val="auto"/>
        </w:rPr>
        <w:t xml:space="preserve"> 101: 36–81.</w:t>
      </w:r>
    </w:p>
    <w:p w14:paraId="3EFDD841" w14:textId="3714D7A6" w:rsidR="00103C16" w:rsidRDefault="00103C16" w:rsidP="00103C16">
      <w:pPr>
        <w:pStyle w:val="BodyText"/>
        <w:ind w:left="567" w:hanging="567"/>
        <w:rPr>
          <w:color w:val="auto"/>
        </w:rPr>
      </w:pPr>
      <w:r w:rsidRPr="008C7FF2">
        <w:rPr>
          <w:color w:val="auto"/>
        </w:rPr>
        <w:t>Moreau M, Moore C</w:t>
      </w:r>
      <w:r w:rsidR="00836443">
        <w:rPr>
          <w:color w:val="auto"/>
        </w:rPr>
        <w:t>R</w:t>
      </w:r>
      <w:r w:rsidRPr="008C7FF2">
        <w:rPr>
          <w:color w:val="auto"/>
        </w:rPr>
        <w:t>, Rawlinson Z (2016) Predictive uncertainty and data worth analysis to determine cost effectiveness of airborne EM data for defining hydraulic properties in a groundwater flow model used for predicting long term groundwater level drawdowns. International Association of Hydrogeologists. 43rd IAH CONGRESS 25-29th September, 2016 le Corum, Montpellier, France</w:t>
      </w:r>
      <w:r>
        <w:rPr>
          <w:color w:val="auto"/>
        </w:rPr>
        <w:t>.</w:t>
      </w:r>
    </w:p>
    <w:p w14:paraId="2437142D" w14:textId="325CB4CA" w:rsidR="00E62AC3" w:rsidRPr="00E62AC3" w:rsidRDefault="00E62AC3" w:rsidP="00E62AC3">
      <w:pPr>
        <w:pStyle w:val="BodyText"/>
        <w:ind w:left="567" w:hanging="567"/>
        <w:rPr>
          <w:color w:val="auto"/>
        </w:rPr>
      </w:pPr>
      <w:r w:rsidRPr="00E62AC3">
        <w:rPr>
          <w:color w:val="auto"/>
        </w:rPr>
        <w:t>Nossent</w:t>
      </w:r>
      <w:r>
        <w:rPr>
          <w:color w:val="auto"/>
        </w:rPr>
        <w:t xml:space="preserve"> J</w:t>
      </w:r>
      <w:r w:rsidRPr="00E62AC3">
        <w:rPr>
          <w:color w:val="auto"/>
        </w:rPr>
        <w:t>, E</w:t>
      </w:r>
      <w:r>
        <w:rPr>
          <w:color w:val="auto"/>
        </w:rPr>
        <w:t>lsen P</w:t>
      </w:r>
      <w:r w:rsidRPr="00E62AC3">
        <w:rPr>
          <w:color w:val="auto"/>
        </w:rPr>
        <w:t xml:space="preserve">, Bauwens </w:t>
      </w:r>
      <w:r>
        <w:rPr>
          <w:color w:val="auto"/>
        </w:rPr>
        <w:t xml:space="preserve">W </w:t>
      </w:r>
      <w:r w:rsidRPr="00E62AC3">
        <w:rPr>
          <w:color w:val="auto"/>
        </w:rPr>
        <w:t>(2011). Sobol’ sensitivity analysis of</w:t>
      </w:r>
      <w:r>
        <w:rPr>
          <w:color w:val="auto"/>
        </w:rPr>
        <w:t xml:space="preserve"> a complex environmental model,</w:t>
      </w:r>
      <w:r w:rsidRPr="00E62AC3">
        <w:rPr>
          <w:color w:val="auto"/>
        </w:rPr>
        <w:t xml:space="preserve"> </w:t>
      </w:r>
      <w:r w:rsidRPr="00E62AC3">
        <w:rPr>
          <w:i/>
          <w:color w:val="auto"/>
        </w:rPr>
        <w:t>Environmental Modelling and Software</w:t>
      </w:r>
      <w:r w:rsidRPr="00E62AC3">
        <w:rPr>
          <w:color w:val="auto"/>
        </w:rPr>
        <w:t xml:space="preserve"> 26</w:t>
      </w:r>
      <w:r>
        <w:rPr>
          <w:color w:val="auto"/>
        </w:rPr>
        <w:t xml:space="preserve">: </w:t>
      </w:r>
      <w:r w:rsidRPr="00E62AC3">
        <w:rPr>
          <w:color w:val="auto"/>
        </w:rPr>
        <w:t>1515-1525.</w:t>
      </w:r>
    </w:p>
    <w:p w14:paraId="676A1DA5" w14:textId="77777777" w:rsidR="005735E5" w:rsidRDefault="005735E5" w:rsidP="00E54091">
      <w:pPr>
        <w:pStyle w:val="BodyText"/>
        <w:ind w:left="567" w:hanging="567"/>
      </w:pPr>
      <w:r w:rsidRPr="00B0618E">
        <w:t xml:space="preserve">Office of Groundwater Impact Assessment (OGIA) (Qld) (2016) </w:t>
      </w:r>
      <w:r w:rsidRPr="00B0618E">
        <w:rPr>
          <w:i/>
        </w:rPr>
        <w:t>Underground Water Impact Report for the Surat Cumulative Management Area</w:t>
      </w:r>
      <w:r w:rsidRPr="00B0618E">
        <w:t>, Department of Natural Resources and Mines, 270p.</w:t>
      </w:r>
    </w:p>
    <w:p w14:paraId="6D0027B8" w14:textId="7BC5625E" w:rsidR="005735E5" w:rsidRPr="00B0618E" w:rsidRDefault="005735E5" w:rsidP="004C3E74">
      <w:pPr>
        <w:pStyle w:val="BodyText"/>
        <w:ind w:left="567" w:hanging="567"/>
      </w:pPr>
      <w:r>
        <w:t xml:space="preserve">Pianosi F, </w:t>
      </w:r>
      <w:r w:rsidRPr="004C3E74">
        <w:t>Beven K, Freer J, Hall JW, Rougier J, Stephenson DB, Wagener</w:t>
      </w:r>
      <w:r>
        <w:t xml:space="preserve"> T (2016) </w:t>
      </w:r>
      <w:r w:rsidRPr="00C6578C">
        <w:t>Sensitivity analysis of environmental models: A systematic review</w:t>
      </w:r>
      <w:r>
        <w:t xml:space="preserve"> </w:t>
      </w:r>
      <w:r w:rsidRPr="00C6578C">
        <w:t>with practical workflow</w:t>
      </w:r>
      <w:r w:rsidR="000D19A9">
        <w:t>,</w:t>
      </w:r>
      <w:r>
        <w:t xml:space="preserve">  </w:t>
      </w:r>
      <w:r w:rsidRPr="002819F9">
        <w:rPr>
          <w:i/>
        </w:rPr>
        <w:t>Environmental Modelling and Software</w:t>
      </w:r>
      <w:r w:rsidR="000D19A9">
        <w:t xml:space="preserve"> 79: 21</w:t>
      </w:r>
      <w:r>
        <w:t xml:space="preserve"> </w:t>
      </w:r>
      <w:r w:rsidR="000D19A9">
        <w:t>-</w:t>
      </w:r>
      <w:r>
        <w:t>232.</w:t>
      </w:r>
    </w:p>
    <w:p w14:paraId="3A00AEE9" w14:textId="77777777" w:rsidR="005735E5" w:rsidRDefault="005735E5" w:rsidP="000A321F">
      <w:pPr>
        <w:pStyle w:val="BodyText"/>
        <w:ind w:left="567" w:hanging="567"/>
      </w:pPr>
      <w:r w:rsidRPr="00B0618E">
        <w:t xml:space="preserve">Plischke E, Borgonovo E and Smith CL (2013) Global sensitivity measures from given data, </w:t>
      </w:r>
      <w:r w:rsidRPr="00B0618E">
        <w:rPr>
          <w:i/>
        </w:rPr>
        <w:t>European Journal of Operational Research</w:t>
      </w:r>
      <w:r w:rsidRPr="00B0618E">
        <w:t xml:space="preserve"> 226(3): 536-550.</w:t>
      </w:r>
    </w:p>
    <w:p w14:paraId="4267BD6C" w14:textId="112165C3" w:rsidR="00C22F96" w:rsidRDefault="00C22F96" w:rsidP="00C22F96">
      <w:pPr>
        <w:pStyle w:val="BodyText"/>
        <w:ind w:left="567" w:hanging="567"/>
      </w:pPr>
      <w:r>
        <w:t>Ravestein JC, Griffiths CM, Dyt CP and Michael K (2015). Multi-scale stratigraphic forward modelling of the Surat Basin for geological storage of CO</w:t>
      </w:r>
      <w:r w:rsidRPr="00C22F96">
        <w:rPr>
          <w:vertAlign w:val="subscript"/>
        </w:rPr>
        <w:t>2</w:t>
      </w:r>
      <w:r>
        <w:t xml:space="preserve">. </w:t>
      </w:r>
      <w:r w:rsidRPr="00C22F96">
        <w:rPr>
          <w:i/>
        </w:rPr>
        <w:t>Terra Nova</w:t>
      </w:r>
      <w:r>
        <w:t xml:space="preserve"> 27: 346–355.</w:t>
      </w:r>
    </w:p>
    <w:p w14:paraId="018606E2" w14:textId="77777777" w:rsidR="004B7450" w:rsidRDefault="004B7450" w:rsidP="004B7450">
      <w:pPr>
        <w:pStyle w:val="BodyText"/>
        <w:ind w:left="567" w:hanging="567"/>
      </w:pPr>
      <w:r>
        <w:t>Refsgaard</w:t>
      </w:r>
      <w:r w:rsidRPr="00DC4D39">
        <w:t xml:space="preserve"> </w:t>
      </w:r>
      <w:r>
        <w:t xml:space="preserve">JC, Christensen S, Sonnenborg TO, Seifert D, Højberg AL, Troldborg L (2012) Review of strategies for handling geological uncertainty in groundwater flow and transport modeling. </w:t>
      </w:r>
      <w:r w:rsidRPr="004B7450">
        <w:rPr>
          <w:i/>
        </w:rPr>
        <w:t>Advances in Water Resources</w:t>
      </w:r>
      <w:r>
        <w:t xml:space="preserve"> 36: 36-50.</w:t>
      </w:r>
    </w:p>
    <w:p w14:paraId="2B77EA05" w14:textId="533731B4" w:rsidR="000D19A9" w:rsidRDefault="000D19A9" w:rsidP="000D19A9">
      <w:pPr>
        <w:pStyle w:val="BodyText"/>
        <w:ind w:left="567" w:hanging="567"/>
      </w:pPr>
      <w:r>
        <w:t xml:space="preserve">Renard P and de Marsily G (1997) Calculating equivalent permeability: A review, </w:t>
      </w:r>
      <w:r w:rsidRPr="002819F9">
        <w:rPr>
          <w:i/>
        </w:rPr>
        <w:t>Advances in Water Resources</w:t>
      </w:r>
      <w:r>
        <w:t xml:space="preserve"> 20 (5‐6): 253‐278.</w:t>
      </w:r>
    </w:p>
    <w:p w14:paraId="0F581E76" w14:textId="7E522170" w:rsidR="00E30D4A" w:rsidRDefault="00E30D4A" w:rsidP="000D19A9">
      <w:pPr>
        <w:pStyle w:val="BodyText"/>
        <w:ind w:left="567" w:hanging="567"/>
      </w:pPr>
      <w:r>
        <w:t>Richardson JG, Harris DG, Rossen RH, and Van Hee G (1978) The effect of small, discontinuous shales on oil recovery, J. of Pet. Tec., November: 1531-1537.</w:t>
      </w:r>
    </w:p>
    <w:p w14:paraId="4742FE3B" w14:textId="77777777" w:rsidR="005735E5" w:rsidRPr="00B0618E" w:rsidRDefault="005735E5" w:rsidP="00BD3336">
      <w:pPr>
        <w:pStyle w:val="BodyText"/>
        <w:ind w:left="567" w:hanging="567"/>
      </w:pPr>
      <w:r w:rsidRPr="00B0618E">
        <w:t xml:space="preserve">Rojas RKS, Peeters L, Batelaan O, Feyen L and Dassargues A (2010) Application of a multimodel approach to account for conceptual model and scenario uncertainties in groundwater modelling, </w:t>
      </w:r>
      <w:r w:rsidRPr="00B0618E">
        <w:rPr>
          <w:i/>
        </w:rPr>
        <w:t>Journal of Hydrology</w:t>
      </w:r>
      <w:r w:rsidRPr="00B0618E">
        <w:t xml:space="preserve"> 394: 416-435.</w:t>
      </w:r>
    </w:p>
    <w:p w14:paraId="701FF240" w14:textId="7E979DB8" w:rsidR="005735E5" w:rsidRPr="00B0618E" w:rsidRDefault="005735E5" w:rsidP="00836D76">
      <w:pPr>
        <w:pStyle w:val="BodyText"/>
        <w:ind w:left="567" w:hanging="567"/>
      </w:pPr>
      <w:r w:rsidRPr="00B0618E">
        <w:t xml:space="preserve">Saltelli A </w:t>
      </w:r>
      <w:r w:rsidR="00836D76">
        <w:t>and Annoni P (2010</w:t>
      </w:r>
      <w:r w:rsidRPr="00B0618E">
        <w:t>)</w:t>
      </w:r>
      <w:r w:rsidR="00836D76">
        <w:t xml:space="preserve"> How to avoid a perfunctory sensitivity analysis, </w:t>
      </w:r>
      <w:r w:rsidR="00836D76" w:rsidRPr="002819F9">
        <w:rPr>
          <w:i/>
        </w:rPr>
        <w:t>Environmental Modelling and Software</w:t>
      </w:r>
      <w:r w:rsidR="00836D76">
        <w:t xml:space="preserve"> 25(12): 1508-1517</w:t>
      </w:r>
      <w:r w:rsidRPr="00B0618E">
        <w:t>.</w:t>
      </w:r>
    </w:p>
    <w:p w14:paraId="149D72C5" w14:textId="5E5BB0B9" w:rsidR="005735E5" w:rsidRPr="00B0618E" w:rsidRDefault="005735E5" w:rsidP="000A321F">
      <w:pPr>
        <w:pStyle w:val="BodyText"/>
        <w:ind w:left="567" w:hanging="567"/>
      </w:pPr>
      <w:r w:rsidRPr="00B0618E">
        <w:t xml:space="preserve">Saltelli A, Ratto M, Andres T, Campolongo F, Cariboni J, Gatelli D, Saisana M, Tarantola S and Young P (2008) </w:t>
      </w:r>
      <w:r w:rsidRPr="00B0618E">
        <w:rPr>
          <w:i/>
        </w:rPr>
        <w:t>Global Sensitivity Analysis: The Primer</w:t>
      </w:r>
      <w:r w:rsidRPr="00B0618E">
        <w:t>, John Wiley and Sons, Chichester, UK, 292p.</w:t>
      </w:r>
    </w:p>
    <w:p w14:paraId="7748AA3B" w14:textId="77777777" w:rsidR="005735E5" w:rsidRPr="00B0618E" w:rsidRDefault="005735E5" w:rsidP="000A321F">
      <w:pPr>
        <w:pStyle w:val="BodyText"/>
        <w:ind w:left="567" w:hanging="567"/>
      </w:pPr>
      <w:r w:rsidRPr="00B0618E">
        <w:t xml:space="preserve">Saltelli A, Tarantola S and Campolongo F (2000) Sensitivity analysis as an ingredient of modelling, </w:t>
      </w:r>
      <w:r w:rsidRPr="00B0618E">
        <w:rPr>
          <w:i/>
        </w:rPr>
        <w:t>Statistical Science</w:t>
      </w:r>
      <w:r w:rsidRPr="00B0618E">
        <w:t xml:space="preserve"> 15(4): 377-395.</w:t>
      </w:r>
    </w:p>
    <w:p w14:paraId="0C371345" w14:textId="7319791B" w:rsidR="000D19A9" w:rsidRDefault="000D19A9" w:rsidP="000D19A9">
      <w:pPr>
        <w:pStyle w:val="BodyText"/>
        <w:ind w:left="567" w:hanging="567"/>
      </w:pPr>
      <w:r>
        <w:t xml:space="preserve">Sanchez‐Vila X, Carrera J and Girardi J (1996) Scale effects in transmissivity, </w:t>
      </w:r>
      <w:r w:rsidRPr="002819F9">
        <w:rPr>
          <w:i/>
        </w:rPr>
        <w:t>Journal of Hydrology</w:t>
      </w:r>
      <w:r>
        <w:t xml:space="preserve"> 183(1‐2): 1‐22.</w:t>
      </w:r>
    </w:p>
    <w:p w14:paraId="4A4CDE29" w14:textId="119845A4" w:rsidR="000D19A9" w:rsidRDefault="000D19A9" w:rsidP="000D19A9">
      <w:pPr>
        <w:pStyle w:val="BodyText"/>
        <w:ind w:left="567" w:hanging="567"/>
      </w:pPr>
      <w:r>
        <w:t>Sanchez‐Vila X, Girardi J and Car</w:t>
      </w:r>
      <w:r w:rsidR="008F59C0">
        <w:t>r</w:t>
      </w:r>
      <w:r>
        <w:t xml:space="preserve">era J (1995) A synthesis of approaches to upscaling of hydraulic conductivities, </w:t>
      </w:r>
      <w:r w:rsidRPr="002819F9">
        <w:rPr>
          <w:i/>
        </w:rPr>
        <w:t>Water Resources Research</w:t>
      </w:r>
      <w:r>
        <w:t xml:space="preserve"> 31(4): 867‐882.</w:t>
      </w:r>
    </w:p>
    <w:p w14:paraId="077AA75A" w14:textId="39C2DEAB" w:rsidR="000D19A9" w:rsidRDefault="000D19A9" w:rsidP="000D19A9">
      <w:pPr>
        <w:pStyle w:val="BodyText"/>
        <w:ind w:left="567" w:hanging="567"/>
      </w:pPr>
      <w:r>
        <w:t xml:space="preserve">Sanchez‐Vila X, Guadagnini A and Carrera J (2006) Representative hydraulic conductivities in saturated groundwater flow, </w:t>
      </w:r>
      <w:r w:rsidRPr="002819F9">
        <w:rPr>
          <w:i/>
        </w:rPr>
        <w:t>Reviews of Geophysics</w:t>
      </w:r>
      <w:r>
        <w:t xml:space="preserve"> 44(3).</w:t>
      </w:r>
    </w:p>
    <w:p w14:paraId="0AF7689E" w14:textId="61B36BEF" w:rsidR="004C5380" w:rsidRDefault="004C5380" w:rsidP="000D19A9">
      <w:pPr>
        <w:pStyle w:val="BodyText"/>
        <w:ind w:left="567" w:hanging="567"/>
      </w:pPr>
      <w:r w:rsidRPr="004C5380">
        <w:t>Schulze-Makuch D, Carlson DA, Cherkauer DS</w:t>
      </w:r>
      <w:r>
        <w:t xml:space="preserve"> and</w:t>
      </w:r>
      <w:r w:rsidRPr="004C5380">
        <w:t xml:space="preserve"> Malik P</w:t>
      </w:r>
      <w:r>
        <w:t xml:space="preserve"> (</w:t>
      </w:r>
      <w:r w:rsidRPr="004C5380">
        <w:t>1999</w:t>
      </w:r>
      <w:r>
        <w:t>)</w:t>
      </w:r>
      <w:r w:rsidRPr="004C5380">
        <w:t>. Scale Dependency of Hydraulic Conductivity in Heterogeneous Media</w:t>
      </w:r>
      <w:r>
        <w:t>,</w:t>
      </w:r>
      <w:r w:rsidRPr="004C5380">
        <w:t xml:space="preserve"> </w:t>
      </w:r>
      <w:r w:rsidRPr="004C5380">
        <w:rPr>
          <w:i/>
        </w:rPr>
        <w:t>Ground Water</w:t>
      </w:r>
      <w:r w:rsidRPr="004C5380">
        <w:t>, 37(6): 904-919</w:t>
      </w:r>
    </w:p>
    <w:p w14:paraId="234E2F15" w14:textId="6EC6DF92" w:rsidR="008A3959" w:rsidRDefault="008A3959" w:rsidP="008A3959">
      <w:pPr>
        <w:pStyle w:val="BodyText"/>
        <w:ind w:left="567" w:hanging="567"/>
      </w:pPr>
      <w:r>
        <w:t>Simmons CT and Hunt RJ (2012) Updating the Debate on Model Complexity. GSA Today 22(8).</w:t>
      </w:r>
    </w:p>
    <w:p w14:paraId="3A5E569B" w14:textId="4DF9D956" w:rsidR="00DE2A7A" w:rsidRDefault="00DE2A7A" w:rsidP="000A321F">
      <w:pPr>
        <w:pStyle w:val="BodyText"/>
        <w:ind w:left="567" w:hanging="567"/>
      </w:pPr>
      <w:r>
        <w:t>Smith SD, Ma</w:t>
      </w:r>
      <w:r w:rsidR="00D646E1">
        <w:t>thouchanh E and Mallants D (2018</w:t>
      </w:r>
      <w:r>
        <w:t xml:space="preserve">) </w:t>
      </w:r>
      <w:r w:rsidR="004E35A8">
        <w:t>Characterisation of fluid flow in aquitards using helium concentrations in quartz, Gunnedah Basin, NSW, CSIRO, Australia.</w:t>
      </w:r>
    </w:p>
    <w:p w14:paraId="39B7A241" w14:textId="77777777" w:rsidR="005735E5" w:rsidRDefault="005735E5" w:rsidP="000A321F">
      <w:pPr>
        <w:pStyle w:val="BodyText"/>
        <w:ind w:left="567" w:hanging="567"/>
      </w:pPr>
      <w:r w:rsidRPr="00B0618E">
        <w:t xml:space="preserve">Sobol’ IM (2001) Global sensitivity indices for nonlinear mathematical models and their Monte Carlo estimates, </w:t>
      </w:r>
      <w:r w:rsidRPr="00B0618E">
        <w:rPr>
          <w:i/>
        </w:rPr>
        <w:t>Mathematics and Computers in Simulation</w:t>
      </w:r>
      <w:r w:rsidRPr="00B0618E">
        <w:t xml:space="preserve"> 55(1): 271-280.</w:t>
      </w:r>
    </w:p>
    <w:p w14:paraId="14F15DC6" w14:textId="40E301F1" w:rsidR="008C7FF2" w:rsidRDefault="008C7FF2" w:rsidP="00406E7A">
      <w:pPr>
        <w:pStyle w:val="BodyText"/>
        <w:ind w:left="567" w:hanging="567"/>
      </w:pPr>
      <w:r>
        <w:t>Sreekanth J and Moore C (2015) CSG water injection impacts: Modelling, uncertainty and risk analysis; Groundwater flow and transport modelling and uncertainty analysis to quantify the water quantity and quality impacts of a coal seam gas produced water injection scheme in the Surat Basin, Queensland. CSIRO, Australia.</w:t>
      </w:r>
    </w:p>
    <w:p w14:paraId="290FAB84" w14:textId="0AA7208B" w:rsidR="00406E7A" w:rsidRDefault="00406E7A" w:rsidP="00406E7A">
      <w:pPr>
        <w:pStyle w:val="BodyText"/>
        <w:ind w:left="567" w:hanging="567"/>
      </w:pPr>
      <w:r>
        <w:t>Srinivasan</w:t>
      </w:r>
      <w:r w:rsidRPr="00DC4D39">
        <w:t xml:space="preserve"> </w:t>
      </w:r>
      <w:r>
        <w:t>G, Tartakovsky DM, Robinson BA, and Aceves AB (2007) Quantification of uncertainty in geochemical reactions. Water Resources Research 43, W12415.</w:t>
      </w:r>
    </w:p>
    <w:p w14:paraId="54D8652A" w14:textId="72698E85" w:rsidR="005735E5" w:rsidRDefault="005735E5" w:rsidP="000A321F">
      <w:pPr>
        <w:pStyle w:val="BodyText"/>
        <w:ind w:left="567" w:hanging="567"/>
      </w:pPr>
      <w:r w:rsidRPr="00B0618E">
        <w:t>Trainor-Guitton WJ, Caers JK, Mukerji T (2011) A methodology for establishing a data reliability measure for value of spatial inf</w:t>
      </w:r>
      <w:r w:rsidR="000D19A9">
        <w:t>ormation problems,</w:t>
      </w:r>
      <w:r w:rsidRPr="00B0618E">
        <w:t xml:space="preserve"> </w:t>
      </w:r>
      <w:r w:rsidRPr="002819F9">
        <w:rPr>
          <w:i/>
        </w:rPr>
        <w:t>Mathematical Geosciences</w:t>
      </w:r>
      <w:r w:rsidRPr="00B0618E">
        <w:t xml:space="preserve"> 43: 929-949.</w:t>
      </w:r>
    </w:p>
    <w:p w14:paraId="244D1980" w14:textId="77777777" w:rsidR="004B7450" w:rsidRDefault="004B7450" w:rsidP="004B7450">
      <w:pPr>
        <w:pStyle w:val="BodyText"/>
        <w:ind w:left="567" w:hanging="567"/>
      </w:pPr>
      <w:r w:rsidRPr="00A45100">
        <w:t>Troldborg L, Refsgaard JC, Jensen KH, Engesgaard P</w:t>
      </w:r>
      <w:r>
        <w:t xml:space="preserve"> (2007)</w:t>
      </w:r>
      <w:r w:rsidRPr="00A45100">
        <w:t xml:space="preserve"> The importance of alternative conceptual models for simulation of concentrations in multiaquifer</w:t>
      </w:r>
      <w:r>
        <w:t xml:space="preserve"> </w:t>
      </w:r>
      <w:r w:rsidRPr="00A45100">
        <w:t xml:space="preserve">system. </w:t>
      </w:r>
      <w:r w:rsidRPr="004B7450">
        <w:rPr>
          <w:i/>
        </w:rPr>
        <w:t>Hydrogeology Journal</w:t>
      </w:r>
      <w:r>
        <w:t xml:space="preserve"> </w:t>
      </w:r>
      <w:r w:rsidRPr="00A45100">
        <w:t>15:843–60.</w:t>
      </w:r>
    </w:p>
    <w:p w14:paraId="0A44C5BB" w14:textId="72936A9E" w:rsidR="009833F3" w:rsidRPr="009833F3" w:rsidRDefault="009833F3" w:rsidP="009833F3">
      <w:pPr>
        <w:pStyle w:val="BodyText"/>
        <w:ind w:left="567" w:hanging="567"/>
      </w:pPr>
      <w:r w:rsidRPr="009833F3">
        <w:t>Turnadge C, Mallants D, Peeters L (201</w:t>
      </w:r>
      <w:r w:rsidR="00D646E1">
        <w:t>8</w:t>
      </w:r>
      <w:r>
        <w:t>a</w:t>
      </w:r>
      <w:r w:rsidRPr="009833F3">
        <w:t>) Overview of aquitard and geological fault simulation approaches in regional scale assessments of coal seam gas extraction impacts, prepared by the Commonwealth Scientific and Industrial Research Organisation (CSIRO), Canberra.</w:t>
      </w:r>
    </w:p>
    <w:p w14:paraId="0CADD606" w14:textId="25DEA91B" w:rsidR="005735E5" w:rsidRDefault="005735E5" w:rsidP="00AD2BD2">
      <w:pPr>
        <w:pStyle w:val="BodyText"/>
        <w:ind w:left="567" w:hanging="567"/>
      </w:pPr>
      <w:r w:rsidRPr="00B0618E">
        <w:t xml:space="preserve"> Turnadge C, Esteban L, Emelyanova I, Nguyen D, Pervukhina M, Han T and Mallants D (201</w:t>
      </w:r>
      <w:r w:rsidR="00D646E1">
        <w:t>8</w:t>
      </w:r>
      <w:r w:rsidR="009833F3">
        <w:t>b</w:t>
      </w:r>
      <w:r w:rsidRPr="00B0618E">
        <w:t xml:space="preserve">) </w:t>
      </w:r>
      <w:r w:rsidRPr="00B0618E">
        <w:rPr>
          <w:i/>
        </w:rPr>
        <w:t xml:space="preserve">Multiscale </w:t>
      </w:r>
      <w:r w:rsidR="000D19A9" w:rsidRPr="00B0618E">
        <w:rPr>
          <w:i/>
        </w:rPr>
        <w:t xml:space="preserve">Aquitard Hydraulic Conductivity Characterisation </w:t>
      </w:r>
      <w:r w:rsidR="000D19A9">
        <w:rPr>
          <w:i/>
        </w:rPr>
        <w:t>a</w:t>
      </w:r>
      <w:r w:rsidR="000D19A9" w:rsidRPr="00B0618E">
        <w:rPr>
          <w:i/>
        </w:rPr>
        <w:t xml:space="preserve">nd Inclusion </w:t>
      </w:r>
      <w:r w:rsidR="000D19A9">
        <w:rPr>
          <w:i/>
        </w:rPr>
        <w:t>i</w:t>
      </w:r>
      <w:r w:rsidR="000D19A9" w:rsidRPr="00B0618E">
        <w:rPr>
          <w:i/>
        </w:rPr>
        <w:t>n Groundwater Flow Models</w:t>
      </w:r>
      <w:r w:rsidRPr="00B0618E">
        <w:rPr>
          <w:i/>
        </w:rPr>
        <w:t>: Application to the Gunnedah Basin, New South Wales</w:t>
      </w:r>
      <w:r w:rsidRPr="00B0618E">
        <w:t>, prepared by the Commonwealth Scientific and Industrial Research Organisation (CSIRO), Canberra, ACT, 66p.</w:t>
      </w:r>
    </w:p>
    <w:p w14:paraId="03F86EE3" w14:textId="74502E61" w:rsidR="005735E5" w:rsidRDefault="005735E5" w:rsidP="00AD2BD2">
      <w:pPr>
        <w:pStyle w:val="BodyText"/>
        <w:ind w:left="567" w:hanging="567"/>
      </w:pPr>
      <w:r w:rsidRPr="00B0618E">
        <w:t>Vrugt JA, ter Braak CJF, Diks CGH, and Schoups G (2013) </w:t>
      </w:r>
      <w:hyperlink r:id="rId91" w:tgtFrame="_blank" w:history="1">
        <w:r w:rsidRPr="00B0618E">
          <w:t xml:space="preserve">Advancing hydrologic data assimilation using particle Markov chain Monte Carlo simulation: </w:t>
        </w:r>
        <w:r w:rsidR="000D19A9">
          <w:t>T</w:t>
        </w:r>
        <w:r w:rsidRPr="00B0618E">
          <w:t>heory, concepts and applications</w:t>
        </w:r>
      </w:hyperlink>
      <w:r w:rsidRPr="00B0618E">
        <w:t>, </w:t>
      </w:r>
      <w:r w:rsidRPr="002819F9">
        <w:rPr>
          <w:i/>
        </w:rPr>
        <w:t>Advances in Water Resources</w:t>
      </w:r>
      <w:r w:rsidRPr="00B0618E">
        <w:t xml:space="preserve"> 51, 457-478, doi:10.1016/j.advwatres.2012.04.002</w:t>
      </w:r>
      <w:r w:rsidR="003B5C47">
        <w:t>.</w:t>
      </w:r>
    </w:p>
    <w:p w14:paraId="5CF313EC" w14:textId="00A3FD60" w:rsidR="003B5C47" w:rsidRPr="00E221CD" w:rsidRDefault="00FA6595" w:rsidP="00AD2BD2">
      <w:pPr>
        <w:pStyle w:val="BodyText"/>
        <w:ind w:left="567" w:hanging="567"/>
        <w:rPr>
          <w:highlight w:val="yellow"/>
        </w:rPr>
      </w:pPr>
      <w:r>
        <w:t xml:space="preserve">Wagner JM, Shamir U, Nemati HR (1992) Groundwater quality management under uncertainty— stochastic-programming approaches and the value of information. </w:t>
      </w:r>
      <w:r w:rsidRPr="00E221CD">
        <w:rPr>
          <w:i/>
        </w:rPr>
        <w:t>Water Resources Research</w:t>
      </w:r>
      <w:r>
        <w:t xml:space="preserve"> 28(5):1233–1246. ISSN 0043-1397</w:t>
      </w:r>
    </w:p>
    <w:p w14:paraId="62055C4B" w14:textId="2A9C9F4B" w:rsidR="003B5C47" w:rsidRPr="00E221CD" w:rsidRDefault="003B5C47" w:rsidP="00406E7A">
      <w:pPr>
        <w:pStyle w:val="BodyText"/>
        <w:ind w:left="567" w:hanging="567"/>
        <w:rPr>
          <w:color w:val="auto"/>
        </w:rPr>
      </w:pPr>
      <w:r w:rsidRPr="00E221CD">
        <w:rPr>
          <w:color w:val="auto"/>
        </w:rPr>
        <w:t xml:space="preserve">Wagner </w:t>
      </w:r>
      <w:r w:rsidR="00406E7A" w:rsidRPr="00E221CD">
        <w:rPr>
          <w:color w:val="auto"/>
        </w:rPr>
        <w:t>BJ (</w:t>
      </w:r>
      <w:r w:rsidRPr="00E221CD">
        <w:rPr>
          <w:color w:val="auto"/>
        </w:rPr>
        <w:t>1999</w:t>
      </w:r>
      <w:r w:rsidR="00406E7A" w:rsidRPr="00E221CD">
        <w:rPr>
          <w:color w:val="auto"/>
        </w:rPr>
        <w:t xml:space="preserve">) Evaluating data worth for groundwater management under uncertainty. </w:t>
      </w:r>
      <w:r w:rsidR="00406E7A" w:rsidRPr="00E221CD">
        <w:rPr>
          <w:i/>
          <w:color w:val="auto"/>
        </w:rPr>
        <w:t>Journal</w:t>
      </w:r>
      <w:r w:rsidR="00FA6595" w:rsidRPr="00E221CD">
        <w:rPr>
          <w:i/>
          <w:color w:val="auto"/>
        </w:rPr>
        <w:t xml:space="preserve"> </w:t>
      </w:r>
      <w:r w:rsidR="00406E7A" w:rsidRPr="00E221CD">
        <w:rPr>
          <w:i/>
          <w:color w:val="auto"/>
        </w:rPr>
        <w:t>of Water Resources Planning and Management</w:t>
      </w:r>
      <w:r w:rsidR="00406E7A" w:rsidRPr="00E221CD">
        <w:rPr>
          <w:color w:val="auto"/>
        </w:rPr>
        <w:t>, Vol. 125, No. 5, 281-288</w:t>
      </w:r>
      <w:r w:rsidR="00FA6595">
        <w:rPr>
          <w:color w:val="auto"/>
        </w:rPr>
        <w:t>.</w:t>
      </w:r>
    </w:p>
    <w:p w14:paraId="6CC2B19C" w14:textId="3514A5C1" w:rsidR="005735E5" w:rsidRPr="000077A0" w:rsidRDefault="005735E5" w:rsidP="000077A0">
      <w:pPr>
        <w:pStyle w:val="BodyText"/>
        <w:ind w:left="567" w:hanging="567"/>
        <w:rPr>
          <w:color w:val="auto"/>
        </w:rPr>
      </w:pPr>
      <w:r w:rsidRPr="000077A0">
        <w:rPr>
          <w:color w:val="auto"/>
        </w:rPr>
        <w:t>Wallis I, Moore C, Post V, Wolf L, Martens E, Prommer H (2014). Using predictive uncertainty analysis to optimise tracer test design and data acquisition</w:t>
      </w:r>
      <w:r w:rsidR="000D19A9">
        <w:rPr>
          <w:color w:val="auto"/>
        </w:rPr>
        <w:t>,</w:t>
      </w:r>
      <w:r w:rsidRPr="000077A0">
        <w:rPr>
          <w:color w:val="auto"/>
        </w:rPr>
        <w:t xml:space="preserve"> </w:t>
      </w:r>
      <w:r w:rsidRPr="002819F9">
        <w:rPr>
          <w:i/>
          <w:color w:val="auto"/>
        </w:rPr>
        <w:t>Journal of Hydrology</w:t>
      </w:r>
      <w:r w:rsidRPr="000077A0">
        <w:rPr>
          <w:color w:val="auto"/>
        </w:rPr>
        <w:t xml:space="preserve"> 515: 191–204.</w:t>
      </w:r>
    </w:p>
    <w:p w14:paraId="03E5268F" w14:textId="729F8CEF" w:rsidR="000D19A9" w:rsidRDefault="000D19A9" w:rsidP="00DD64D3">
      <w:pPr>
        <w:pStyle w:val="BodyText"/>
        <w:ind w:left="567" w:hanging="567"/>
        <w:rPr>
          <w:color w:val="auto"/>
        </w:rPr>
      </w:pPr>
      <w:r w:rsidRPr="000D19A9">
        <w:rPr>
          <w:color w:val="auto"/>
        </w:rPr>
        <w:t xml:space="preserve">Warren J and Price H (1961) Flow in heterogeneous porous media, </w:t>
      </w:r>
      <w:r w:rsidRPr="002819F9">
        <w:rPr>
          <w:i/>
          <w:color w:val="auto"/>
        </w:rPr>
        <w:t>Society of Petroleum Engineers Journal</w:t>
      </w:r>
      <w:r w:rsidRPr="000D19A9">
        <w:rPr>
          <w:color w:val="auto"/>
        </w:rPr>
        <w:t xml:space="preserve"> 1(3): 153‐169.</w:t>
      </w:r>
    </w:p>
    <w:p w14:paraId="0424A1E4" w14:textId="77777777" w:rsidR="005735E5" w:rsidRDefault="005735E5" w:rsidP="00DD64D3">
      <w:pPr>
        <w:pStyle w:val="BodyText"/>
        <w:ind w:left="567" w:hanging="567"/>
        <w:rPr>
          <w:color w:val="auto"/>
        </w:rPr>
      </w:pPr>
      <w:r w:rsidRPr="00B0618E">
        <w:rPr>
          <w:color w:val="auto"/>
        </w:rPr>
        <w:t>Watermark Numerical Computing (WNC) (2016</w:t>
      </w:r>
      <w:r w:rsidRPr="00B0618E">
        <w:rPr>
          <w:i/>
          <w:color w:val="auto"/>
        </w:rPr>
        <w:t>) Groundwater Data Utilities Part B: Program Descriptions</w:t>
      </w:r>
      <w:r w:rsidRPr="00B0618E">
        <w:rPr>
          <w:color w:val="auto"/>
        </w:rPr>
        <w:t>, Watermark Numerical Computing, URL=</w:t>
      </w:r>
      <w:r w:rsidRPr="00B0618E">
        <w:t>&lt;</w:t>
      </w:r>
      <w:r w:rsidRPr="00B0618E">
        <w:rPr>
          <w:color w:val="auto"/>
        </w:rPr>
        <w:t>http://www.pesthomepage.org/getfiles.php?file=gwutil_b.pdf&gt;, accessed 27/02/17.</w:t>
      </w:r>
    </w:p>
    <w:p w14:paraId="12DBC6CD" w14:textId="51F06B7B" w:rsidR="00E30D4A" w:rsidRDefault="00E30D4A" w:rsidP="00DD64D3">
      <w:pPr>
        <w:pStyle w:val="BodyText"/>
        <w:ind w:left="567" w:hanging="567"/>
        <w:rPr>
          <w:color w:val="auto"/>
        </w:rPr>
      </w:pPr>
      <w:r w:rsidRPr="001C4F97">
        <w:rPr>
          <w:color w:val="auto"/>
        </w:rPr>
        <w:t>Weber K (198</w:t>
      </w:r>
      <w:r>
        <w:rPr>
          <w:color w:val="auto"/>
        </w:rPr>
        <w:t>2</w:t>
      </w:r>
      <w:r w:rsidRPr="001C4F97">
        <w:rPr>
          <w:color w:val="auto"/>
        </w:rPr>
        <w:t>)</w:t>
      </w:r>
      <w:r>
        <w:rPr>
          <w:color w:val="auto"/>
        </w:rPr>
        <w:t xml:space="preserve"> Influence of common sedimentary structures on fluid flow in reservoir models, </w:t>
      </w:r>
      <w:r w:rsidRPr="00836443">
        <w:rPr>
          <w:i/>
          <w:color w:val="auto"/>
        </w:rPr>
        <w:t>J. of Pet. Tech</w:t>
      </w:r>
      <w:r>
        <w:rPr>
          <w:color w:val="auto"/>
        </w:rPr>
        <w:t>., March: 665-672.</w:t>
      </w:r>
    </w:p>
    <w:p w14:paraId="0C6350D1" w14:textId="77777777" w:rsidR="005735E5" w:rsidRPr="00B0618E" w:rsidRDefault="005735E5" w:rsidP="00DD64D3">
      <w:pPr>
        <w:pStyle w:val="BodyText"/>
        <w:ind w:left="567" w:hanging="567"/>
        <w:rPr>
          <w:color w:val="auto"/>
        </w:rPr>
      </w:pPr>
      <w:r w:rsidRPr="001C4F97">
        <w:rPr>
          <w:color w:val="auto"/>
        </w:rPr>
        <w:t xml:space="preserve">Weber K (1986) How heterogeneity affects oil recovery, </w:t>
      </w:r>
      <w:r w:rsidRPr="002819F9">
        <w:rPr>
          <w:i/>
          <w:color w:val="auto"/>
        </w:rPr>
        <w:t>Reservoir Characterization</w:t>
      </w:r>
      <w:r w:rsidRPr="001C4F97">
        <w:rPr>
          <w:color w:val="auto"/>
        </w:rPr>
        <w:t xml:space="preserve"> 487: 544.</w:t>
      </w:r>
    </w:p>
    <w:p w14:paraId="6DEEA11C" w14:textId="4B0EC5D4" w:rsidR="000D19A9" w:rsidRDefault="000D19A9" w:rsidP="000D19A9">
      <w:pPr>
        <w:pStyle w:val="BodyText"/>
        <w:ind w:left="567" w:hanging="567"/>
        <w:rPr>
          <w:color w:val="auto"/>
        </w:rPr>
      </w:pPr>
      <w:r w:rsidRPr="000D19A9">
        <w:rPr>
          <w:color w:val="auto"/>
        </w:rPr>
        <w:t xml:space="preserve">Wen X and Gomez‐Hernandez J (1996) Upscaling hydraulic conductivities in heterogeneous media: An overview, </w:t>
      </w:r>
      <w:r w:rsidRPr="002819F9">
        <w:rPr>
          <w:i/>
          <w:color w:val="auto"/>
        </w:rPr>
        <w:t>Journal of Hydrology</w:t>
      </w:r>
      <w:r w:rsidRPr="000D19A9">
        <w:rPr>
          <w:color w:val="auto"/>
        </w:rPr>
        <w:t xml:space="preserve"> 183(1‐2): R9‐R32.</w:t>
      </w:r>
    </w:p>
    <w:p w14:paraId="5E30B7A8" w14:textId="6B7923B6" w:rsidR="001446C7" w:rsidRDefault="001446C7" w:rsidP="00CB1E21">
      <w:pPr>
        <w:pStyle w:val="BodyText"/>
        <w:ind w:left="567" w:hanging="567"/>
        <w:rPr>
          <w:color w:val="auto"/>
        </w:rPr>
      </w:pPr>
      <w:r w:rsidRPr="002819F9">
        <w:rPr>
          <w:color w:val="auto"/>
        </w:rPr>
        <w:t xml:space="preserve">White J T, Doherty J E and Hughes J D (2014) Quantifying the predictive consequences of model error with linear subspace analysis Water Resources Research, 50, 1152-1173 </w:t>
      </w:r>
      <w:hyperlink r:id="rId92" w:history="1">
        <w:r w:rsidR="003B5C47" w:rsidRPr="00C2238F">
          <w:rPr>
            <w:rStyle w:val="Hyperlink"/>
          </w:rPr>
          <w:t>http://dx.doi.org/10.1002/2013WR014767</w:t>
        </w:r>
      </w:hyperlink>
      <w:r w:rsidR="003B5C47">
        <w:rPr>
          <w:color w:val="auto"/>
        </w:rPr>
        <w:t>.</w:t>
      </w:r>
    </w:p>
    <w:p w14:paraId="28B19210" w14:textId="417152AD" w:rsidR="003B5C47" w:rsidRPr="002819F9" w:rsidRDefault="00CC5DB6" w:rsidP="00CC5DB6">
      <w:pPr>
        <w:pStyle w:val="BodyText"/>
        <w:ind w:left="567" w:hanging="567"/>
        <w:rPr>
          <w:color w:val="auto"/>
        </w:rPr>
      </w:pPr>
      <w:r w:rsidRPr="00406E7A">
        <w:rPr>
          <w:color w:val="auto"/>
        </w:rPr>
        <w:t>Xue L, Zhang D, Guadagnini A</w:t>
      </w:r>
      <w:r w:rsidR="00406E7A" w:rsidRPr="00406E7A">
        <w:rPr>
          <w:color w:val="auto"/>
        </w:rPr>
        <w:t>, Neuman</w:t>
      </w:r>
      <w:r w:rsidRPr="00406E7A">
        <w:rPr>
          <w:color w:val="auto"/>
        </w:rPr>
        <w:t xml:space="preserve"> SP </w:t>
      </w:r>
      <w:r w:rsidR="00406E7A">
        <w:rPr>
          <w:color w:val="auto"/>
        </w:rPr>
        <w:t>(</w:t>
      </w:r>
      <w:r w:rsidRPr="00406E7A">
        <w:rPr>
          <w:color w:val="auto"/>
        </w:rPr>
        <w:t>2014</w:t>
      </w:r>
      <w:r w:rsidR="00406E7A">
        <w:rPr>
          <w:color w:val="auto"/>
        </w:rPr>
        <w:t>)</w:t>
      </w:r>
      <w:r w:rsidRPr="00406E7A">
        <w:rPr>
          <w:color w:val="auto"/>
        </w:rPr>
        <w:t xml:space="preserve"> Multimodel bayesian analysis</w:t>
      </w:r>
      <w:r w:rsidR="00406E7A">
        <w:rPr>
          <w:color w:val="auto"/>
        </w:rPr>
        <w:t xml:space="preserve"> </w:t>
      </w:r>
      <w:r w:rsidRPr="00406E7A">
        <w:rPr>
          <w:color w:val="auto"/>
        </w:rPr>
        <w:t>of groundwater data worth. Water Resour</w:t>
      </w:r>
      <w:r w:rsidR="00406E7A">
        <w:rPr>
          <w:color w:val="auto"/>
        </w:rPr>
        <w:t>ces</w:t>
      </w:r>
      <w:r w:rsidRPr="00406E7A">
        <w:rPr>
          <w:color w:val="auto"/>
        </w:rPr>
        <w:t xml:space="preserve"> Res</w:t>
      </w:r>
      <w:r w:rsidR="00406E7A">
        <w:rPr>
          <w:color w:val="auto"/>
        </w:rPr>
        <w:t>earch</w:t>
      </w:r>
      <w:r w:rsidRPr="00406E7A">
        <w:rPr>
          <w:color w:val="auto"/>
        </w:rPr>
        <w:t xml:space="preserve"> http://dx.doi.org/10.1002/2014WR015503.</w:t>
      </w:r>
    </w:p>
    <w:p w14:paraId="5920231D" w14:textId="77777777" w:rsidR="005735E5" w:rsidRDefault="005735E5" w:rsidP="00B51581">
      <w:pPr>
        <w:pStyle w:val="BodyText"/>
        <w:ind w:left="567" w:hanging="567"/>
        <w:rPr>
          <w:color w:val="auto"/>
        </w:rPr>
      </w:pPr>
      <w:r w:rsidRPr="00B0618E">
        <w:rPr>
          <w:color w:val="auto"/>
        </w:rPr>
        <w:t xml:space="preserve">Yu L, Rogiers B, Gedeon M, Marivoet J, De Craen M and Mallants D (2013) A critical review of laboratory and in‐situ hydraulic conductivity measurements for the Boom clay in Belgium, </w:t>
      </w:r>
      <w:r w:rsidRPr="00B0618E">
        <w:rPr>
          <w:i/>
          <w:color w:val="auto"/>
        </w:rPr>
        <w:t>Applied Clay Science</w:t>
      </w:r>
      <w:r w:rsidRPr="00B0618E">
        <w:rPr>
          <w:color w:val="auto"/>
        </w:rPr>
        <w:t xml:space="preserve"> 75: 1‐12.</w:t>
      </w:r>
    </w:p>
    <w:p w14:paraId="1545DF94" w14:textId="0B522C8E" w:rsidR="00405C39" w:rsidRPr="00D40DDB" w:rsidRDefault="00405C39">
      <w:pPr>
        <w:pStyle w:val="BodyText"/>
        <w:ind w:left="567" w:hanging="567"/>
        <w:rPr>
          <w:color w:val="auto"/>
        </w:rPr>
      </w:pPr>
      <w:r w:rsidRPr="00D40DDB">
        <w:rPr>
          <w:color w:val="auto"/>
        </w:rPr>
        <w:t>Zuidema</w:t>
      </w:r>
      <w:r>
        <w:rPr>
          <w:color w:val="auto"/>
        </w:rPr>
        <w:t xml:space="preserve"> P (1994)</w:t>
      </w:r>
      <w:r w:rsidRPr="00D40DDB">
        <w:rPr>
          <w:color w:val="auto"/>
        </w:rPr>
        <w:t xml:space="preserve"> Validation: Demonstration of disposal safety requires a practicable approach, in GEOVAL 94, Validation through model testing, Proceedings of an NEA/SKI Symposium, Paris, France, 11</w:t>
      </w:r>
      <w:r>
        <w:rPr>
          <w:color w:val="auto"/>
        </w:rPr>
        <w:t>-14 October 1994, pp. 35-42.</w:t>
      </w:r>
    </w:p>
    <w:p w14:paraId="605CA997" w14:textId="3049A2CB" w:rsidR="002B0C55" w:rsidRPr="00B0618E" w:rsidRDefault="002B0C55" w:rsidP="00CE7F29">
      <w:pPr>
        <w:pStyle w:val="Heading1"/>
      </w:pPr>
      <w:bookmarkStart w:id="233" w:name="_Toc483127594"/>
      <w:r>
        <w:t>Appendi</w:t>
      </w:r>
      <w:r w:rsidR="00CE7F29">
        <w:t>x 1</w:t>
      </w:r>
      <w:bookmarkEnd w:id="233"/>
    </w:p>
    <w:p w14:paraId="766A70CD" w14:textId="31BF5961" w:rsidR="004F287F" w:rsidRDefault="002B0C55" w:rsidP="00CB1E21">
      <w:r>
        <w:t>The following appendices contain scatterplots of prediction versus parameter values for each of the four groundwater impact metrics.</w:t>
      </w:r>
    </w:p>
    <w:p w14:paraId="469AA826" w14:textId="41F110FB" w:rsidR="002B0C55" w:rsidRPr="001E06D2" w:rsidRDefault="00354CB6" w:rsidP="00CE7F29">
      <w:pPr>
        <w:pStyle w:val="Heading2"/>
      </w:pPr>
      <w:bookmarkStart w:id="234" w:name="_Toc483127595"/>
      <w:r w:rsidRPr="00CB1E21">
        <w:t xml:space="preserve">Initial model: </w:t>
      </w:r>
      <w:r>
        <w:t>M</w:t>
      </w:r>
      <w:r w:rsidR="002B0C55" w:rsidRPr="00354CB6">
        <w:t xml:space="preserve">agnitude of maximum drawdown </w:t>
      </w:r>
      <w:r>
        <w:t xml:space="preserve">prediction </w:t>
      </w:r>
      <w:r w:rsidR="002B0C55" w:rsidRPr="00354CB6">
        <w:t>(MXD)</w:t>
      </w:r>
      <w:bookmarkEnd w:id="234"/>
      <w:r w:rsidR="002B0C55" w:rsidRPr="00354CB6">
        <w:t xml:space="preserve"> </w:t>
      </w:r>
    </w:p>
    <w:p w14:paraId="07B2C54C" w14:textId="4F852F70" w:rsidR="002B0C55" w:rsidRDefault="002B0C55" w:rsidP="00CB1E21">
      <w:r>
        <w:rPr>
          <w:noProof/>
        </w:rPr>
        <w:drawing>
          <wp:inline distT="0" distB="0" distL="0" distR="0" wp14:anchorId="374DDDDE" wp14:editId="5E50C0CC">
            <wp:extent cx="6118860" cy="8648700"/>
            <wp:effectExtent l="0" t="0" r="0" b="0"/>
            <wp:docPr id="110" name="Picture 110" descr="Initial Model: Magnitude of maximum drawdown prediction" title="Appendix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r25d\Desktop\tidy_210217\temp\Plischke_MXD_initial.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p>
    <w:p w14:paraId="758EF8B6" w14:textId="025749AB" w:rsidR="002B0C55" w:rsidRPr="00354CB6" w:rsidRDefault="00354CB6" w:rsidP="00CE7F29">
      <w:pPr>
        <w:pStyle w:val="Heading2"/>
      </w:pPr>
      <w:bookmarkStart w:id="235" w:name="_Toc483127596"/>
      <w:r w:rsidRPr="00CB1E21">
        <w:t xml:space="preserve">Revised model: </w:t>
      </w:r>
      <w:r>
        <w:t>M</w:t>
      </w:r>
      <w:r w:rsidR="002B0C55" w:rsidRPr="00CB1E21">
        <w:t xml:space="preserve">agnitude of </w:t>
      </w:r>
      <w:r w:rsidR="002B0C55" w:rsidRPr="00354CB6">
        <w:t xml:space="preserve">maximum drawdown </w:t>
      </w:r>
      <w:r>
        <w:t xml:space="preserve">prediction </w:t>
      </w:r>
      <w:r w:rsidR="002B0C55" w:rsidRPr="00354CB6">
        <w:t>(MXD)</w:t>
      </w:r>
      <w:bookmarkEnd w:id="235"/>
    </w:p>
    <w:p w14:paraId="2DFB8217" w14:textId="7781A6FD" w:rsidR="002B0C55" w:rsidRDefault="002B0C55" w:rsidP="004F287F">
      <w:pPr>
        <w:pStyle w:val="BodyText"/>
      </w:pPr>
      <w:r>
        <w:rPr>
          <w:noProof/>
        </w:rPr>
        <w:drawing>
          <wp:inline distT="0" distB="0" distL="0" distR="0" wp14:anchorId="7BAE733B" wp14:editId="0C7AB41A">
            <wp:extent cx="6118860" cy="5707380"/>
            <wp:effectExtent l="0" t="0" r="0" b="7620"/>
            <wp:docPr id="115" name="Picture 115" descr="Revised model: Magnitude of maximum drawdown prediction" title="Appendix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r25d\Desktop\tidy_210217\temp\Plischke_MXD_revised.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8860" cy="5707380"/>
                    </a:xfrm>
                    <a:prstGeom prst="rect">
                      <a:avLst/>
                    </a:prstGeom>
                    <a:noFill/>
                    <a:ln>
                      <a:noFill/>
                    </a:ln>
                  </pic:spPr>
                </pic:pic>
              </a:graphicData>
            </a:graphic>
          </wp:inline>
        </w:drawing>
      </w:r>
    </w:p>
    <w:p w14:paraId="24BA782F" w14:textId="77777777" w:rsidR="002B0C55" w:rsidRDefault="002B0C55" w:rsidP="004F287F">
      <w:pPr>
        <w:pStyle w:val="BodyText"/>
      </w:pPr>
    </w:p>
    <w:p w14:paraId="43F01F9C" w14:textId="6DF98C7E" w:rsidR="002B0C55" w:rsidRDefault="002B0C55">
      <w:pPr>
        <w:spacing w:after="0"/>
        <w:rPr>
          <w:sz w:val="24"/>
        </w:rPr>
      </w:pPr>
      <w:r>
        <w:br w:type="page"/>
      </w:r>
    </w:p>
    <w:p w14:paraId="0E0840FB" w14:textId="215024DC" w:rsidR="002B0C55" w:rsidRPr="00354CB6" w:rsidRDefault="00354CB6" w:rsidP="00CE7F29">
      <w:pPr>
        <w:pStyle w:val="Heading2"/>
      </w:pPr>
      <w:bookmarkStart w:id="236" w:name="_Toc483127597"/>
      <w:r>
        <w:t>Initial model: T</w:t>
      </w:r>
      <w:r w:rsidR="002B0C55" w:rsidRPr="00354CB6">
        <w:t xml:space="preserve">iming of maximum drawdown </w:t>
      </w:r>
      <w:r>
        <w:t xml:space="preserve">prediction </w:t>
      </w:r>
      <w:r w:rsidR="002B0C55" w:rsidRPr="00354CB6">
        <w:t>(tMXD)</w:t>
      </w:r>
      <w:bookmarkEnd w:id="236"/>
    </w:p>
    <w:p w14:paraId="198FC266" w14:textId="22BAB136" w:rsidR="002B0C55" w:rsidRDefault="002B0C55" w:rsidP="004F287F">
      <w:pPr>
        <w:pStyle w:val="BodyText"/>
      </w:pPr>
      <w:r>
        <w:rPr>
          <w:noProof/>
        </w:rPr>
        <w:drawing>
          <wp:inline distT="0" distB="0" distL="0" distR="0" wp14:anchorId="6F2D2EF2" wp14:editId="13446BEF">
            <wp:extent cx="6118860" cy="8648700"/>
            <wp:effectExtent l="0" t="0" r="0" b="0"/>
            <wp:docPr id="116" name="Picture 116" descr="Initial model: Timing of maximum drawdown prediction" title="Appendi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r25d\Desktop\tidy_210217\temp\Plischke_tMXD_initial.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p>
    <w:p w14:paraId="4F343E4F" w14:textId="50F4727C" w:rsidR="002B0C55" w:rsidRPr="00354CB6" w:rsidRDefault="00354CB6" w:rsidP="00CE7F29">
      <w:pPr>
        <w:pStyle w:val="Heading2"/>
      </w:pPr>
      <w:bookmarkStart w:id="237" w:name="_Toc483127598"/>
      <w:r>
        <w:t>Revised</w:t>
      </w:r>
      <w:r w:rsidRPr="00CB1E21">
        <w:t xml:space="preserve"> model: </w:t>
      </w:r>
      <w:r>
        <w:t>T</w:t>
      </w:r>
      <w:r w:rsidR="002B0C55" w:rsidRPr="00354CB6">
        <w:t xml:space="preserve">iming of maximum drawdown </w:t>
      </w:r>
      <w:r>
        <w:t xml:space="preserve">prediction </w:t>
      </w:r>
      <w:r w:rsidR="002B0C55" w:rsidRPr="00354CB6">
        <w:t>(tMXD)</w:t>
      </w:r>
      <w:bookmarkEnd w:id="237"/>
    </w:p>
    <w:p w14:paraId="10B86F75" w14:textId="680487A6" w:rsidR="002B0C55" w:rsidRDefault="002B0C55" w:rsidP="004F287F">
      <w:pPr>
        <w:pStyle w:val="BodyText"/>
      </w:pPr>
      <w:r>
        <w:rPr>
          <w:noProof/>
        </w:rPr>
        <w:drawing>
          <wp:inline distT="0" distB="0" distL="0" distR="0" wp14:anchorId="253EE9E4" wp14:editId="20F3429C">
            <wp:extent cx="6118860" cy="5707380"/>
            <wp:effectExtent l="0" t="0" r="0" b="7620"/>
            <wp:docPr id="117" name="Picture 117" descr="Revised model: Timing of maximum drawdown prediction" title="Appendix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ur25d\Desktop\tidy_210217\temp\Plischke_tMXD_revised.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18860" cy="5707380"/>
                    </a:xfrm>
                    <a:prstGeom prst="rect">
                      <a:avLst/>
                    </a:prstGeom>
                    <a:noFill/>
                    <a:ln>
                      <a:noFill/>
                    </a:ln>
                  </pic:spPr>
                </pic:pic>
              </a:graphicData>
            </a:graphic>
          </wp:inline>
        </w:drawing>
      </w:r>
    </w:p>
    <w:p w14:paraId="0E98913B" w14:textId="4FB855CD" w:rsidR="002B0C55" w:rsidRDefault="002B0C55">
      <w:pPr>
        <w:spacing w:after="0"/>
        <w:rPr>
          <w:sz w:val="24"/>
        </w:rPr>
      </w:pPr>
      <w:r>
        <w:br w:type="page"/>
      </w:r>
    </w:p>
    <w:p w14:paraId="7FAB9C16" w14:textId="31704E0C" w:rsidR="005F7446" w:rsidRDefault="00354CB6" w:rsidP="005F7446">
      <w:pPr>
        <w:pStyle w:val="Heading2"/>
      </w:pPr>
      <w:bookmarkStart w:id="238" w:name="_Toc483127599"/>
      <w:r w:rsidRPr="00CB1E21">
        <w:t xml:space="preserve">Initial model: </w:t>
      </w:r>
      <w:r w:rsidRPr="00354CB6">
        <w:t xml:space="preserve">Number of model cells with </w:t>
      </w:r>
      <w:r w:rsidR="002B0C55" w:rsidRPr="00CB1E21">
        <w:t xml:space="preserve">drawdown </w:t>
      </w:r>
      <w:r w:rsidRPr="00354CB6">
        <w:t xml:space="preserve">&gt; 2 m </w:t>
      </w:r>
      <w:r w:rsidRPr="00CB1E21">
        <w:t xml:space="preserve">prediction </w:t>
      </w:r>
      <w:r w:rsidR="005F7446">
        <w:t>(NDD)</w:t>
      </w:r>
      <w:bookmarkEnd w:id="238"/>
    </w:p>
    <w:p w14:paraId="6DC06B5E" w14:textId="6BB6E027" w:rsidR="002B0C55" w:rsidRDefault="002B0C55" w:rsidP="005F7446">
      <w:pPr>
        <w:pStyle w:val="BodyText"/>
      </w:pPr>
      <w:r w:rsidRPr="00CB1E21">
        <w:t>(</w:t>
      </w:r>
      <w:r w:rsidR="00354CB6">
        <w:rPr>
          <w:noProof/>
        </w:rPr>
        <w:drawing>
          <wp:inline distT="0" distB="0" distL="0" distR="0" wp14:anchorId="0FB9AA70" wp14:editId="550C9E26">
            <wp:extent cx="5842966" cy="8258738"/>
            <wp:effectExtent l="0" t="0" r="5715" b="9525"/>
            <wp:docPr id="121" name="Picture 121" descr="Initial model: Number of model cells with drawdown &gt; 2 m prediction" title="Appendix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r25d\Desktop\tidy_210217\temp\Plischke_NDD_initial.pn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46549" cy="8263802"/>
                    </a:xfrm>
                    <a:prstGeom prst="rect">
                      <a:avLst/>
                    </a:prstGeom>
                    <a:noFill/>
                    <a:ln>
                      <a:noFill/>
                    </a:ln>
                  </pic:spPr>
                </pic:pic>
              </a:graphicData>
            </a:graphic>
          </wp:inline>
        </w:drawing>
      </w:r>
    </w:p>
    <w:p w14:paraId="2F2BD35E" w14:textId="3C5AEEA2" w:rsidR="00354CB6" w:rsidRPr="00CB1E21" w:rsidRDefault="00354CB6" w:rsidP="00CE7F29">
      <w:pPr>
        <w:pStyle w:val="Heading2"/>
      </w:pPr>
      <w:bookmarkStart w:id="239" w:name="_Toc483127600"/>
      <w:r w:rsidRPr="00CB1E21">
        <w:t>Revised model: Number of model cells with drawdown &gt; 2 m prediction (NDD)</w:t>
      </w:r>
      <w:bookmarkEnd w:id="239"/>
    </w:p>
    <w:p w14:paraId="09E3E372" w14:textId="3F5744D7" w:rsidR="002B0C55" w:rsidRDefault="00354CB6" w:rsidP="004F287F">
      <w:pPr>
        <w:pStyle w:val="BodyText"/>
      </w:pPr>
      <w:r>
        <w:rPr>
          <w:noProof/>
          <w:sz w:val="28"/>
          <w:szCs w:val="30"/>
        </w:rPr>
        <w:drawing>
          <wp:inline distT="0" distB="0" distL="0" distR="0" wp14:anchorId="11F8BADC" wp14:editId="0F5DD2F5">
            <wp:extent cx="6118860" cy="5707380"/>
            <wp:effectExtent l="0" t="0" r="0" b="7620"/>
            <wp:docPr id="122" name="Picture 122" descr="Revised model: Number of model cells with drawdown &gt; 2 m prediction (NDD)" title="Appendix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r25d\Desktop\tidy_210217\temp\Plischke_NDD_revised.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8860" cy="5707380"/>
                    </a:xfrm>
                    <a:prstGeom prst="rect">
                      <a:avLst/>
                    </a:prstGeom>
                    <a:noFill/>
                    <a:ln>
                      <a:noFill/>
                    </a:ln>
                  </pic:spPr>
                </pic:pic>
              </a:graphicData>
            </a:graphic>
          </wp:inline>
        </w:drawing>
      </w:r>
    </w:p>
    <w:p w14:paraId="06994E48" w14:textId="45246A10" w:rsidR="00354CB6" w:rsidRDefault="00354CB6">
      <w:pPr>
        <w:spacing w:after="0"/>
        <w:rPr>
          <w:sz w:val="24"/>
        </w:rPr>
      </w:pPr>
      <w:r>
        <w:br w:type="page"/>
      </w:r>
    </w:p>
    <w:p w14:paraId="087D6B53" w14:textId="46DD5AC8" w:rsidR="00354CB6" w:rsidRPr="00CB1E21" w:rsidRDefault="00354CB6" w:rsidP="00CE7F29">
      <w:pPr>
        <w:pStyle w:val="Heading2"/>
      </w:pPr>
      <w:bookmarkStart w:id="240" w:name="_Toc483127601"/>
      <w:r w:rsidRPr="00CB1E21">
        <w:t>Initial model:  Maximum vertical flux prediction (MXQ)</w:t>
      </w:r>
      <w:bookmarkEnd w:id="240"/>
    </w:p>
    <w:p w14:paraId="2105CB52" w14:textId="47516E87" w:rsidR="002B0C55" w:rsidRDefault="00354CB6" w:rsidP="004F287F">
      <w:pPr>
        <w:pStyle w:val="BodyText"/>
      </w:pPr>
      <w:r>
        <w:rPr>
          <w:noProof/>
        </w:rPr>
        <w:drawing>
          <wp:inline distT="0" distB="0" distL="0" distR="0" wp14:anchorId="79B1188E" wp14:editId="2D4B69A5">
            <wp:extent cx="6118860" cy="8648700"/>
            <wp:effectExtent l="0" t="0" r="0" b="0"/>
            <wp:docPr id="123" name="Picture 123" descr="Initial model:  Maximum vertical flux prediction " title="Appendix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ur25d\Desktop\tidy_210217\temp\Plischke_MXQ_initial.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118860" cy="8648700"/>
                    </a:xfrm>
                    <a:prstGeom prst="rect">
                      <a:avLst/>
                    </a:prstGeom>
                    <a:noFill/>
                    <a:ln>
                      <a:noFill/>
                    </a:ln>
                  </pic:spPr>
                </pic:pic>
              </a:graphicData>
            </a:graphic>
          </wp:inline>
        </w:drawing>
      </w:r>
    </w:p>
    <w:p w14:paraId="0105DC86" w14:textId="19778B49" w:rsidR="00354CB6" w:rsidRPr="00C022CC" w:rsidRDefault="00354CB6" w:rsidP="00CE7F29">
      <w:pPr>
        <w:pStyle w:val="Heading2"/>
      </w:pPr>
      <w:bookmarkStart w:id="241" w:name="_Toc483127602"/>
      <w:r>
        <w:t>Revised</w:t>
      </w:r>
      <w:r w:rsidRPr="00C022CC">
        <w:t xml:space="preserve"> model:  Maximum vertical flux prediction (MXQ)</w:t>
      </w:r>
      <w:bookmarkEnd w:id="241"/>
    </w:p>
    <w:p w14:paraId="425CC6AB" w14:textId="5289222F" w:rsidR="002B0C55" w:rsidRDefault="00354CB6" w:rsidP="004F287F">
      <w:pPr>
        <w:pStyle w:val="BodyText"/>
      </w:pPr>
      <w:r>
        <w:rPr>
          <w:noProof/>
        </w:rPr>
        <w:drawing>
          <wp:inline distT="0" distB="0" distL="0" distR="0" wp14:anchorId="1EBF3783" wp14:editId="471425F9">
            <wp:extent cx="6118860" cy="5707380"/>
            <wp:effectExtent l="0" t="0" r="0" b="7620"/>
            <wp:docPr id="124" name="Picture 124" descr="Revised model:  Maximum vertical flux prediction " title="Appendix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ur25d\Desktop\tidy_210217\temp\Plischke_MXQ_revised.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18860" cy="5707380"/>
                    </a:xfrm>
                    <a:prstGeom prst="rect">
                      <a:avLst/>
                    </a:prstGeom>
                    <a:noFill/>
                    <a:ln>
                      <a:noFill/>
                    </a:ln>
                  </pic:spPr>
                </pic:pic>
              </a:graphicData>
            </a:graphic>
          </wp:inline>
        </w:drawing>
      </w:r>
    </w:p>
    <w:p w14:paraId="10D4D33C" w14:textId="77777777" w:rsidR="002B0C55" w:rsidRDefault="002B0C55" w:rsidP="004F287F">
      <w:pPr>
        <w:pStyle w:val="BodyText"/>
      </w:pPr>
    </w:p>
    <w:p w14:paraId="19C3548A" w14:textId="77777777" w:rsidR="002B0C55" w:rsidRPr="00B0618E" w:rsidRDefault="002B0C55" w:rsidP="004F287F">
      <w:pPr>
        <w:pStyle w:val="BodyText"/>
        <w:sectPr w:rsidR="002B0C55" w:rsidRPr="00B0618E" w:rsidSect="001766E2">
          <w:pgSz w:w="11906" w:h="16838" w:code="9"/>
          <w:pgMar w:top="1134" w:right="1134" w:bottom="1134" w:left="1134" w:header="510" w:footer="624" w:gutter="0"/>
          <w:pgNumType w:start="1"/>
          <w:cols w:space="284"/>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337"/>
        <w:gridCol w:w="457"/>
        <w:gridCol w:w="4961"/>
      </w:tblGrid>
      <w:tr w:rsidR="00595936" w:rsidRPr="00B0618E" w14:paraId="0BF6B87A" w14:textId="77777777" w:rsidTr="006C33D9">
        <w:trPr>
          <w:trHeight w:hRule="exact" w:val="992"/>
        </w:trPr>
        <w:tc>
          <w:tcPr>
            <w:tcW w:w="8755" w:type="dxa"/>
            <w:gridSpan w:val="3"/>
          </w:tcPr>
          <w:p w14:paraId="6C765F02" w14:textId="77777777" w:rsidR="006C33D9" w:rsidRPr="00B0618E" w:rsidRDefault="00730D8D" w:rsidP="00595936">
            <w:pPr>
              <w:pStyle w:val="BackCoverContactDetails"/>
            </w:pPr>
            <w:r w:rsidRPr="00B0618E">
              <w:rPr>
                <w:noProof/>
              </w:rPr>
              <mc:AlternateContent>
                <mc:Choice Requires="wps">
                  <w:drawing>
                    <wp:anchor distT="0" distB="0" distL="114300" distR="114300" simplePos="0" relativeHeight="251658240" behindDoc="1" locked="0" layoutInCell="1" allowOverlap="1" wp14:anchorId="4F800FBA" wp14:editId="7EE82417">
                      <wp:simplePos x="0" y="0"/>
                      <wp:positionH relativeFrom="column">
                        <wp:posOffset>-759460</wp:posOffset>
                      </wp:positionH>
                      <wp:positionV relativeFrom="paragraph">
                        <wp:posOffset>-746125</wp:posOffset>
                      </wp:positionV>
                      <wp:extent cx="7598410" cy="7686675"/>
                      <wp:effectExtent l="0" t="2540" r="3810" b="0"/>
                      <wp:wrapNone/>
                      <wp:docPr id="21" name="Rectangle 135" descr="background element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8410" cy="7686675"/>
                              </a:xfrm>
                              <a:prstGeom prst="rect">
                                <a:avLst/>
                              </a:prstGeom>
                              <a:noFill/>
                              <a:ln>
                                <a:noFill/>
                              </a:ln>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089551" id="Rectangle 135" o:spid="_x0000_s1026" alt="background elements" style="position:absolute;margin-left:-59.8pt;margin-top:-58.75pt;width:598.3pt;height:605.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" filled="f" fillcolor="#00a9ce [3204]" stroked="f"/>
                  </w:pict>
                </mc:Fallback>
              </mc:AlternateContent>
            </w:r>
          </w:p>
          <w:p w14:paraId="1427B75B" w14:textId="77777777" w:rsidR="006C33D9" w:rsidRPr="00B0618E" w:rsidRDefault="006C33D9" w:rsidP="006C33D9"/>
          <w:p w14:paraId="52B1D9A0" w14:textId="77777777" w:rsidR="00595936" w:rsidRPr="00B0618E" w:rsidRDefault="00595936" w:rsidP="006C33D9"/>
        </w:tc>
      </w:tr>
      <w:tr w:rsidR="00D578AD" w:rsidRPr="00B0618E" w14:paraId="219F1E6E" w14:textId="77777777" w:rsidTr="00595936">
        <w:tc>
          <w:tcPr>
            <w:tcW w:w="3337" w:type="dxa"/>
          </w:tcPr>
          <w:p w14:paraId="130FE2A3" w14:textId="77777777" w:rsidR="00D578AD" w:rsidRPr="00B0618E" w:rsidRDefault="00D578AD" w:rsidP="00165095">
            <w:pPr>
              <w:pStyle w:val="BackCoverContactHeading"/>
            </w:pPr>
            <w:r w:rsidRPr="00B0618E">
              <w:t>CONTACT US</w:t>
            </w:r>
          </w:p>
          <w:p w14:paraId="6376312C" w14:textId="77777777" w:rsidR="00D578AD" w:rsidRPr="00B0618E" w:rsidRDefault="00D578AD" w:rsidP="00165095">
            <w:pPr>
              <w:pStyle w:val="BackCoverContactDetails"/>
            </w:pPr>
            <w:r w:rsidRPr="00B0618E">
              <w:rPr>
                <w:rStyle w:val="BackCoverContactBold"/>
              </w:rPr>
              <w:t>t</w:t>
            </w:r>
            <w:r w:rsidRPr="00B0618E">
              <w:t xml:space="preserve"> </w:t>
            </w:r>
            <w:r w:rsidRPr="00B0618E">
              <w:tab/>
              <w:t>1300 363 400</w:t>
            </w:r>
          </w:p>
          <w:p w14:paraId="48495A66" w14:textId="77777777" w:rsidR="00D578AD" w:rsidRPr="00B0618E" w:rsidRDefault="00D578AD" w:rsidP="00165095">
            <w:pPr>
              <w:pStyle w:val="BackCoverContactDetails"/>
            </w:pPr>
            <w:r w:rsidRPr="00B0618E">
              <w:tab/>
              <w:t>+61 3 9545 2176</w:t>
            </w:r>
          </w:p>
          <w:p w14:paraId="411DC6BC" w14:textId="77777777" w:rsidR="00D578AD" w:rsidRPr="00B0618E" w:rsidRDefault="00D578AD" w:rsidP="00165095">
            <w:pPr>
              <w:pStyle w:val="BackCoverContactDetails"/>
            </w:pPr>
            <w:r w:rsidRPr="00B0618E">
              <w:rPr>
                <w:rStyle w:val="BackCoverContactBold"/>
              </w:rPr>
              <w:t>e</w:t>
            </w:r>
            <w:r w:rsidRPr="00B0618E">
              <w:t xml:space="preserve"> </w:t>
            </w:r>
            <w:r w:rsidRPr="00B0618E">
              <w:tab/>
              <w:t>csiroenquiries@csiro.au</w:t>
            </w:r>
          </w:p>
          <w:p w14:paraId="2E5DDF4F" w14:textId="77777777" w:rsidR="00D578AD" w:rsidRPr="00B0618E" w:rsidRDefault="00D578AD" w:rsidP="00165095">
            <w:pPr>
              <w:pStyle w:val="BackCoverContactDetails"/>
            </w:pPr>
            <w:r w:rsidRPr="00B0618E">
              <w:rPr>
                <w:rStyle w:val="BackCoverContactBold"/>
              </w:rPr>
              <w:t>w</w:t>
            </w:r>
            <w:r w:rsidRPr="00B0618E">
              <w:t xml:space="preserve"> </w:t>
            </w:r>
            <w:r w:rsidRPr="00B0618E">
              <w:tab/>
              <w:t>www.csiro.au</w:t>
            </w:r>
          </w:p>
          <w:p w14:paraId="624C9856" w14:textId="77777777" w:rsidR="00D578AD" w:rsidRPr="00B0618E" w:rsidRDefault="00D578AD" w:rsidP="00165095">
            <w:pPr>
              <w:pStyle w:val="BackCoverContactHeading"/>
            </w:pPr>
            <w:r w:rsidRPr="00B0618E">
              <w:t xml:space="preserve">At CSIRO, we do the </w:t>
            </w:r>
            <w:r w:rsidRPr="00B0618E">
              <w:br/>
              <w:t xml:space="preserve">extraordinary every day </w:t>
            </w:r>
          </w:p>
          <w:p w14:paraId="2F7D15C0" w14:textId="77777777" w:rsidR="00D578AD" w:rsidRPr="00B0618E" w:rsidRDefault="00D578AD" w:rsidP="00165095">
            <w:pPr>
              <w:pStyle w:val="BackCoverContactDetails"/>
              <w:spacing w:after="60"/>
            </w:pPr>
            <w:r w:rsidRPr="00B0618E">
              <w:t xml:space="preserve">We innovate for tomorrow and help improve today – for our customers, all Australians and the world. </w:t>
            </w:r>
          </w:p>
          <w:p w14:paraId="6CB83FEA" w14:textId="77777777" w:rsidR="00D578AD" w:rsidRPr="00B0618E" w:rsidRDefault="00D578AD" w:rsidP="00165095">
            <w:pPr>
              <w:pStyle w:val="BackCoverContactDetails"/>
              <w:spacing w:after="60"/>
            </w:pPr>
            <w:r w:rsidRPr="00B0618E">
              <w:t xml:space="preserve">Our innovations contribute billions of dollars to the Australian economy </w:t>
            </w:r>
            <w:r w:rsidRPr="00B0618E">
              <w:br/>
              <w:t xml:space="preserve">every year. As the largest patent holder </w:t>
            </w:r>
            <w:r w:rsidRPr="00B0618E">
              <w:br/>
              <w:t xml:space="preserve">in the nation, our vast wealth of intellectual property has led to more </w:t>
            </w:r>
            <w:r w:rsidRPr="00B0618E">
              <w:br/>
              <w:t xml:space="preserve">than 150 spin-off companies. </w:t>
            </w:r>
          </w:p>
          <w:p w14:paraId="7378D3B0" w14:textId="77777777" w:rsidR="00D578AD" w:rsidRPr="00B0618E" w:rsidRDefault="00D578AD" w:rsidP="00165095">
            <w:pPr>
              <w:pStyle w:val="BackCoverContactDetails"/>
              <w:spacing w:after="60"/>
            </w:pPr>
            <w:r w:rsidRPr="00B0618E">
              <w:t xml:space="preserve">With more than 5,000 experts and a burning desire to get things done, we are Australia’s catalyst for innovation. </w:t>
            </w:r>
          </w:p>
          <w:p w14:paraId="7D5E057D" w14:textId="77777777" w:rsidR="00D578AD" w:rsidRPr="00B0618E" w:rsidRDefault="00D578AD" w:rsidP="00165095">
            <w:pPr>
              <w:pStyle w:val="BackCoverContactDetails"/>
            </w:pPr>
            <w:r w:rsidRPr="00B0618E">
              <w:t xml:space="preserve">CSIRO. WE IMAGINE. WE COLLABORATE. </w:t>
            </w:r>
            <w:r w:rsidRPr="00B0618E">
              <w:br/>
              <w:t>WE INNOVATE.</w:t>
            </w:r>
          </w:p>
        </w:tc>
        <w:tc>
          <w:tcPr>
            <w:tcW w:w="457" w:type="dxa"/>
          </w:tcPr>
          <w:p w14:paraId="1B0584AC" w14:textId="77777777" w:rsidR="00D578AD" w:rsidRPr="00B0618E" w:rsidRDefault="00D578AD" w:rsidP="00165095">
            <w:pPr>
              <w:pStyle w:val="BackCoverContactHeading"/>
            </w:pPr>
          </w:p>
        </w:tc>
        <w:tc>
          <w:tcPr>
            <w:tcW w:w="4961" w:type="dxa"/>
          </w:tcPr>
          <w:p w14:paraId="3DBF827E" w14:textId="77777777" w:rsidR="00D578AD" w:rsidRPr="00B0618E" w:rsidRDefault="00D578AD" w:rsidP="00165095">
            <w:pPr>
              <w:pStyle w:val="BackCoverContactHeading"/>
            </w:pPr>
            <w:r w:rsidRPr="00B0618E">
              <w:t>For further information</w:t>
            </w:r>
          </w:p>
          <w:p w14:paraId="76FDE49A" w14:textId="77777777" w:rsidR="00D578AD" w:rsidRPr="00B0618E" w:rsidRDefault="00032F01" w:rsidP="00165095">
            <w:pPr>
              <w:pStyle w:val="BackCoverContactDetails"/>
              <w:rPr>
                <w:rStyle w:val="BackCoverContactBold"/>
              </w:rPr>
            </w:pPr>
            <w:r w:rsidRPr="00B0618E">
              <w:rPr>
                <w:rStyle w:val="BackCoverContactBold"/>
              </w:rPr>
              <w:t>CSIRO Land and Water</w:t>
            </w:r>
          </w:p>
          <w:p w14:paraId="0537D711" w14:textId="77777777" w:rsidR="00D578AD" w:rsidRPr="00B0618E" w:rsidRDefault="00032F01" w:rsidP="00165095">
            <w:pPr>
              <w:pStyle w:val="BackCoverContactDetails"/>
            </w:pPr>
            <w:r w:rsidRPr="00B0618E">
              <w:t xml:space="preserve">Chris Turnadge </w:t>
            </w:r>
            <w:r w:rsidR="00D578AD" w:rsidRPr="00B0618E">
              <w:br/>
            </w:r>
            <w:r w:rsidR="00D578AD" w:rsidRPr="00B0618E">
              <w:rPr>
                <w:rStyle w:val="BackCoverContactBold"/>
              </w:rPr>
              <w:t>t</w:t>
            </w:r>
            <w:r w:rsidR="00D578AD" w:rsidRPr="00B0618E">
              <w:t xml:space="preserve"> </w:t>
            </w:r>
            <w:r w:rsidR="00D578AD" w:rsidRPr="00B0618E">
              <w:tab/>
            </w:r>
            <w:r w:rsidR="00D578AD" w:rsidRPr="00B0618E">
              <w:rPr>
                <w:rStyle w:val="BackCoverContactBold"/>
                <w:b w:val="0"/>
              </w:rPr>
              <w:t xml:space="preserve">+61 </w:t>
            </w:r>
            <w:r w:rsidRPr="00B0618E">
              <w:rPr>
                <w:rStyle w:val="BackCoverContactBold"/>
                <w:b w:val="0"/>
              </w:rPr>
              <w:t>8</w:t>
            </w:r>
            <w:r w:rsidR="00D578AD" w:rsidRPr="00B0618E">
              <w:rPr>
                <w:rStyle w:val="BackCoverContactBold"/>
                <w:b w:val="0"/>
              </w:rPr>
              <w:t xml:space="preserve"> </w:t>
            </w:r>
            <w:r w:rsidRPr="00B0618E">
              <w:rPr>
                <w:rStyle w:val="BackCoverContactBold"/>
                <w:b w:val="0"/>
              </w:rPr>
              <w:t>8303 8712</w:t>
            </w:r>
          </w:p>
          <w:p w14:paraId="4A42690A" w14:textId="77777777" w:rsidR="00D578AD" w:rsidRPr="00B0618E" w:rsidRDefault="00D578AD" w:rsidP="00165095">
            <w:pPr>
              <w:pStyle w:val="BackCoverContactDetails"/>
            </w:pPr>
            <w:r w:rsidRPr="00B0618E">
              <w:rPr>
                <w:rStyle w:val="BackCoverContactBold"/>
              </w:rPr>
              <w:t>e</w:t>
            </w:r>
            <w:r w:rsidRPr="00B0618E">
              <w:t xml:space="preserve"> </w:t>
            </w:r>
            <w:r w:rsidRPr="00B0618E">
              <w:tab/>
            </w:r>
            <w:r w:rsidR="00032F01" w:rsidRPr="00B0618E">
              <w:t>chris</w:t>
            </w:r>
            <w:r w:rsidRPr="00B0618E">
              <w:rPr>
                <w:rStyle w:val="BackCoverContactBold"/>
                <w:b w:val="0"/>
              </w:rPr>
              <w:t>.</w:t>
            </w:r>
            <w:r w:rsidR="00032F01" w:rsidRPr="00B0618E">
              <w:rPr>
                <w:rStyle w:val="BackCoverContactBold"/>
                <w:b w:val="0"/>
              </w:rPr>
              <w:t>turnadge</w:t>
            </w:r>
            <w:r w:rsidRPr="00B0618E">
              <w:rPr>
                <w:rStyle w:val="BackCoverContactBold"/>
                <w:b w:val="0"/>
              </w:rPr>
              <w:t>@csiro.au</w:t>
            </w:r>
          </w:p>
          <w:p w14:paraId="70C47182" w14:textId="5FB17EC5" w:rsidR="00D578AD" w:rsidRPr="00B0618E" w:rsidRDefault="00D578AD" w:rsidP="00165095">
            <w:pPr>
              <w:pStyle w:val="BackCoverContactDetails"/>
              <w:rPr>
                <w:rStyle w:val="BackCoverContactBold"/>
                <w:b w:val="0"/>
              </w:rPr>
            </w:pPr>
            <w:r w:rsidRPr="00B0618E">
              <w:rPr>
                <w:rStyle w:val="BackCoverContactBold"/>
              </w:rPr>
              <w:t>w</w:t>
            </w:r>
            <w:r w:rsidRPr="00B0618E">
              <w:t xml:space="preserve"> </w:t>
            </w:r>
            <w:r w:rsidR="00056716" w:rsidRPr="00B0618E">
              <w:t xml:space="preserve"> http://</w:t>
            </w:r>
            <w:r w:rsidR="00032F01" w:rsidRPr="00B0618E">
              <w:rPr>
                <w:rStyle w:val="BackCoverContactBold"/>
                <w:b w:val="0"/>
              </w:rPr>
              <w:t>people.csiro.au/T/C/Chris-Turnadge</w:t>
            </w:r>
          </w:p>
          <w:p w14:paraId="3B437001" w14:textId="77777777" w:rsidR="00D578AD" w:rsidRPr="00B0618E" w:rsidRDefault="00D578AD" w:rsidP="00165095">
            <w:pPr>
              <w:pStyle w:val="BackCoverContactDetails"/>
              <w:rPr>
                <w:rStyle w:val="BackCoverContactBold"/>
              </w:rPr>
            </w:pPr>
          </w:p>
          <w:p w14:paraId="252C9FDF" w14:textId="77777777" w:rsidR="00D578AD" w:rsidRPr="00B0618E" w:rsidRDefault="00032F01" w:rsidP="00165095">
            <w:pPr>
              <w:pStyle w:val="BackCoverContactDetails"/>
              <w:rPr>
                <w:rStyle w:val="BackCoverContactBold"/>
              </w:rPr>
            </w:pPr>
            <w:r w:rsidRPr="00B0618E">
              <w:rPr>
                <w:rStyle w:val="BackCoverContactBold"/>
              </w:rPr>
              <w:t>CSIRO Land and Water</w:t>
            </w:r>
          </w:p>
          <w:p w14:paraId="3BFDE8C2" w14:textId="77777777" w:rsidR="00D578AD" w:rsidRPr="00B0618E" w:rsidRDefault="00032F01" w:rsidP="00165095">
            <w:pPr>
              <w:pStyle w:val="BackCoverContactDetails"/>
            </w:pPr>
            <w:r w:rsidRPr="00B0618E">
              <w:t>Dirk Mallants</w:t>
            </w:r>
            <w:r w:rsidR="00D578AD" w:rsidRPr="00B0618E">
              <w:br/>
            </w:r>
            <w:r w:rsidR="00D578AD" w:rsidRPr="00B0618E">
              <w:rPr>
                <w:rStyle w:val="BackCoverContactBold"/>
              </w:rPr>
              <w:t>t</w:t>
            </w:r>
            <w:r w:rsidR="00D578AD" w:rsidRPr="00B0618E">
              <w:t xml:space="preserve"> </w:t>
            </w:r>
            <w:r w:rsidR="00D578AD" w:rsidRPr="00B0618E">
              <w:tab/>
            </w:r>
            <w:r w:rsidR="00D578AD" w:rsidRPr="00B0618E">
              <w:rPr>
                <w:rStyle w:val="BackCoverContactBold"/>
                <w:b w:val="0"/>
              </w:rPr>
              <w:t xml:space="preserve">+61 </w:t>
            </w:r>
            <w:r w:rsidRPr="00B0618E">
              <w:rPr>
                <w:rStyle w:val="BackCoverContactBold"/>
                <w:b w:val="0"/>
              </w:rPr>
              <w:t>8</w:t>
            </w:r>
            <w:r w:rsidR="00D578AD" w:rsidRPr="00B0618E">
              <w:rPr>
                <w:rStyle w:val="BackCoverContactBold"/>
                <w:b w:val="0"/>
              </w:rPr>
              <w:t xml:space="preserve"> </w:t>
            </w:r>
            <w:r w:rsidRPr="00B0618E">
              <w:rPr>
                <w:rStyle w:val="BackCoverContactBold"/>
                <w:b w:val="0"/>
              </w:rPr>
              <w:t>8303 8595</w:t>
            </w:r>
          </w:p>
          <w:p w14:paraId="16D71D8A" w14:textId="77777777" w:rsidR="00D578AD" w:rsidRPr="00B0618E" w:rsidRDefault="00D578AD" w:rsidP="00165095">
            <w:pPr>
              <w:pStyle w:val="BackCoverContactDetails"/>
            </w:pPr>
            <w:r w:rsidRPr="00B0618E">
              <w:rPr>
                <w:rStyle w:val="BackCoverContactBold"/>
              </w:rPr>
              <w:t>e</w:t>
            </w:r>
            <w:r w:rsidRPr="00B0618E">
              <w:t xml:space="preserve"> </w:t>
            </w:r>
            <w:r w:rsidRPr="00B0618E">
              <w:tab/>
            </w:r>
            <w:r w:rsidR="00032F01" w:rsidRPr="00B0618E">
              <w:rPr>
                <w:rStyle w:val="BackCoverContactBold"/>
                <w:b w:val="0"/>
              </w:rPr>
              <w:t>dirk</w:t>
            </w:r>
            <w:r w:rsidRPr="00B0618E">
              <w:rPr>
                <w:rStyle w:val="BackCoverContactBold"/>
                <w:b w:val="0"/>
              </w:rPr>
              <w:t>.</w:t>
            </w:r>
            <w:r w:rsidR="00032F01" w:rsidRPr="00B0618E">
              <w:rPr>
                <w:rStyle w:val="BackCoverContactBold"/>
                <w:b w:val="0"/>
              </w:rPr>
              <w:t>mallants</w:t>
            </w:r>
            <w:r w:rsidRPr="00B0618E">
              <w:rPr>
                <w:rStyle w:val="BackCoverContactBold"/>
                <w:b w:val="0"/>
              </w:rPr>
              <w:t>@csiro.au</w:t>
            </w:r>
          </w:p>
          <w:p w14:paraId="55950069" w14:textId="45BF872C" w:rsidR="00D578AD" w:rsidRPr="00B0618E" w:rsidRDefault="00D578AD" w:rsidP="00165095">
            <w:pPr>
              <w:pStyle w:val="BackCoverContactDetails"/>
            </w:pPr>
            <w:r w:rsidRPr="00B0618E">
              <w:rPr>
                <w:rStyle w:val="BackCoverContactBold"/>
              </w:rPr>
              <w:t>w</w:t>
            </w:r>
            <w:r w:rsidRPr="00B0618E">
              <w:t xml:space="preserve"> </w:t>
            </w:r>
            <w:r w:rsidR="00056716" w:rsidRPr="00B0618E">
              <w:t xml:space="preserve"> http://</w:t>
            </w:r>
            <w:r w:rsidR="00032F01" w:rsidRPr="00B0618E">
              <w:t>people.csiro.au/M/D/Dirk-Mallants</w:t>
            </w:r>
          </w:p>
          <w:p w14:paraId="503DAEB6" w14:textId="77777777" w:rsidR="00D578AD" w:rsidRPr="00B0618E" w:rsidRDefault="00D578AD" w:rsidP="00165095">
            <w:pPr>
              <w:pStyle w:val="BackCoverContactDetails"/>
              <w:rPr>
                <w:rStyle w:val="BackCoverContactBold"/>
              </w:rPr>
            </w:pPr>
          </w:p>
          <w:p w14:paraId="69644B8A" w14:textId="77777777" w:rsidR="00D578AD" w:rsidRPr="00B0618E" w:rsidRDefault="00032F01" w:rsidP="00165095">
            <w:pPr>
              <w:pStyle w:val="BackCoverContactDetails"/>
              <w:rPr>
                <w:rStyle w:val="BackCoverContactBold"/>
                <w:b w:val="0"/>
              </w:rPr>
            </w:pPr>
            <w:r w:rsidRPr="00B0618E">
              <w:rPr>
                <w:rStyle w:val="BackCoverContactBold"/>
              </w:rPr>
              <w:t>CSIRO Land and Water</w:t>
            </w:r>
          </w:p>
          <w:p w14:paraId="47B2DBA7" w14:textId="77777777" w:rsidR="00D578AD" w:rsidRPr="00B0618E" w:rsidRDefault="00032F01" w:rsidP="00165095">
            <w:pPr>
              <w:pStyle w:val="BackCoverContactDetails"/>
            </w:pPr>
            <w:r w:rsidRPr="00B0618E">
              <w:t>Luk Peeters</w:t>
            </w:r>
            <w:r w:rsidR="00D578AD" w:rsidRPr="00B0618E">
              <w:br/>
            </w:r>
            <w:r w:rsidR="00D578AD" w:rsidRPr="00B0618E">
              <w:rPr>
                <w:rStyle w:val="BackCoverContactBold"/>
              </w:rPr>
              <w:t>t</w:t>
            </w:r>
            <w:r w:rsidR="00D578AD" w:rsidRPr="00B0618E">
              <w:t xml:space="preserve"> </w:t>
            </w:r>
            <w:r w:rsidR="00D578AD" w:rsidRPr="00B0618E">
              <w:tab/>
            </w:r>
            <w:r w:rsidR="00D578AD" w:rsidRPr="00B0618E">
              <w:rPr>
                <w:rStyle w:val="BackCoverContactBold"/>
                <w:b w:val="0"/>
              </w:rPr>
              <w:t xml:space="preserve">+61 </w:t>
            </w:r>
            <w:r w:rsidRPr="00B0618E">
              <w:rPr>
                <w:rStyle w:val="BackCoverContactBold"/>
                <w:b w:val="0"/>
              </w:rPr>
              <w:t>8</w:t>
            </w:r>
            <w:r w:rsidR="00D578AD" w:rsidRPr="00B0618E">
              <w:rPr>
                <w:rStyle w:val="BackCoverContactBold"/>
                <w:b w:val="0"/>
              </w:rPr>
              <w:t xml:space="preserve"> </w:t>
            </w:r>
            <w:r w:rsidRPr="00B0618E">
              <w:rPr>
                <w:rStyle w:val="BackCoverContactBold"/>
                <w:b w:val="0"/>
              </w:rPr>
              <w:t>8303 8405</w:t>
            </w:r>
          </w:p>
          <w:p w14:paraId="33A16C70" w14:textId="77777777" w:rsidR="00D578AD" w:rsidRPr="00B0618E" w:rsidRDefault="00D578AD" w:rsidP="00165095">
            <w:pPr>
              <w:pStyle w:val="BackCoverContactDetails"/>
              <w:rPr>
                <w:rStyle w:val="BackCoverContactBold"/>
                <w:b w:val="0"/>
              </w:rPr>
            </w:pPr>
            <w:r w:rsidRPr="00B0618E">
              <w:rPr>
                <w:rStyle w:val="BackCoverContactBold"/>
              </w:rPr>
              <w:t>e</w:t>
            </w:r>
            <w:r w:rsidRPr="00B0618E">
              <w:t xml:space="preserve"> </w:t>
            </w:r>
            <w:r w:rsidRPr="00B0618E">
              <w:tab/>
            </w:r>
            <w:r w:rsidR="00032F01" w:rsidRPr="00B0618E">
              <w:rPr>
                <w:rStyle w:val="BackCoverContactBold"/>
                <w:b w:val="0"/>
              </w:rPr>
              <w:t>luk</w:t>
            </w:r>
            <w:r w:rsidRPr="00B0618E">
              <w:rPr>
                <w:rStyle w:val="BackCoverContactBold"/>
                <w:b w:val="0"/>
              </w:rPr>
              <w:t>.</w:t>
            </w:r>
            <w:r w:rsidR="00032F01" w:rsidRPr="00B0618E">
              <w:rPr>
                <w:rStyle w:val="BackCoverContactBold"/>
                <w:b w:val="0"/>
              </w:rPr>
              <w:t>peeters</w:t>
            </w:r>
            <w:r w:rsidRPr="00B0618E">
              <w:rPr>
                <w:rStyle w:val="BackCoverContactBold"/>
                <w:b w:val="0"/>
              </w:rPr>
              <w:t>@csiro.au</w:t>
            </w:r>
          </w:p>
          <w:p w14:paraId="5FD59F53" w14:textId="375938F6" w:rsidR="00056716" w:rsidRPr="00B0618E" w:rsidRDefault="00056716" w:rsidP="00165095">
            <w:pPr>
              <w:pStyle w:val="BackCoverContactDetails"/>
            </w:pPr>
            <w:r w:rsidRPr="00B0618E">
              <w:rPr>
                <w:rStyle w:val="BackCoverContactBold"/>
              </w:rPr>
              <w:t xml:space="preserve">w </w:t>
            </w:r>
            <w:r w:rsidRPr="00B0618E">
              <w:t xml:space="preserve"> http://people.csiro.au/P/L/Luk-Peeters</w:t>
            </w:r>
          </w:p>
          <w:p w14:paraId="52C9C533" w14:textId="77777777" w:rsidR="00D578AD" w:rsidRPr="00B0618E" w:rsidRDefault="00D578AD" w:rsidP="00165095">
            <w:pPr>
              <w:pStyle w:val="BackCoverContactDetails"/>
            </w:pPr>
          </w:p>
        </w:tc>
      </w:tr>
    </w:tbl>
    <w:p w14:paraId="705F20D3" w14:textId="77777777" w:rsidR="00925BAA" w:rsidRDefault="00730D8D" w:rsidP="00595936">
      <w:pPr>
        <w:pStyle w:val="BodyText"/>
        <w:sectPr w:rsidR="00925BAA" w:rsidSect="00D051DE">
          <w:type w:val="evenPage"/>
          <w:pgSz w:w="11906" w:h="16838" w:code="9"/>
          <w:pgMar w:top="1134" w:right="1134" w:bottom="1134" w:left="1134" w:header="510" w:footer="624" w:gutter="0"/>
          <w:cols w:space="850"/>
          <w:docGrid w:linePitch="360"/>
        </w:sectPr>
      </w:pPr>
      <w:r w:rsidRPr="00B0618E">
        <w:rPr>
          <w:noProof/>
        </w:rPr>
        <mc:AlternateContent>
          <mc:Choice Requires="wpg">
            <w:drawing>
              <wp:anchor distT="0" distB="0" distL="114300" distR="114300" simplePos="0" relativeHeight="251657215" behindDoc="1" locked="1" layoutInCell="1" allowOverlap="1" wp14:anchorId="2ABD782C" wp14:editId="41B80687">
                <wp:simplePos x="0" y="0"/>
                <wp:positionH relativeFrom="column">
                  <wp:posOffset>-1516380</wp:posOffset>
                </wp:positionH>
                <wp:positionV relativeFrom="page">
                  <wp:posOffset>-21590</wp:posOffset>
                </wp:positionV>
                <wp:extent cx="14792960" cy="10739755"/>
                <wp:effectExtent l="3810" t="0" r="5080" b="0"/>
                <wp:wrapNone/>
                <wp:docPr id="6" name="Group 361"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792960" cy="10739755"/>
                          <a:chOff x="-1254" y="-40"/>
                          <a:chExt cx="23296" cy="16913"/>
                        </a:xfrm>
                      </wpg:grpSpPr>
                      <wpg:grpSp>
                        <wpg:cNvPr id="7" name="Group 362" descr="background"/>
                        <wpg:cNvGrpSpPr>
                          <a:grpSpLocks/>
                        </wpg:cNvGrpSpPr>
                        <wpg:grpSpPr bwMode="auto">
                          <a:xfrm>
                            <a:off x="-38" y="-40"/>
                            <a:ext cx="12095" cy="16913"/>
                            <a:chOff x="-38" y="-41"/>
                            <a:chExt cx="12095" cy="16913"/>
                          </a:xfrm>
                        </wpg:grpSpPr>
                        <wps:wsp>
                          <wps:cNvPr id="8" name="Rectangle 363" descr="background"/>
                          <wps:cNvSpPr>
                            <a:spLocks noChangeArrowheads="1"/>
                          </wps:cNvSpPr>
                          <wps:spPr bwMode="auto">
                            <a:xfrm>
                              <a:off x="-38" y="-41"/>
                              <a:ext cx="11966" cy="12105"/>
                            </a:xfrm>
                            <a:prstGeom prst="rect">
                              <a:avLst/>
                            </a:prstGeom>
                            <a:solidFill>
                              <a:schemeClr val="accent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 name="Rectangle 364" descr="background"/>
                          <wps:cNvSpPr>
                            <a:spLocks noChangeArrowheads="1"/>
                          </wps:cNvSpPr>
                          <wps:spPr bwMode="auto">
                            <a:xfrm>
                              <a:off x="-38" y="11692"/>
                              <a:ext cx="12095" cy="5180"/>
                            </a:xfrm>
                            <a:prstGeom prst="rect">
                              <a:avLst/>
                            </a:prstGeom>
                            <a:solidFill>
                              <a:schemeClr val="bg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0" tIns="0" rIns="0" bIns="0" anchor="b" anchorCtr="0" upright="1">
                            <a:noAutofit/>
                          </wps:bodyPr>
                        </wps:wsp>
                      </wpg:grpSp>
                      <wpg:grpSp>
                        <wpg:cNvPr id="10" name="Canvas 1059" descr="background"/>
                        <wpg:cNvGrpSpPr>
                          <a:grpSpLocks/>
                        </wpg:cNvGrpSpPr>
                        <wpg:grpSpPr bwMode="auto">
                          <a:xfrm>
                            <a:off x="-62" y="913"/>
                            <a:ext cx="12119" cy="830"/>
                            <a:chOff x="0" y="0"/>
                            <a:chExt cx="89528" cy="6261"/>
                          </a:xfrm>
                        </wpg:grpSpPr>
                        <wps:wsp>
                          <wps:cNvPr id="11" name="AutoShape 26" descr="background"/>
                          <wps:cNvSpPr>
                            <a:spLocks noChangeAspect="1" noChangeArrowheads="1"/>
                          </wps:cNvSpPr>
                          <wps:spPr bwMode="auto">
                            <a:xfrm>
                              <a:off x="0" y="0"/>
                              <a:ext cx="89528" cy="62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 name="Rectangle 34"/>
                          <wps:cNvSpPr>
                            <a:spLocks noChangeArrowheads="1"/>
                          </wps:cNvSpPr>
                          <wps:spPr bwMode="auto">
                            <a:xfrm>
                              <a:off x="146" y="190"/>
                              <a:ext cx="89223" cy="5950"/>
                            </a:xfrm>
                            <a:prstGeom prst="rect">
                              <a:avLst/>
                            </a:prstGeom>
                            <a:solidFill>
                              <a:srgbClr val="C8C7C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cNvPr id="13" name="Group 91"/>
                          <wpg:cNvGrpSpPr>
                            <a:grpSpLocks/>
                          </wpg:cNvGrpSpPr>
                          <wpg:grpSpPr bwMode="auto">
                            <a:xfrm>
                              <a:off x="114" y="190"/>
                              <a:ext cx="89255" cy="5950"/>
                              <a:chOff x="114" y="190"/>
                              <a:chExt cx="89255" cy="5950"/>
                            </a:xfrm>
                          </wpg:grpSpPr>
                          <wps:wsp>
                            <wps:cNvPr id="14" name="Rectangle 35" descr="background"/>
                            <wps:cNvSpPr>
                              <a:spLocks noChangeArrowheads="1"/>
                            </wps:cNvSpPr>
                            <wps:spPr bwMode="auto">
                              <a:xfrm>
                                <a:off x="146" y="190"/>
                                <a:ext cx="89223" cy="5950"/>
                              </a:xfrm>
                              <a:prstGeom prst="rect">
                                <a:avLst/>
                              </a:prstGeom>
                              <a:solidFill>
                                <a:schemeClr val="accent1">
                                  <a:lumMod val="7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 name="Rectangle 36" descr="background"/>
                            <wps:cNvSpPr>
                              <a:spLocks noChangeArrowheads="1"/>
                            </wps:cNvSpPr>
                            <wps:spPr bwMode="auto">
                              <a:xfrm>
                                <a:off x="114" y="984"/>
                                <a:ext cx="89255" cy="5156"/>
                              </a:xfrm>
                              <a:prstGeom prst="rect">
                                <a:avLst/>
                              </a:prstGeom>
                              <a:solidFill>
                                <a:schemeClr val="accent2">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grpSp>
                      </wpg:grpSp>
                      <wpg:grpSp>
                        <wpg:cNvPr id="16" name="Group 90" descr="background"/>
                        <wpg:cNvGrpSpPr>
                          <a:grpSpLocks/>
                        </wpg:cNvGrpSpPr>
                        <wpg:grpSpPr bwMode="auto">
                          <a:xfrm>
                            <a:off x="-1254" y="10023"/>
                            <a:ext cx="23296" cy="6253"/>
                            <a:chOff x="31" y="0"/>
                            <a:chExt cx="147930" cy="39706"/>
                          </a:xfrm>
                        </wpg:grpSpPr>
                        <wps:wsp>
                          <wps:cNvPr id="17" name="Rectangle 48"/>
                          <wps:cNvSpPr>
                            <a:spLocks noChangeArrowheads="1"/>
                          </wps:cNvSpPr>
                          <wps:spPr bwMode="auto">
                            <a:xfrm>
                              <a:off x="6432" y="10363"/>
                              <a:ext cx="76968" cy="293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 name="Freeform 49" descr="background"/>
                          <wps:cNvSpPr>
                            <a:spLocks/>
                          </wps:cNvSpPr>
                          <wps:spPr bwMode="auto">
                            <a:xfrm>
                              <a:off x="31" y="0"/>
                              <a:ext cx="123844" cy="12071"/>
                            </a:xfrm>
                            <a:custGeom>
                              <a:avLst/>
                              <a:gdLst>
                                <a:gd name="T0" fmla="*/ 2147483647 w 3831"/>
                                <a:gd name="T1" fmla="*/ 1079275695 h 374"/>
                                <a:gd name="T2" fmla="*/ 2147483647 w 3831"/>
                                <a:gd name="T3" fmla="*/ 0 h 374"/>
                                <a:gd name="T4" fmla="*/ 0 w 3831"/>
                                <a:gd name="T5" fmla="*/ 0 h 374"/>
                                <a:gd name="T6" fmla="*/ 0 w 3831"/>
                                <a:gd name="T7" fmla="*/ 1257474349 h 374"/>
                                <a:gd name="T8" fmla="*/ 2147483647 w 3831"/>
                                <a:gd name="T9" fmla="*/ 1257474349 h 374"/>
                                <a:gd name="T10" fmla="*/ 2147483647 w 3831"/>
                                <a:gd name="T11" fmla="*/ 1079275695 h 37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831" h="374">
                                  <a:moveTo>
                                    <a:pt x="3831" y="321"/>
                                  </a:moveTo>
                                  <a:cubicBezTo>
                                    <a:pt x="3531" y="150"/>
                                    <a:pt x="3119" y="0"/>
                                    <a:pt x="2922" y="0"/>
                                  </a:cubicBezTo>
                                  <a:cubicBezTo>
                                    <a:pt x="0" y="0"/>
                                    <a:pt x="0" y="0"/>
                                    <a:pt x="0" y="0"/>
                                  </a:cubicBezTo>
                                  <a:cubicBezTo>
                                    <a:pt x="0" y="374"/>
                                    <a:pt x="0" y="374"/>
                                    <a:pt x="0" y="374"/>
                                  </a:cubicBezTo>
                                  <a:cubicBezTo>
                                    <a:pt x="3389" y="374"/>
                                    <a:pt x="3389" y="374"/>
                                    <a:pt x="3389" y="374"/>
                                  </a:cubicBezTo>
                                  <a:cubicBezTo>
                                    <a:pt x="3559" y="374"/>
                                    <a:pt x="3724" y="362"/>
                                    <a:pt x="3831" y="321"/>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 name="Freeform 50" descr="background"/>
                          <wps:cNvSpPr>
                            <a:spLocks/>
                          </wps:cNvSpPr>
                          <wps:spPr bwMode="auto">
                            <a:xfrm>
                              <a:off x="31" y="14014"/>
                              <a:ext cx="98273" cy="6198"/>
                            </a:xfrm>
                            <a:custGeom>
                              <a:avLst/>
                              <a:gdLst>
                                <a:gd name="T0" fmla="*/ 2147483647 w 3040"/>
                                <a:gd name="T1" fmla="*/ 555017568 h 192"/>
                                <a:gd name="T2" fmla="*/ 2147483647 w 3040"/>
                                <a:gd name="T3" fmla="*/ 0 h 192"/>
                                <a:gd name="T4" fmla="*/ 0 w 3040"/>
                                <a:gd name="T5" fmla="*/ 0 h 192"/>
                                <a:gd name="T6" fmla="*/ 0 w 3040"/>
                                <a:gd name="T7" fmla="*/ 645838960 h 192"/>
                                <a:gd name="T8" fmla="*/ 2147483647 w 3040"/>
                                <a:gd name="T9" fmla="*/ 645838960 h 192"/>
                                <a:gd name="T10" fmla="*/ 2147483647 w 3040"/>
                                <a:gd name="T11" fmla="*/ 555017568 h 192"/>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3040" h="192">
                                  <a:moveTo>
                                    <a:pt x="3040" y="165"/>
                                  </a:moveTo>
                                  <a:cubicBezTo>
                                    <a:pt x="2886" y="77"/>
                                    <a:pt x="2675" y="0"/>
                                    <a:pt x="2402" y="0"/>
                                  </a:cubicBezTo>
                                  <a:cubicBezTo>
                                    <a:pt x="0" y="0"/>
                                    <a:pt x="0" y="0"/>
                                    <a:pt x="0" y="0"/>
                                  </a:cubicBezTo>
                                  <a:cubicBezTo>
                                    <a:pt x="0" y="192"/>
                                    <a:pt x="0" y="192"/>
                                    <a:pt x="0" y="192"/>
                                  </a:cubicBezTo>
                                  <a:cubicBezTo>
                                    <a:pt x="2641" y="192"/>
                                    <a:pt x="2641" y="192"/>
                                    <a:pt x="2641" y="192"/>
                                  </a:cubicBezTo>
                                  <a:cubicBezTo>
                                    <a:pt x="2901" y="192"/>
                                    <a:pt x="2985" y="186"/>
                                    <a:pt x="3040" y="165"/>
                                  </a:cubicBezTo>
                                </a:path>
                              </a:pathLst>
                            </a:custGeom>
                            <a:solidFill>
                              <a:schemeClr val="accent1">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Freeform 51" descr="background"/>
                          <wps:cNvSpPr>
                            <a:spLocks/>
                          </wps:cNvSpPr>
                          <wps:spPr bwMode="auto">
                            <a:xfrm>
                              <a:off x="31" y="22694"/>
                              <a:ext cx="147930" cy="1423"/>
                            </a:xfrm>
                            <a:custGeom>
                              <a:avLst/>
                              <a:gdLst>
                                <a:gd name="T0" fmla="*/ 2147483647 w 4576"/>
                                <a:gd name="T1" fmla="*/ 128486777 h 44"/>
                                <a:gd name="T2" fmla="*/ 2147483647 w 4576"/>
                                <a:gd name="T3" fmla="*/ 0 h 44"/>
                                <a:gd name="T4" fmla="*/ 0 w 4576"/>
                                <a:gd name="T5" fmla="*/ 0 h 44"/>
                                <a:gd name="T6" fmla="*/ 0 w 4576"/>
                                <a:gd name="T7" fmla="*/ 148773712 h 44"/>
                                <a:gd name="T8" fmla="*/ 2147483647 w 4576"/>
                                <a:gd name="T9" fmla="*/ 148773712 h 44"/>
                                <a:gd name="T10" fmla="*/ 2147483647 w 4576"/>
                                <a:gd name="T11" fmla="*/ 128486777 h 4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76" h="44">
                                  <a:moveTo>
                                    <a:pt x="4576" y="38"/>
                                  </a:moveTo>
                                  <a:cubicBezTo>
                                    <a:pt x="4542" y="21"/>
                                    <a:pt x="4493" y="0"/>
                                    <a:pt x="4431" y="0"/>
                                  </a:cubicBezTo>
                                  <a:cubicBezTo>
                                    <a:pt x="0" y="0"/>
                                    <a:pt x="0" y="0"/>
                                    <a:pt x="0" y="0"/>
                                  </a:cubicBezTo>
                                  <a:cubicBezTo>
                                    <a:pt x="0" y="44"/>
                                    <a:pt x="0" y="44"/>
                                    <a:pt x="0" y="44"/>
                                  </a:cubicBezTo>
                                  <a:cubicBezTo>
                                    <a:pt x="4485" y="44"/>
                                    <a:pt x="4485" y="44"/>
                                    <a:pt x="4485" y="44"/>
                                  </a:cubicBezTo>
                                  <a:cubicBezTo>
                                    <a:pt x="4485" y="44"/>
                                    <a:pt x="4566" y="40"/>
                                    <a:pt x="4576" y="38"/>
                                  </a:cubicBezTo>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7253A3C" id="Group 361" o:spid="_x0000_s1026" alt="background" style="position:absolute;margin-left:-119.4pt;margin-top:-1.7pt;width:1164.8pt;height:845.65pt;z-index:-251659265;mso-position-vertical-relative:page" coordorigin="-1254,-40" coordsize="23296,16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">
                <v:group id="Group 362" o:spid="_x0000_s1027" alt="background" style="position:absolute;left:-38;top:-40;width:12095;height:16913" coordorigin="-38,-41" coordsize="12095,169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rect id="Rectangle 363" o:spid="_x0000_s1028" alt="background" style="position:absolute;left:-38;top:-41;width:11966;height:121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Zgjr8A&#10;AADaAAAADwAAAGRycy9kb3ducmV2LnhtbERPTYvCMBC9C/sfwix403Q9iHSNUgRZ0YPYFdzj2IxN&#10;aTMpTaz135uDsMfH+16uB9uInjpfOVbwNU1AEBdOV1wqOP9uJwsQPiBrbByTgid5WK8+RktMtXvw&#10;ifo8lCKGsE9RgQmhTaX0hSGLfupa4sjdXGcxRNiVUnf4iOG2kbMkmUuLFccGgy1tDBV1frcKdn9Z&#10;+Nlf73t3yU51fjDHvq6PSo0/h+wbRKAh/Ivf7p1WELfGK/EGyN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BmCOvwAAANoAAAAPAAAAAAAAAAAAAAAAAJgCAABkcnMvZG93bnJl&#10;di54bWxQSwUGAAAAAAQABAD1AAAAhAMAAAAA&#10;" fillcolor="#00a9ce [3204]" stroked="f"/>
                  <v:rect id="Rectangle 364" o:spid="_x0000_s1029" alt="background" style="position:absolute;left:-38;top:11692;width:12095;height:518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TPsQA&#10;AADaAAAADwAAAGRycy9kb3ducmV2LnhtbESPT4vCMBTE78J+h/AWvIimKshajSKCfxb0YFcUb4/m&#10;bVu2eSlN1PrtN4LgcZiZ3zDTeWNKcaPaFZYV9HsRCOLU6oIzBcefVfcLhPPIGkvLpOBBDuazj9YU&#10;Y23vfKBb4jMRIOxiVJB7X8VSujQng65nK+Lg/draoA+yzqSu8R7gppSDKBpJgwWHhRwrWuaU/iVX&#10;o2B3OZyLPZXf/U660cMITxd3XSvV/mwWExCeGv8Ov9pbrWAMzyvhBs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Ez7EAAAA2gAAAA8AAAAAAAAAAAAAAAAAmAIAAGRycy9k&#10;b3ducmV2LnhtbFBLBQYAAAAABAAEAPUAAACJAwAAAAA=&#10;" fillcolor="white [3214]" stroked="f">
                    <v:textbox inset="0,0,0,0"/>
                  </v:rect>
                </v:group>
                <v:group id="Canvas 1059" o:spid="_x0000_s1030" alt="background" style="position:absolute;left:-62;top:913;width:12119;height:830" coordsize="89528,62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T3CGsUAAADbAAAADwAAAGRycy9kb3ducmV2LnhtbESPT2vCQBDF70K/wzKF&#10;3nQTS0tJ3YhIlR6kUC2ItyE7+YPZ2ZBdk/jtO4dCbzO8N+/9ZrWeXKsG6kPj2UC6SEARF942XBn4&#10;Oe3mb6BCRLbYeiYDdwqwzh9mK8ysH/mbhmOslIRwyNBAHWOXaR2KmhyGhe+IRSt97zDK2lfa9jhK&#10;uGv1MkletcOGpaHGjrY1FdfjzRnYjzhuntOP4XAtt/fL6eXrfEjJmKfHafMOKtIU/81/159W8IVe&#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09whrFAAAA2wAA&#10;AA8AAAAAAAAAAAAAAAAAqgIAAGRycy9kb3ducmV2LnhtbFBLBQYAAAAABAAEAPoAAACcAwAAAAA=&#10;">
                  <v:rect id="AutoShape 26" o:spid="_x0000_s1031" alt="background" style="position:absolute;width:89528;height:6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BShMEA&#10;AADbAAAADwAAAGRycy9kb3ducmV2LnhtbERPS4vCMBC+C/sfwix4kTV1DyJdoyzCYlkEsT7OQzO2&#10;xWZSm9jWf28Ewdt8fM+ZL3tTiZYaV1pWMBlHIIgzq0vOFRz2f18zEM4ja6wsk4I7OVguPgZzjLXt&#10;eEdt6nMRQtjFqKDwvo6ldFlBBt3Y1sSBO9vGoA+wyaVusAvhppLfUTSVBksODQXWtCoou6Q3o6DL&#10;tu1pv1nL7eiUWL4m11V6/Fdq+Nn//oDw1Pu3+OVOdJg/gecv4QC5e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AUoTBAAAA2wAAAA8AAAAAAAAAAAAAAAAAmAIAAGRycy9kb3du&#10;cmV2LnhtbFBLBQYAAAAABAAEAPUAAACGAwAAAAA=&#10;" filled="f" stroked="f">
                    <o:lock v:ext="edit" aspectratio="t"/>
                  </v:rect>
                  <v:rect id="Rectangle 34" o:spid="_x0000_s1032"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xsbsIA&#10;AADbAAAADwAAAGRycy9kb3ducmV2LnhtbERP32vCMBB+H/g/hBvspWi6DoZUowxlQxgI083nozmb&#10;YHOpTVbrf78IA9/u4/t58+XgGtFTF6xnBc+THARx5bXlWsH3/n08BREissbGMym4UoDlYvQwx1L7&#10;C39Rv4u1SCEcSlRgYmxLKUNlyGGY+JY4cUffOYwJdrXUHV5SuGtkkeev0qHl1GCwpZWh6rT7dQqK&#10;68e6tdtNOB3skH2efzLz0mdKPT0ObzMQkYZ4F/+7NzrNL+D2Szp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vGxuwgAAANsAAAAPAAAAAAAAAAAAAAAAAJgCAABkcnMvZG93&#10;bnJldi54bWxQSwUGAAAAAAQABAD1AAAAhwMAAAAA&#10;" fillcolor="#c8c7c7" stroked="f"/>
                  <v:group id="Group 91" o:spid="_x0000_s1033" style="position:absolute;left:114;top:190;width:89255;height:5950" coordorigin="114,190" coordsize="89255,59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rect id="Rectangle 35" o:spid="_x0000_s1034" alt="background" style="position:absolute;left:146;top:190;width:89223;height:5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MqMAA&#10;AADbAAAADwAAAGRycy9kb3ducmV2LnhtbERPzYrCMBC+L/gOYQRva6qoaDWKCGphPeyqDzA0Y1tM&#10;JqWJWt/eLAje5uP7ncWqtUbcqfGVYwWDfgKCOHe64kLB+bT9noLwAVmjcUwKnuRhtex8LTDV7sF/&#10;dD+GQsQQ9ikqKEOoUyl9XpJF33c1ceQurrEYImwKqRt8xHBr5DBJJtJixbGhxJo2JeXX480q+Nnb&#10;3/3s8hzezGw35rHJ6vMhU6rXbddzEIHa8BG/3ZmO80fw/0s8QC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X/MqMAAAADbAAAADwAAAAAAAAAAAAAAAACYAgAAZHJzL2Rvd25y&#10;ZXYueG1sUEsFBgAAAAAEAAQA9QAAAIUDAAAAAA==&#10;" fillcolor="#007e9a [2404]" stroked="f"/>
                    <v:rect id="Rectangle 36" o:spid="_x0000_s1035" alt="background" style="position:absolute;left:114;top:984;width:89255;height:5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ortL0A&#10;AADbAAAADwAAAGRycy9kb3ducmV2LnhtbERPSwrCMBDdC94hjOBOUwVFqlFEVNy48AvuhmZsi82k&#10;NLHW2xtBcDeP953ZojGFqKlyuWUFg34EgjixOudUwfm06U1AOI+ssbBMCt7kYDFvt2YYa/viA9VH&#10;n4oQwi5GBZn3ZSylSzIy6Pq2JA7c3VYGfYBVKnWFrxBuCjmMorE0mHNoyLCkVUbJ4/g0CprtMNpd&#10;bwltl6vDAN2+Hq0vtVLdTrOcgvDU+L/4597pMH8E31/CAXL+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portL0AAADbAAAADwAAAAAAAAAAAAAAAACYAgAAZHJzL2Rvd25yZXYu&#10;eG1sUEsFBgAAAAAEAAQA9QAAAIIDAAAAAA==&#10;" fillcolor="#00313c [3205]" stroked="f"/>
                  </v:group>
                </v:group>
                <v:group id="Group 90" o:spid="_x0000_s1036" alt="background" style="position:absolute;left:-1254;top:10023;width:23296;height:6253" coordorigin="31" coordsize="147930,397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rect id="Rectangle 48" o:spid="_x0000_s1037" style="position:absolute;left:6432;top:10363;width:76968;height:293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EDUsEA&#10;AADbAAAADwAAAGRycy9kb3ducmV2LnhtbERPTWvCQBC9C/6HZYTedNe2Ro2uUgpCofbQKHgdsmMS&#10;zM6m2VXjv3cLgrd5vM9Zrjtbiwu1vnKsYTxSIIhzZyouNOx3m+EMhA/IBmvHpOFGHtarfm+JqXFX&#10;/qVLFgoRQ9inqKEMoUml9HlJFv3INcSRO7rWYoiwLaRp8RrDbS1flUqkxYpjQ4kNfZaUn7Kz1YDJ&#10;u/n7Ob5td9/nBOdFpzaTg9L6ZdB9LEAE6sJT/HB/mTh/Cv+/xAPk6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YBA1LBAAAA2wAAAA8AAAAAAAAAAAAAAAAAmAIAAGRycy9kb3du&#10;cmV2LnhtbFBLBQYAAAAABAAEAPUAAACGAwAAAAA=&#10;" stroked="f"/>
                  <v:shape id="Freeform 49" o:spid="_x0000_s1038" alt="background" style="position:absolute;left:31;width:123844;height:12071;visibility:visible;mso-wrap-style:square;v-text-anchor:top" coordsize="3831,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bX2cQA&#10;AADbAAAADwAAAGRycy9kb3ducmV2LnhtbESPT2vCQBDF74V+h2UK3nRTkSrRVURQxIrgH2iPY3aa&#10;pM3Ohuyq8ds7B6G3Gd6b934zmbWuUldqQunZwHsvAUWceVtybuB0XHZHoEJEtlh5JgN3CjCbvr5M&#10;MLX+xnu6HmKuJIRDigaKGOtU65AV5DD0fE0s2o9vHEZZm1zbBm8S7irdT5IP7bBkaSiwpkVB2d/h&#10;4gzY3/pruZnzwJ639O12q8/tsRwa03lr52NQkdr4b35er63gC6z8IgPo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W19nEAAAA2wAAAA8AAAAAAAAAAAAAAAAAmAIAAGRycy9k&#10;b3ducmV2LnhtbFBLBQYAAAAABAAEAPUAAACJAwAAAAA=&#10;" path="m3831,321c3531,150,3119,,2922,,,,,,,,,374,,374,,374v3389,,3389,,3389,c3559,374,3724,362,3831,321e" fillcolor="#00313c [3205]" stroked="f">
                    <v:path arrowok="t" o:connecttype="custom" o:connectlocs="2147483646,2147483646;2147483646,0;0,0;0,2147483646;2147483646,2147483646;2147483646,2147483646" o:connectangles="0,0,0,0,0,0"/>
                  </v:shape>
                  <v:shape id="Freeform 50" o:spid="_x0000_s1039" alt="background" style="position:absolute;left:31;top:14014;width:98273;height:6198;visibility:visible;mso-wrap-style:square;v-text-anchor:top" coordsize="304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QfOsMA&#10;AADbAAAADwAAAGRycy9kb3ducmV2LnhtbERPS2vCQBC+F/oflin0Vjd6EI2uUltKKpKDD2yPQ3ZM&#10;QrOzS3abpP++Kwje5uN7znI9mEZ01PrasoLxKAFBXFhdc6ngdPx4mYHwAVljY5kU/JGH9erxYYmp&#10;tj3vqTuEUsQQ9ikqqEJwqZS+qMigH1lHHLmLbQ2GCNtS6hb7GG4aOUmSqTRYc2yo0NFbRcXP4dco&#10;yHA78U7m0/Mmy3dF82Uv7v1bqeen4XUBItAQ7uKb+1PH+XO4/hI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QfOsMAAADbAAAADwAAAAAAAAAAAAAAAACYAgAAZHJzL2Rv&#10;d25yZXYueG1sUEsFBgAAAAAEAAQA9QAAAIgDAAAAAA==&#10;" path="m3040,165c2886,77,2675,,2402,,,,,,,,,192,,192,,192v2641,,2641,,2641,c2901,192,2985,186,3040,165e" fillcolor="#00a9ce [3204]" stroked="f">
                    <v:path arrowok="t" o:connecttype="custom" o:connectlocs="2147483646,2147483646;2147483646,0;0,0;0,2147483646;2147483646,2147483646;2147483646,2147483646" o:connectangles="0,0,0,0,0,0"/>
                  </v:shape>
                  <v:shape id="Freeform 51" o:spid="_x0000_s1040" alt="background" style="position:absolute;left:31;top:22694;width:147930;height:1423;visibility:visible;mso-wrap-style:square;v-text-anchor:top" coordsize="457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83x78A&#10;AADbAAAADwAAAGRycy9kb3ducmV2LnhtbERPy4rCMBTdD/gP4QpuBk1VGLUaRQWhuBofuL4217bY&#10;3JQm1vr3ZiG4PJz3YtWaUjRUu8KyguEgAkGcWl1wpuB82vWnIJxH1lhaJgUvcrBadn4WGGv75AM1&#10;R5+JEMIuRgW591UspUtzMugGtiIO3M3WBn2AdSZ1jc8Qbko5iqI/abDg0JBjRduc0vvxYRRsmon8&#10;v6bX0/512Y3b33PiaJYo1eu26zkIT63/ij/uRCsYhfXhS/gBcvk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gHzfHvwAAANsAAAAPAAAAAAAAAAAAAAAAAJgCAABkcnMvZG93bnJl&#10;di54bWxQSwUGAAAAAAQABAD1AAAAhAMAAAAA&#10;" path="m4576,38c4542,21,4493,,4431,,,,,,,,,44,,44,,44v4485,,4485,,4485,c4485,44,4566,40,4576,38e" fillcolor="#00313c [3205]" stroked="f">
                    <v:path arrowok="t" o:connecttype="custom" o:connectlocs="2147483646,2147483646;2147483646,0;0,0;0,2147483646;2147483646,2147483646;2147483646,2147483646" o:connectangles="0,0,0,0,0,0"/>
                  </v:shape>
                </v:group>
                <w10:wrap anchory="page"/>
                <w10:anchorlock/>
              </v:group>
            </w:pict>
          </mc:Fallback>
        </mc:AlternateContent>
      </w:r>
    </w:p>
    <w:p w14:paraId="0C7B27B5" w14:textId="77777777" w:rsidR="00A14107" w:rsidRPr="006C2F7A" w:rsidRDefault="00A14107" w:rsidP="00925BAA">
      <w:pPr>
        <w:pStyle w:val="BodyText"/>
        <w:rPr>
          <w:sz w:val="18"/>
        </w:rPr>
      </w:pPr>
    </w:p>
    <w:sectPr w:rsidR="00A14107" w:rsidRPr="006C2F7A" w:rsidSect="00925BAA">
      <w:type w:val="continuous"/>
      <w:pgSz w:w="11906" w:h="16838" w:code="9"/>
      <w:pgMar w:top="1134" w:right="1134" w:bottom="1134" w:left="1134" w:header="510" w:footer="624" w:gutter="0"/>
      <w:cols w:space="28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05A278" w14:textId="77777777" w:rsidR="004D1EEA" w:rsidRDefault="004D1EEA" w:rsidP="009964E7">
      <w:r>
        <w:separator/>
      </w:r>
    </w:p>
    <w:p w14:paraId="0D36BA00" w14:textId="77777777" w:rsidR="004D1EEA" w:rsidRDefault="004D1EEA"/>
  </w:endnote>
  <w:endnote w:type="continuationSeparator" w:id="0">
    <w:p w14:paraId="60E2909C" w14:textId="77777777" w:rsidR="004D1EEA" w:rsidRDefault="004D1EEA" w:rsidP="009964E7">
      <w:r>
        <w:continuationSeparator/>
      </w:r>
    </w:p>
    <w:p w14:paraId="6ED28D5B" w14:textId="77777777" w:rsidR="004D1EEA" w:rsidRDefault="004D1E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Bold">
    <w:panose1 w:val="00000000000000000000"/>
    <w:charset w:val="00"/>
    <w:family w:val="swiss"/>
    <w:notTrueType/>
    <w:pitch w:val="default"/>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2944F9" w14:textId="77777777" w:rsidR="004D1EEA" w:rsidRDefault="004D1EEA" w:rsidP="00AE0D97">
    <w:pPr>
      <w:pStyle w:val="Footer"/>
      <w:tabs>
        <w:tab w:val="clear" w:pos="4513"/>
        <w:tab w:val="clear" w:pos="902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6F3598" w14:textId="77777777" w:rsidR="004D1EEA" w:rsidRDefault="00A2085C" w:rsidP="00AE0D97">
    <w:pPr>
      <w:pStyle w:val="Footer"/>
      <w:tabs>
        <w:tab w:val="clear" w:pos="4513"/>
        <w:tab w:val="clear" w:pos="9026"/>
      </w:tabs>
      <w:jc w:val="right"/>
    </w:pPr>
    <w:r>
      <w:fldChar w:fldCharType="begin"/>
    </w:r>
    <w:r>
      <w:instrText xml:space="preserve"> STYLEREF  CoverTitle </w:instrText>
    </w:r>
    <w:r>
      <w:fldChar w:fldCharType="separate"/>
    </w:r>
    <w:r w:rsidR="000B6FA5">
      <w:rPr>
        <w:noProof/>
      </w:rPr>
      <w:t>Sensitivity and uncertainty analysis of a regional-scale groundwater flow model featuring coal seam gas extraction</w:t>
    </w:r>
    <w:r>
      <w:rPr>
        <w:noProof/>
      </w:rPr>
      <w:fldChar w:fldCharType="end"/>
    </w:r>
    <w:r w:rsidR="004D1EEA">
      <w:t xml:space="preserve">  |  </w:t>
    </w:r>
    <w:r w:rsidR="004D1EEA">
      <w:rPr>
        <w:rStyle w:val="PageNumber"/>
      </w:rPr>
      <w:fldChar w:fldCharType="begin"/>
    </w:r>
    <w:r w:rsidR="004D1EEA">
      <w:rPr>
        <w:rStyle w:val="PageNumber"/>
      </w:rPr>
      <w:instrText xml:space="preserve"> PAGE </w:instrText>
    </w:r>
    <w:r w:rsidR="004D1EEA">
      <w:rPr>
        <w:rStyle w:val="PageNumber"/>
      </w:rPr>
      <w:fldChar w:fldCharType="separate"/>
    </w:r>
    <w:r w:rsidR="004D1EEA">
      <w:rPr>
        <w:rStyle w:val="PageNumber"/>
        <w:noProof/>
      </w:rPr>
      <w:t>xvii</w:t>
    </w:r>
    <w:r w:rsidR="004D1EEA">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B0EC0C" w14:textId="77777777" w:rsidR="00A2085C" w:rsidRDefault="00A2085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5E099D" w14:textId="77777777" w:rsidR="004D1EEA" w:rsidRDefault="004D1EEA"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sidR="00A2085C">
      <w:rPr>
        <w:rStyle w:val="PageNumber"/>
        <w:noProof/>
      </w:rPr>
      <w:t>xviii</w:t>
    </w:r>
    <w:r>
      <w:rPr>
        <w:rStyle w:val="PageNumber"/>
      </w:rPr>
      <w:fldChar w:fldCharType="end"/>
    </w:r>
    <w:r>
      <w:rPr>
        <w:rStyle w:val="PageNumber"/>
      </w:rPr>
      <w:t xml:space="preserve">   |  </w:t>
    </w:r>
    <w:r w:rsidR="00A2085C">
      <w:fldChar w:fldCharType="begin"/>
    </w:r>
    <w:r w:rsidR="00A2085C">
      <w:instrText xml:space="preserve"> STYLEREF  CoverTitle </w:instrText>
    </w:r>
    <w:r w:rsidR="00A2085C">
      <w:fldChar w:fldCharType="separate"/>
    </w:r>
    <w:r w:rsidR="00A2085C">
      <w:rPr>
        <w:noProof/>
      </w:rPr>
      <w:t>Sensitivity and uncertainty analysis of a regional-scale groundwater flow model featuring coal seam gas extraction</w:t>
    </w:r>
    <w:r w:rsidR="00A2085C">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CB1E3F" w14:textId="77777777" w:rsidR="004D1EEA" w:rsidRDefault="00A2085C" w:rsidP="00AE0D97">
    <w:pPr>
      <w:pStyle w:val="Footer"/>
      <w:tabs>
        <w:tab w:val="clear" w:pos="4513"/>
        <w:tab w:val="clear" w:pos="9026"/>
      </w:tabs>
      <w:jc w:val="right"/>
    </w:pPr>
    <w:r>
      <w:fldChar w:fldCharType="begin"/>
    </w:r>
    <w:r>
      <w:instrText xml:space="preserve"> STYLEREF  CoverTitle </w:instrText>
    </w:r>
    <w:r>
      <w:fldChar w:fldCharType="separate"/>
    </w:r>
    <w:r>
      <w:rPr>
        <w:noProof/>
      </w:rPr>
      <w:t>Sensitivity and uncertainty analysis of a regional-scale groundwater flow model featuring coal seam gas extraction</w:t>
    </w:r>
    <w:r>
      <w:rPr>
        <w:noProof/>
      </w:rPr>
      <w:fldChar w:fldCharType="end"/>
    </w:r>
    <w:r w:rsidR="004D1EEA">
      <w:t xml:space="preserve">  |  </w:t>
    </w:r>
    <w:r w:rsidR="004D1EEA">
      <w:rPr>
        <w:rStyle w:val="PageNumber"/>
      </w:rPr>
      <w:fldChar w:fldCharType="begin"/>
    </w:r>
    <w:r w:rsidR="004D1EEA">
      <w:rPr>
        <w:rStyle w:val="PageNumber"/>
      </w:rPr>
      <w:instrText xml:space="preserve"> PAGE </w:instrText>
    </w:r>
    <w:r w:rsidR="004D1EEA">
      <w:rPr>
        <w:rStyle w:val="PageNumber"/>
      </w:rPr>
      <w:fldChar w:fldCharType="separate"/>
    </w:r>
    <w:r>
      <w:rPr>
        <w:rStyle w:val="PageNumber"/>
        <w:noProof/>
      </w:rPr>
      <w:t>xix</w:t>
    </w:r>
    <w:r w:rsidR="004D1EEA">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C476048" w14:textId="77777777" w:rsidR="004D1EEA" w:rsidRDefault="004D1EEA" w:rsidP="009964E7">
      <w:r>
        <w:separator/>
      </w:r>
    </w:p>
    <w:p w14:paraId="79456B91" w14:textId="77777777" w:rsidR="004D1EEA" w:rsidRDefault="004D1EEA"/>
  </w:footnote>
  <w:footnote w:type="continuationSeparator" w:id="0">
    <w:p w14:paraId="68729ABB" w14:textId="77777777" w:rsidR="004D1EEA" w:rsidRDefault="004D1EEA" w:rsidP="009964E7">
      <w:r>
        <w:continuationSeparator/>
      </w:r>
    </w:p>
    <w:p w14:paraId="0FA6E58F" w14:textId="77777777" w:rsidR="004D1EEA" w:rsidRDefault="004D1EEA"/>
  </w:footnote>
  <w:footnote w:id="1">
    <w:p w14:paraId="051E5867" w14:textId="77777777" w:rsidR="004D1EEA" w:rsidRDefault="004D1EEA" w:rsidP="008D07D6">
      <w:pPr>
        <w:pStyle w:val="FootnoteText"/>
      </w:pPr>
      <w:r>
        <w:rPr>
          <w:rStyle w:val="FootnoteReference"/>
        </w:rPr>
        <w:footnoteRef/>
      </w:r>
      <w:r>
        <w:t xml:space="preserve"> http://www.leapfroghydro.com/hydro/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DA1458" w14:textId="77777777" w:rsidR="00A2085C" w:rsidRDefault="00A2085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2ECFD2" w14:textId="77777777" w:rsidR="00A2085C" w:rsidRDefault="00A2085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6B1691" w14:textId="77777777" w:rsidR="00A2085C" w:rsidRDefault="00A2085C">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38B80D" w14:textId="77777777" w:rsidR="004D1EEA" w:rsidRDefault="004D1EEA" w:rsidP="002A47DB">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0C1943A8"/>
    <w:multiLevelType w:val="hybridMultilevel"/>
    <w:tmpl w:val="2E805D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565E9A"/>
    <w:multiLevelType w:val="hybridMultilevel"/>
    <w:tmpl w:val="C1D6BFF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834477B"/>
    <w:multiLevelType w:val="hybridMultilevel"/>
    <w:tmpl w:val="EA7653A4"/>
    <w:lvl w:ilvl="0" w:tplc="67780310">
      <w:start w:val="1"/>
      <w:numFmt w:val="decimal"/>
      <w:lvlText w:val="%1."/>
      <w:lvlJc w:val="left"/>
      <w:pPr>
        <w:ind w:left="773" w:hanging="360"/>
      </w:pPr>
      <w:rPr>
        <w:i w:val="0"/>
      </w:rPr>
    </w:lvl>
    <w:lvl w:ilvl="1" w:tplc="0C090019" w:tentative="1">
      <w:start w:val="1"/>
      <w:numFmt w:val="lowerLetter"/>
      <w:lvlText w:val="%2."/>
      <w:lvlJc w:val="left"/>
      <w:pPr>
        <w:ind w:left="1493" w:hanging="360"/>
      </w:pPr>
    </w:lvl>
    <w:lvl w:ilvl="2" w:tplc="0C09001B" w:tentative="1">
      <w:start w:val="1"/>
      <w:numFmt w:val="lowerRoman"/>
      <w:lvlText w:val="%3."/>
      <w:lvlJc w:val="right"/>
      <w:pPr>
        <w:ind w:left="2213" w:hanging="180"/>
      </w:pPr>
    </w:lvl>
    <w:lvl w:ilvl="3" w:tplc="0C09000F" w:tentative="1">
      <w:start w:val="1"/>
      <w:numFmt w:val="decimal"/>
      <w:lvlText w:val="%4."/>
      <w:lvlJc w:val="left"/>
      <w:pPr>
        <w:ind w:left="2933" w:hanging="360"/>
      </w:pPr>
    </w:lvl>
    <w:lvl w:ilvl="4" w:tplc="0C090019" w:tentative="1">
      <w:start w:val="1"/>
      <w:numFmt w:val="lowerLetter"/>
      <w:lvlText w:val="%5."/>
      <w:lvlJc w:val="left"/>
      <w:pPr>
        <w:ind w:left="3653" w:hanging="360"/>
      </w:pPr>
    </w:lvl>
    <w:lvl w:ilvl="5" w:tplc="0C09001B" w:tentative="1">
      <w:start w:val="1"/>
      <w:numFmt w:val="lowerRoman"/>
      <w:lvlText w:val="%6."/>
      <w:lvlJc w:val="right"/>
      <w:pPr>
        <w:ind w:left="4373" w:hanging="180"/>
      </w:pPr>
    </w:lvl>
    <w:lvl w:ilvl="6" w:tplc="0C09000F" w:tentative="1">
      <w:start w:val="1"/>
      <w:numFmt w:val="decimal"/>
      <w:lvlText w:val="%7."/>
      <w:lvlJc w:val="left"/>
      <w:pPr>
        <w:ind w:left="5093" w:hanging="360"/>
      </w:pPr>
    </w:lvl>
    <w:lvl w:ilvl="7" w:tplc="0C090019" w:tentative="1">
      <w:start w:val="1"/>
      <w:numFmt w:val="lowerLetter"/>
      <w:lvlText w:val="%8."/>
      <w:lvlJc w:val="left"/>
      <w:pPr>
        <w:ind w:left="5813" w:hanging="360"/>
      </w:pPr>
    </w:lvl>
    <w:lvl w:ilvl="8" w:tplc="0C09001B" w:tentative="1">
      <w:start w:val="1"/>
      <w:numFmt w:val="lowerRoman"/>
      <w:lvlText w:val="%9."/>
      <w:lvlJc w:val="right"/>
      <w:pPr>
        <w:ind w:left="6533" w:hanging="180"/>
      </w:pPr>
    </w:lvl>
  </w:abstractNum>
  <w:abstractNum w:abstractNumId="8"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10" w15:restartNumberingAfterBreak="0">
    <w:nsid w:val="21FE4EB8"/>
    <w:multiLevelType w:val="hybridMultilevel"/>
    <w:tmpl w:val="7B7A7D60"/>
    <w:lvl w:ilvl="0" w:tplc="0C09000F">
      <w:start w:val="1"/>
      <w:numFmt w:val="decimal"/>
      <w:lvlText w:val="%1."/>
      <w:lvlJc w:val="left"/>
      <w:pPr>
        <w:ind w:left="776" w:hanging="360"/>
      </w:pPr>
    </w:lvl>
    <w:lvl w:ilvl="1" w:tplc="0C090019" w:tentative="1">
      <w:start w:val="1"/>
      <w:numFmt w:val="lowerLetter"/>
      <w:lvlText w:val="%2."/>
      <w:lvlJc w:val="left"/>
      <w:pPr>
        <w:ind w:left="1496" w:hanging="360"/>
      </w:pPr>
    </w:lvl>
    <w:lvl w:ilvl="2" w:tplc="0C09001B" w:tentative="1">
      <w:start w:val="1"/>
      <w:numFmt w:val="lowerRoman"/>
      <w:lvlText w:val="%3."/>
      <w:lvlJc w:val="right"/>
      <w:pPr>
        <w:ind w:left="2216" w:hanging="180"/>
      </w:pPr>
    </w:lvl>
    <w:lvl w:ilvl="3" w:tplc="0C09000F" w:tentative="1">
      <w:start w:val="1"/>
      <w:numFmt w:val="decimal"/>
      <w:lvlText w:val="%4."/>
      <w:lvlJc w:val="left"/>
      <w:pPr>
        <w:ind w:left="2936" w:hanging="360"/>
      </w:pPr>
    </w:lvl>
    <w:lvl w:ilvl="4" w:tplc="0C090019" w:tentative="1">
      <w:start w:val="1"/>
      <w:numFmt w:val="lowerLetter"/>
      <w:lvlText w:val="%5."/>
      <w:lvlJc w:val="left"/>
      <w:pPr>
        <w:ind w:left="3656" w:hanging="360"/>
      </w:pPr>
    </w:lvl>
    <w:lvl w:ilvl="5" w:tplc="0C09001B" w:tentative="1">
      <w:start w:val="1"/>
      <w:numFmt w:val="lowerRoman"/>
      <w:lvlText w:val="%6."/>
      <w:lvlJc w:val="right"/>
      <w:pPr>
        <w:ind w:left="4376" w:hanging="180"/>
      </w:pPr>
    </w:lvl>
    <w:lvl w:ilvl="6" w:tplc="0C09000F" w:tentative="1">
      <w:start w:val="1"/>
      <w:numFmt w:val="decimal"/>
      <w:lvlText w:val="%7."/>
      <w:lvlJc w:val="left"/>
      <w:pPr>
        <w:ind w:left="5096" w:hanging="360"/>
      </w:pPr>
    </w:lvl>
    <w:lvl w:ilvl="7" w:tplc="0C090019" w:tentative="1">
      <w:start w:val="1"/>
      <w:numFmt w:val="lowerLetter"/>
      <w:lvlText w:val="%8."/>
      <w:lvlJc w:val="left"/>
      <w:pPr>
        <w:ind w:left="5816" w:hanging="360"/>
      </w:pPr>
    </w:lvl>
    <w:lvl w:ilvl="8" w:tplc="0C09001B" w:tentative="1">
      <w:start w:val="1"/>
      <w:numFmt w:val="lowerRoman"/>
      <w:lvlText w:val="%9."/>
      <w:lvlJc w:val="right"/>
      <w:pPr>
        <w:ind w:left="6536" w:hanging="180"/>
      </w:pPr>
    </w:lvl>
  </w:abstractNum>
  <w:abstractNum w:abstractNumId="11"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2" w15:restartNumberingAfterBreak="0">
    <w:nsid w:val="294029B6"/>
    <w:multiLevelType w:val="hybridMultilevel"/>
    <w:tmpl w:val="49B03EEA"/>
    <w:lvl w:ilvl="0" w:tplc="55B2F710">
      <w:numFmt w:val="bullet"/>
      <w:lvlText w:val="•"/>
      <w:lvlJc w:val="left"/>
      <w:pPr>
        <w:ind w:left="1080" w:hanging="720"/>
      </w:pPr>
      <w:rPr>
        <w:rFonts w:ascii="Calibri" w:eastAsia="Calibr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CB71A54"/>
    <w:multiLevelType w:val="hybridMultilevel"/>
    <w:tmpl w:val="60CCD8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31695463"/>
    <w:multiLevelType w:val="hybridMultilevel"/>
    <w:tmpl w:val="2AF20488"/>
    <w:lvl w:ilvl="0" w:tplc="122A1D94">
      <w:start w:val="1"/>
      <w:numFmt w:val="decimal"/>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5"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6" w15:restartNumberingAfterBreak="0">
    <w:nsid w:val="3EA7459B"/>
    <w:multiLevelType w:val="hybridMultilevel"/>
    <w:tmpl w:val="090C4A92"/>
    <w:lvl w:ilvl="0" w:tplc="B29A3278">
      <w:start w:val="1"/>
      <w:numFmt w:val="bullet"/>
      <w:pStyle w:val="Boxedlistbullet"/>
      <w:lvlText w:val=""/>
      <w:lvlJc w:val="left"/>
      <w:pPr>
        <w:ind w:left="947" w:hanging="360"/>
      </w:pPr>
      <w:rPr>
        <w:rFonts w:ascii="Symbol" w:hAnsi="Symbo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7" w15:restartNumberingAfterBreak="0">
    <w:nsid w:val="4117423F"/>
    <w:multiLevelType w:val="hybridMultilevel"/>
    <w:tmpl w:val="683E7CF0"/>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8" w15:restartNumberingAfterBreak="0">
    <w:nsid w:val="4265682E"/>
    <w:multiLevelType w:val="multilevel"/>
    <w:tmpl w:val="6E74B694"/>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19" w15:restartNumberingAfterBreak="0">
    <w:nsid w:val="59444BE6"/>
    <w:multiLevelType w:val="multilevel"/>
    <w:tmpl w:val="119046CA"/>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rPr>
        <w:rFonts w:cs="Times New Roman" w:hint="default"/>
        <w:sz w:val="32"/>
        <w:szCs w:val="32"/>
      </w:r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20" w15:restartNumberingAfterBreak="0">
    <w:nsid w:val="5A1767B6"/>
    <w:multiLevelType w:val="multilevel"/>
    <w:tmpl w:val="14C8A526"/>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21" w15:restartNumberingAfterBreak="0">
    <w:nsid w:val="5D8743A4"/>
    <w:multiLevelType w:val="hybridMultilevel"/>
    <w:tmpl w:val="771E21DE"/>
    <w:lvl w:ilvl="0" w:tplc="05920732">
      <w:start w:val="1"/>
      <w:numFmt w:val="bullet"/>
      <w:pStyle w:val="ListNumber3"/>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E56600D"/>
    <w:multiLevelType w:val="multilevel"/>
    <w:tmpl w:val="241CCF0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3"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4" w15:restartNumberingAfterBreak="0">
    <w:nsid w:val="66063429"/>
    <w:multiLevelType w:val="multilevel"/>
    <w:tmpl w:val="FCBECBAC"/>
    <w:lvl w:ilvl="0">
      <w:start w:val="1"/>
      <w:numFmt w:val="upperLetter"/>
      <w:pStyle w:val="AppendixHeading1base"/>
      <w:lvlText w:val="Appendix %1 "/>
      <w:lvlJc w:val="left"/>
      <w:pPr>
        <w:ind w:left="0" w:firstLine="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25" w15:restartNumberingAfterBreak="0">
    <w:nsid w:val="662A1D6E"/>
    <w:multiLevelType w:val="hybridMultilevel"/>
    <w:tmpl w:val="59BAA2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6B4B5B68"/>
    <w:multiLevelType w:val="hybridMultilevel"/>
    <w:tmpl w:val="83468330"/>
    <w:lvl w:ilvl="0" w:tplc="67780310">
      <w:start w:val="1"/>
      <w:numFmt w:val="decimal"/>
      <w:lvlText w:val="%1."/>
      <w:lvlJc w:val="left"/>
      <w:pPr>
        <w:ind w:left="720" w:hanging="360"/>
      </w:pPr>
      <w:rPr>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763B0CF5"/>
    <w:multiLevelType w:val="hybridMultilevel"/>
    <w:tmpl w:val="799E1F1C"/>
    <w:lvl w:ilvl="0" w:tplc="0748901E">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28" w15:restartNumberingAfterBreak="0">
    <w:nsid w:val="7D1617DD"/>
    <w:multiLevelType w:val="hybridMultilevel"/>
    <w:tmpl w:val="4DB6AD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18"/>
  </w:num>
  <w:num w:numId="6">
    <w:abstractNumId w:val="9"/>
  </w:num>
  <w:num w:numId="7">
    <w:abstractNumId w:val="8"/>
  </w:num>
  <w:num w:numId="8">
    <w:abstractNumId w:val="20"/>
  </w:num>
  <w:num w:numId="9">
    <w:abstractNumId w:val="15"/>
  </w:num>
  <w:num w:numId="10">
    <w:abstractNumId w:val="11"/>
  </w:num>
  <w:num w:numId="11">
    <w:abstractNumId w:val="23"/>
  </w:num>
  <w:num w:numId="12">
    <w:abstractNumId w:val="0"/>
  </w:num>
  <w:num w:numId="13">
    <w:abstractNumId w:val="19"/>
  </w:num>
  <w:num w:numId="14">
    <w:abstractNumId w:val="24"/>
  </w:num>
  <w:num w:numId="15">
    <w:abstractNumId w:val="27"/>
  </w:num>
  <w:num w:numId="16">
    <w:abstractNumId w:val="21"/>
  </w:num>
  <w:num w:numId="17">
    <w:abstractNumId w:val="16"/>
  </w:num>
  <w:num w:numId="18">
    <w:abstractNumId w:val="14"/>
  </w:num>
  <w:num w:numId="19">
    <w:abstractNumId w:val="25"/>
  </w:num>
  <w:num w:numId="20">
    <w:abstractNumId w:val="5"/>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num>
  <w:num w:numId="23">
    <w:abstractNumId w:val="28"/>
  </w:num>
  <w:num w:numId="24">
    <w:abstractNumId w:val="12"/>
  </w:num>
  <w:num w:numId="25">
    <w:abstractNumId w:val="6"/>
  </w:num>
  <w:num w:numId="26">
    <w:abstractNumId w:val="26"/>
  </w:num>
  <w:num w:numId="27">
    <w:abstractNumId w:val="7"/>
  </w:num>
  <w:num w:numId="28">
    <w:abstractNumId w:val="10"/>
  </w:num>
  <w:num w:numId="29">
    <w:abstractNumId w:val="22"/>
  </w:num>
  <w:num w:numId="3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00"/>
  <w:displayHorizontalDrawingGridEvery w:val="2"/>
  <w:characterSpacingControl w:val="doNotCompress"/>
  <w:hdrShapeDefaults>
    <o:shapedefaults v:ext="edit" spidmax="18433" style="mso-position-vertical-relative:page;v-text-anchor:bottom" fill="f" fillcolor="white" stroke="f">
      <v:fill color="white" on="f"/>
      <v:stroke on="f"/>
      <v:textbox inset="0,0,0,0"/>
      <o:colormru v:ext="edit" colors="#ddd,#f8f8f8"/>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urChosen" w:val="Core"/>
    <w:docVar w:name="CoverChosen" w:val="Standard"/>
  </w:docVars>
  <w:rsids>
    <w:rsidRoot w:val="00730D8D"/>
    <w:rsid w:val="00000EEA"/>
    <w:rsid w:val="000016FA"/>
    <w:rsid w:val="00001864"/>
    <w:rsid w:val="00001FF1"/>
    <w:rsid w:val="00002AA7"/>
    <w:rsid w:val="000031E1"/>
    <w:rsid w:val="0000380B"/>
    <w:rsid w:val="00003A5F"/>
    <w:rsid w:val="00004501"/>
    <w:rsid w:val="00005E6D"/>
    <w:rsid w:val="00006D08"/>
    <w:rsid w:val="0000732C"/>
    <w:rsid w:val="000077A0"/>
    <w:rsid w:val="00011FC6"/>
    <w:rsid w:val="000124A8"/>
    <w:rsid w:val="000126EB"/>
    <w:rsid w:val="0001333C"/>
    <w:rsid w:val="00015E82"/>
    <w:rsid w:val="0001775B"/>
    <w:rsid w:val="00017FC0"/>
    <w:rsid w:val="00020ACB"/>
    <w:rsid w:val="000226ED"/>
    <w:rsid w:val="00022CFC"/>
    <w:rsid w:val="00023032"/>
    <w:rsid w:val="000244BA"/>
    <w:rsid w:val="00024F6E"/>
    <w:rsid w:val="00025FD5"/>
    <w:rsid w:val="0002686D"/>
    <w:rsid w:val="00026B5A"/>
    <w:rsid w:val="000274B1"/>
    <w:rsid w:val="00027609"/>
    <w:rsid w:val="00027A44"/>
    <w:rsid w:val="000312EA"/>
    <w:rsid w:val="000316D4"/>
    <w:rsid w:val="0003217B"/>
    <w:rsid w:val="000325CD"/>
    <w:rsid w:val="00032C09"/>
    <w:rsid w:val="00032C10"/>
    <w:rsid w:val="00032F01"/>
    <w:rsid w:val="0003319F"/>
    <w:rsid w:val="000331D4"/>
    <w:rsid w:val="00033382"/>
    <w:rsid w:val="00033724"/>
    <w:rsid w:val="0003379E"/>
    <w:rsid w:val="00034A1D"/>
    <w:rsid w:val="00034C74"/>
    <w:rsid w:val="00036549"/>
    <w:rsid w:val="00037A31"/>
    <w:rsid w:val="00041687"/>
    <w:rsid w:val="00041E18"/>
    <w:rsid w:val="00041E7E"/>
    <w:rsid w:val="00042A1A"/>
    <w:rsid w:val="00042BB8"/>
    <w:rsid w:val="000433B9"/>
    <w:rsid w:val="00043876"/>
    <w:rsid w:val="000438BB"/>
    <w:rsid w:val="00043C72"/>
    <w:rsid w:val="000443E1"/>
    <w:rsid w:val="00045A85"/>
    <w:rsid w:val="00046533"/>
    <w:rsid w:val="00046574"/>
    <w:rsid w:val="0005011C"/>
    <w:rsid w:val="0005048B"/>
    <w:rsid w:val="0005073A"/>
    <w:rsid w:val="000511BA"/>
    <w:rsid w:val="00051219"/>
    <w:rsid w:val="00051456"/>
    <w:rsid w:val="0005226F"/>
    <w:rsid w:val="00053081"/>
    <w:rsid w:val="0005371F"/>
    <w:rsid w:val="00053E51"/>
    <w:rsid w:val="00053E83"/>
    <w:rsid w:val="00053FC3"/>
    <w:rsid w:val="00055C1C"/>
    <w:rsid w:val="00056716"/>
    <w:rsid w:val="00056FD0"/>
    <w:rsid w:val="00057438"/>
    <w:rsid w:val="000644F1"/>
    <w:rsid w:val="00064612"/>
    <w:rsid w:val="0006503B"/>
    <w:rsid w:val="000667A4"/>
    <w:rsid w:val="000670FC"/>
    <w:rsid w:val="000674E3"/>
    <w:rsid w:val="00067A40"/>
    <w:rsid w:val="00071EB2"/>
    <w:rsid w:val="00074DFE"/>
    <w:rsid w:val="000753E4"/>
    <w:rsid w:val="00075774"/>
    <w:rsid w:val="00075B0B"/>
    <w:rsid w:val="00080482"/>
    <w:rsid w:val="000815C2"/>
    <w:rsid w:val="000823AC"/>
    <w:rsid w:val="00082CC3"/>
    <w:rsid w:val="00082F85"/>
    <w:rsid w:val="00083837"/>
    <w:rsid w:val="00083CBE"/>
    <w:rsid w:val="00083FBD"/>
    <w:rsid w:val="00085878"/>
    <w:rsid w:val="00085DC0"/>
    <w:rsid w:val="00086408"/>
    <w:rsid w:val="00086B6D"/>
    <w:rsid w:val="00087ADA"/>
    <w:rsid w:val="00091D49"/>
    <w:rsid w:val="00091F6F"/>
    <w:rsid w:val="000922FE"/>
    <w:rsid w:val="00092563"/>
    <w:rsid w:val="00094168"/>
    <w:rsid w:val="00095465"/>
    <w:rsid w:val="000960C3"/>
    <w:rsid w:val="00096F3F"/>
    <w:rsid w:val="000979AD"/>
    <w:rsid w:val="000A02FE"/>
    <w:rsid w:val="000A05FC"/>
    <w:rsid w:val="000A0C32"/>
    <w:rsid w:val="000A1B25"/>
    <w:rsid w:val="000A23A1"/>
    <w:rsid w:val="000A2E07"/>
    <w:rsid w:val="000A321F"/>
    <w:rsid w:val="000A3C0D"/>
    <w:rsid w:val="000A4429"/>
    <w:rsid w:val="000A5905"/>
    <w:rsid w:val="000A6F40"/>
    <w:rsid w:val="000B0A3D"/>
    <w:rsid w:val="000B123D"/>
    <w:rsid w:val="000B1240"/>
    <w:rsid w:val="000B1470"/>
    <w:rsid w:val="000B1686"/>
    <w:rsid w:val="000B1878"/>
    <w:rsid w:val="000B3486"/>
    <w:rsid w:val="000B6D10"/>
    <w:rsid w:val="000B6FA5"/>
    <w:rsid w:val="000C02C0"/>
    <w:rsid w:val="000C05F1"/>
    <w:rsid w:val="000C0940"/>
    <w:rsid w:val="000C0E41"/>
    <w:rsid w:val="000C1F0D"/>
    <w:rsid w:val="000C2221"/>
    <w:rsid w:val="000C3561"/>
    <w:rsid w:val="000C4051"/>
    <w:rsid w:val="000C4DCF"/>
    <w:rsid w:val="000C5523"/>
    <w:rsid w:val="000C61C0"/>
    <w:rsid w:val="000C6359"/>
    <w:rsid w:val="000C7D15"/>
    <w:rsid w:val="000D0298"/>
    <w:rsid w:val="000D0454"/>
    <w:rsid w:val="000D19A9"/>
    <w:rsid w:val="000D19DE"/>
    <w:rsid w:val="000D1F19"/>
    <w:rsid w:val="000D2B1C"/>
    <w:rsid w:val="000D2C62"/>
    <w:rsid w:val="000D2CB1"/>
    <w:rsid w:val="000D3808"/>
    <w:rsid w:val="000D436B"/>
    <w:rsid w:val="000D4741"/>
    <w:rsid w:val="000D6D2F"/>
    <w:rsid w:val="000D6F01"/>
    <w:rsid w:val="000E0810"/>
    <w:rsid w:val="000E1697"/>
    <w:rsid w:val="000E1CF3"/>
    <w:rsid w:val="000E2422"/>
    <w:rsid w:val="000E4368"/>
    <w:rsid w:val="000E52A5"/>
    <w:rsid w:val="000E57E1"/>
    <w:rsid w:val="000E599F"/>
    <w:rsid w:val="000E6206"/>
    <w:rsid w:val="000E7345"/>
    <w:rsid w:val="000F051A"/>
    <w:rsid w:val="000F1474"/>
    <w:rsid w:val="000F1EC3"/>
    <w:rsid w:val="000F1FE4"/>
    <w:rsid w:val="000F3FBD"/>
    <w:rsid w:val="000F410C"/>
    <w:rsid w:val="000F43BF"/>
    <w:rsid w:val="000F73D4"/>
    <w:rsid w:val="000F79E7"/>
    <w:rsid w:val="000F7A42"/>
    <w:rsid w:val="000F7F7F"/>
    <w:rsid w:val="00100866"/>
    <w:rsid w:val="001012D7"/>
    <w:rsid w:val="001015EF"/>
    <w:rsid w:val="00101A2A"/>
    <w:rsid w:val="00102D78"/>
    <w:rsid w:val="00103B9E"/>
    <w:rsid w:val="00103C16"/>
    <w:rsid w:val="00104D2B"/>
    <w:rsid w:val="00104FBD"/>
    <w:rsid w:val="0010615B"/>
    <w:rsid w:val="001067F0"/>
    <w:rsid w:val="001068F9"/>
    <w:rsid w:val="001100D4"/>
    <w:rsid w:val="0011081B"/>
    <w:rsid w:val="00110D34"/>
    <w:rsid w:val="00112515"/>
    <w:rsid w:val="0011346D"/>
    <w:rsid w:val="001135B5"/>
    <w:rsid w:val="0011470B"/>
    <w:rsid w:val="00114B30"/>
    <w:rsid w:val="001161EB"/>
    <w:rsid w:val="00116C3E"/>
    <w:rsid w:val="00116DDF"/>
    <w:rsid w:val="001170B1"/>
    <w:rsid w:val="00117477"/>
    <w:rsid w:val="001174CD"/>
    <w:rsid w:val="00117B46"/>
    <w:rsid w:val="00117E59"/>
    <w:rsid w:val="0012201E"/>
    <w:rsid w:val="001237C7"/>
    <w:rsid w:val="00123BCC"/>
    <w:rsid w:val="00123FD7"/>
    <w:rsid w:val="0012422F"/>
    <w:rsid w:val="001249CC"/>
    <w:rsid w:val="00124B5D"/>
    <w:rsid w:val="001263ED"/>
    <w:rsid w:val="00127385"/>
    <w:rsid w:val="001279D0"/>
    <w:rsid w:val="0013089B"/>
    <w:rsid w:val="00131036"/>
    <w:rsid w:val="00131EF1"/>
    <w:rsid w:val="00132F76"/>
    <w:rsid w:val="0013384F"/>
    <w:rsid w:val="00133958"/>
    <w:rsid w:val="00134AA3"/>
    <w:rsid w:val="00134FC3"/>
    <w:rsid w:val="00135A92"/>
    <w:rsid w:val="001362D8"/>
    <w:rsid w:val="00136AEA"/>
    <w:rsid w:val="00136B7F"/>
    <w:rsid w:val="00141CB6"/>
    <w:rsid w:val="00141D21"/>
    <w:rsid w:val="00141D5A"/>
    <w:rsid w:val="00141F4E"/>
    <w:rsid w:val="00143878"/>
    <w:rsid w:val="0014423D"/>
    <w:rsid w:val="001446C7"/>
    <w:rsid w:val="001449CE"/>
    <w:rsid w:val="00144E58"/>
    <w:rsid w:val="0014588D"/>
    <w:rsid w:val="00145B94"/>
    <w:rsid w:val="00147C9B"/>
    <w:rsid w:val="0015055C"/>
    <w:rsid w:val="00150888"/>
    <w:rsid w:val="00151436"/>
    <w:rsid w:val="00152BC9"/>
    <w:rsid w:val="001532B1"/>
    <w:rsid w:val="00154168"/>
    <w:rsid w:val="0015462D"/>
    <w:rsid w:val="001548F7"/>
    <w:rsid w:val="00155AFF"/>
    <w:rsid w:val="0015605C"/>
    <w:rsid w:val="0015661E"/>
    <w:rsid w:val="00156E23"/>
    <w:rsid w:val="00157AAE"/>
    <w:rsid w:val="0016147E"/>
    <w:rsid w:val="001619C2"/>
    <w:rsid w:val="00161BB6"/>
    <w:rsid w:val="00162185"/>
    <w:rsid w:val="00162AED"/>
    <w:rsid w:val="00163A3B"/>
    <w:rsid w:val="00164193"/>
    <w:rsid w:val="00165095"/>
    <w:rsid w:val="00165854"/>
    <w:rsid w:val="001665FC"/>
    <w:rsid w:val="00167499"/>
    <w:rsid w:val="0016754A"/>
    <w:rsid w:val="00167D0D"/>
    <w:rsid w:val="001708B3"/>
    <w:rsid w:val="001719AF"/>
    <w:rsid w:val="00172AF9"/>
    <w:rsid w:val="00173422"/>
    <w:rsid w:val="00173C4D"/>
    <w:rsid w:val="00174A49"/>
    <w:rsid w:val="00175388"/>
    <w:rsid w:val="001755D3"/>
    <w:rsid w:val="001766E2"/>
    <w:rsid w:val="00177270"/>
    <w:rsid w:val="001772D6"/>
    <w:rsid w:val="0017758B"/>
    <w:rsid w:val="00177701"/>
    <w:rsid w:val="00180690"/>
    <w:rsid w:val="00180D18"/>
    <w:rsid w:val="001817F8"/>
    <w:rsid w:val="001835BF"/>
    <w:rsid w:val="00184A68"/>
    <w:rsid w:val="00184F22"/>
    <w:rsid w:val="001869C0"/>
    <w:rsid w:val="001869DD"/>
    <w:rsid w:val="00187C88"/>
    <w:rsid w:val="00190BC1"/>
    <w:rsid w:val="00190E0B"/>
    <w:rsid w:val="001919BB"/>
    <w:rsid w:val="00192E59"/>
    <w:rsid w:val="00193162"/>
    <w:rsid w:val="00194325"/>
    <w:rsid w:val="001943B1"/>
    <w:rsid w:val="00194542"/>
    <w:rsid w:val="00195301"/>
    <w:rsid w:val="00196146"/>
    <w:rsid w:val="00197214"/>
    <w:rsid w:val="0019797D"/>
    <w:rsid w:val="001A1020"/>
    <w:rsid w:val="001A2BA3"/>
    <w:rsid w:val="001A3CA0"/>
    <w:rsid w:val="001A452F"/>
    <w:rsid w:val="001A49D8"/>
    <w:rsid w:val="001A5821"/>
    <w:rsid w:val="001A614F"/>
    <w:rsid w:val="001A7932"/>
    <w:rsid w:val="001A7D7C"/>
    <w:rsid w:val="001B00A0"/>
    <w:rsid w:val="001B0BE0"/>
    <w:rsid w:val="001B2010"/>
    <w:rsid w:val="001B23ED"/>
    <w:rsid w:val="001B3004"/>
    <w:rsid w:val="001B34DE"/>
    <w:rsid w:val="001B4B23"/>
    <w:rsid w:val="001B64C7"/>
    <w:rsid w:val="001B6CB5"/>
    <w:rsid w:val="001B79DA"/>
    <w:rsid w:val="001B7BF3"/>
    <w:rsid w:val="001C00A0"/>
    <w:rsid w:val="001C07F5"/>
    <w:rsid w:val="001C0E32"/>
    <w:rsid w:val="001C27A9"/>
    <w:rsid w:val="001C3137"/>
    <w:rsid w:val="001C3373"/>
    <w:rsid w:val="001C35CB"/>
    <w:rsid w:val="001C37FE"/>
    <w:rsid w:val="001C3CC8"/>
    <w:rsid w:val="001C45AB"/>
    <w:rsid w:val="001C4A51"/>
    <w:rsid w:val="001C4C4C"/>
    <w:rsid w:val="001C4F97"/>
    <w:rsid w:val="001C540A"/>
    <w:rsid w:val="001C5CA5"/>
    <w:rsid w:val="001C6336"/>
    <w:rsid w:val="001C663B"/>
    <w:rsid w:val="001D1412"/>
    <w:rsid w:val="001D2969"/>
    <w:rsid w:val="001D2998"/>
    <w:rsid w:val="001D2DF7"/>
    <w:rsid w:val="001D36DC"/>
    <w:rsid w:val="001D4D59"/>
    <w:rsid w:val="001D5947"/>
    <w:rsid w:val="001D655F"/>
    <w:rsid w:val="001D6F5F"/>
    <w:rsid w:val="001D713C"/>
    <w:rsid w:val="001D72A0"/>
    <w:rsid w:val="001E06D2"/>
    <w:rsid w:val="001E1B94"/>
    <w:rsid w:val="001E1D9D"/>
    <w:rsid w:val="001E2C10"/>
    <w:rsid w:val="001E2D97"/>
    <w:rsid w:val="001E2DAD"/>
    <w:rsid w:val="001E2EEE"/>
    <w:rsid w:val="001E30E8"/>
    <w:rsid w:val="001E4485"/>
    <w:rsid w:val="001E48F7"/>
    <w:rsid w:val="001E4A92"/>
    <w:rsid w:val="001E4C59"/>
    <w:rsid w:val="001E531C"/>
    <w:rsid w:val="001E5803"/>
    <w:rsid w:val="001E7CE9"/>
    <w:rsid w:val="001F168D"/>
    <w:rsid w:val="001F2A0C"/>
    <w:rsid w:val="001F4987"/>
    <w:rsid w:val="001F5109"/>
    <w:rsid w:val="001F7E57"/>
    <w:rsid w:val="0020034E"/>
    <w:rsid w:val="002003D9"/>
    <w:rsid w:val="0020095F"/>
    <w:rsid w:val="00201A9A"/>
    <w:rsid w:val="00201C06"/>
    <w:rsid w:val="0020424F"/>
    <w:rsid w:val="00207117"/>
    <w:rsid w:val="00207D3A"/>
    <w:rsid w:val="00207F43"/>
    <w:rsid w:val="002101A4"/>
    <w:rsid w:val="002103DA"/>
    <w:rsid w:val="002109F9"/>
    <w:rsid w:val="002118C5"/>
    <w:rsid w:val="00212311"/>
    <w:rsid w:val="00212902"/>
    <w:rsid w:val="0021372F"/>
    <w:rsid w:val="002137D2"/>
    <w:rsid w:val="00214440"/>
    <w:rsid w:val="00214C93"/>
    <w:rsid w:val="00214E3B"/>
    <w:rsid w:val="00215132"/>
    <w:rsid w:val="002154A2"/>
    <w:rsid w:val="002156C8"/>
    <w:rsid w:val="00215F9D"/>
    <w:rsid w:val="00221A8F"/>
    <w:rsid w:val="00221D10"/>
    <w:rsid w:val="00221D5A"/>
    <w:rsid w:val="0022285A"/>
    <w:rsid w:val="00222A6F"/>
    <w:rsid w:val="00222AF2"/>
    <w:rsid w:val="0022431B"/>
    <w:rsid w:val="0022432C"/>
    <w:rsid w:val="00224D6F"/>
    <w:rsid w:val="002252DA"/>
    <w:rsid w:val="002254A0"/>
    <w:rsid w:val="002256CA"/>
    <w:rsid w:val="00225737"/>
    <w:rsid w:val="00226AA4"/>
    <w:rsid w:val="002274F9"/>
    <w:rsid w:val="0023091D"/>
    <w:rsid w:val="002316C4"/>
    <w:rsid w:val="00232B56"/>
    <w:rsid w:val="0023437D"/>
    <w:rsid w:val="00234D40"/>
    <w:rsid w:val="00235E03"/>
    <w:rsid w:val="002368B4"/>
    <w:rsid w:val="00241746"/>
    <w:rsid w:val="002418DA"/>
    <w:rsid w:val="0024195F"/>
    <w:rsid w:val="00241BAC"/>
    <w:rsid w:val="002421F2"/>
    <w:rsid w:val="00245649"/>
    <w:rsid w:val="00246995"/>
    <w:rsid w:val="0024788B"/>
    <w:rsid w:val="00251361"/>
    <w:rsid w:val="0025177C"/>
    <w:rsid w:val="00251DDE"/>
    <w:rsid w:val="00252CBB"/>
    <w:rsid w:val="0025619A"/>
    <w:rsid w:val="0025777F"/>
    <w:rsid w:val="002579B2"/>
    <w:rsid w:val="00260CC9"/>
    <w:rsid w:val="00263A58"/>
    <w:rsid w:val="002659FB"/>
    <w:rsid w:val="0026726A"/>
    <w:rsid w:val="00267364"/>
    <w:rsid w:val="0026739B"/>
    <w:rsid w:val="0026799E"/>
    <w:rsid w:val="0027195B"/>
    <w:rsid w:val="0027274A"/>
    <w:rsid w:val="00272F61"/>
    <w:rsid w:val="002732A8"/>
    <w:rsid w:val="00273A31"/>
    <w:rsid w:val="00273F98"/>
    <w:rsid w:val="00274483"/>
    <w:rsid w:val="00274DF1"/>
    <w:rsid w:val="00274FEA"/>
    <w:rsid w:val="00275196"/>
    <w:rsid w:val="00275E46"/>
    <w:rsid w:val="00276E3E"/>
    <w:rsid w:val="00277240"/>
    <w:rsid w:val="00277610"/>
    <w:rsid w:val="00277658"/>
    <w:rsid w:val="00277A23"/>
    <w:rsid w:val="0028010B"/>
    <w:rsid w:val="00280E0A"/>
    <w:rsid w:val="00280E4B"/>
    <w:rsid w:val="002819F9"/>
    <w:rsid w:val="00284EBC"/>
    <w:rsid w:val="002852DB"/>
    <w:rsid w:val="0028568D"/>
    <w:rsid w:val="00285F27"/>
    <w:rsid w:val="00287FBB"/>
    <w:rsid w:val="00287FD1"/>
    <w:rsid w:val="0029026E"/>
    <w:rsid w:val="00291358"/>
    <w:rsid w:val="0029371B"/>
    <w:rsid w:val="00293EB0"/>
    <w:rsid w:val="00294F99"/>
    <w:rsid w:val="00295D01"/>
    <w:rsid w:val="002972A0"/>
    <w:rsid w:val="002A0B7E"/>
    <w:rsid w:val="002A274E"/>
    <w:rsid w:val="002A47DB"/>
    <w:rsid w:val="002A5899"/>
    <w:rsid w:val="002A5A18"/>
    <w:rsid w:val="002A5D8F"/>
    <w:rsid w:val="002A658F"/>
    <w:rsid w:val="002A6F89"/>
    <w:rsid w:val="002B0C55"/>
    <w:rsid w:val="002B3E6E"/>
    <w:rsid w:val="002B4524"/>
    <w:rsid w:val="002B4927"/>
    <w:rsid w:val="002B49FD"/>
    <w:rsid w:val="002B53EF"/>
    <w:rsid w:val="002C041E"/>
    <w:rsid w:val="002C1C11"/>
    <w:rsid w:val="002C1F75"/>
    <w:rsid w:val="002C3525"/>
    <w:rsid w:val="002C46E9"/>
    <w:rsid w:val="002C5384"/>
    <w:rsid w:val="002C54A6"/>
    <w:rsid w:val="002C7A76"/>
    <w:rsid w:val="002D19CD"/>
    <w:rsid w:val="002D322D"/>
    <w:rsid w:val="002D3BA4"/>
    <w:rsid w:val="002D5167"/>
    <w:rsid w:val="002D6517"/>
    <w:rsid w:val="002D680B"/>
    <w:rsid w:val="002D6823"/>
    <w:rsid w:val="002D688F"/>
    <w:rsid w:val="002D6907"/>
    <w:rsid w:val="002D7534"/>
    <w:rsid w:val="002E00BA"/>
    <w:rsid w:val="002E0C1E"/>
    <w:rsid w:val="002E11E5"/>
    <w:rsid w:val="002E1958"/>
    <w:rsid w:val="002E3B33"/>
    <w:rsid w:val="002E3BB0"/>
    <w:rsid w:val="002E5921"/>
    <w:rsid w:val="002E6619"/>
    <w:rsid w:val="002E7AB1"/>
    <w:rsid w:val="002E7DC9"/>
    <w:rsid w:val="002F0071"/>
    <w:rsid w:val="002F05AA"/>
    <w:rsid w:val="002F06CC"/>
    <w:rsid w:val="002F13E5"/>
    <w:rsid w:val="002F1D9B"/>
    <w:rsid w:val="002F2411"/>
    <w:rsid w:val="002F289C"/>
    <w:rsid w:val="002F2AFD"/>
    <w:rsid w:val="002F3E5A"/>
    <w:rsid w:val="002F5550"/>
    <w:rsid w:val="002F5CB8"/>
    <w:rsid w:val="002F6563"/>
    <w:rsid w:val="002F6753"/>
    <w:rsid w:val="002F6876"/>
    <w:rsid w:val="002F7A19"/>
    <w:rsid w:val="002F7D8B"/>
    <w:rsid w:val="003004B5"/>
    <w:rsid w:val="00301C5C"/>
    <w:rsid w:val="00301E58"/>
    <w:rsid w:val="00302E4E"/>
    <w:rsid w:val="003036A2"/>
    <w:rsid w:val="00303DBD"/>
    <w:rsid w:val="00304C71"/>
    <w:rsid w:val="00305326"/>
    <w:rsid w:val="003053C7"/>
    <w:rsid w:val="003059EB"/>
    <w:rsid w:val="00306A4B"/>
    <w:rsid w:val="00307B3C"/>
    <w:rsid w:val="00310421"/>
    <w:rsid w:val="0031060B"/>
    <w:rsid w:val="00310F32"/>
    <w:rsid w:val="00311960"/>
    <w:rsid w:val="00311982"/>
    <w:rsid w:val="00311D25"/>
    <w:rsid w:val="003120ED"/>
    <w:rsid w:val="003139EB"/>
    <w:rsid w:val="00313CAE"/>
    <w:rsid w:val="003145A4"/>
    <w:rsid w:val="00314A86"/>
    <w:rsid w:val="00315629"/>
    <w:rsid w:val="0031605A"/>
    <w:rsid w:val="0031761B"/>
    <w:rsid w:val="0032056E"/>
    <w:rsid w:val="0032093A"/>
    <w:rsid w:val="00321A9C"/>
    <w:rsid w:val="00322BA1"/>
    <w:rsid w:val="0032389B"/>
    <w:rsid w:val="00324D36"/>
    <w:rsid w:val="00325363"/>
    <w:rsid w:val="003258F7"/>
    <w:rsid w:val="00326681"/>
    <w:rsid w:val="003267A0"/>
    <w:rsid w:val="0032796C"/>
    <w:rsid w:val="00331731"/>
    <w:rsid w:val="00333EED"/>
    <w:rsid w:val="0033551F"/>
    <w:rsid w:val="003372A2"/>
    <w:rsid w:val="0033735C"/>
    <w:rsid w:val="00340806"/>
    <w:rsid w:val="00341064"/>
    <w:rsid w:val="0034157C"/>
    <w:rsid w:val="00341FFE"/>
    <w:rsid w:val="003425BE"/>
    <w:rsid w:val="00342B30"/>
    <w:rsid w:val="0034372C"/>
    <w:rsid w:val="00343E98"/>
    <w:rsid w:val="003450A8"/>
    <w:rsid w:val="003461B2"/>
    <w:rsid w:val="00347324"/>
    <w:rsid w:val="0034738C"/>
    <w:rsid w:val="003473D8"/>
    <w:rsid w:val="00350269"/>
    <w:rsid w:val="00350A2D"/>
    <w:rsid w:val="0035194E"/>
    <w:rsid w:val="003545F5"/>
    <w:rsid w:val="00354CB6"/>
    <w:rsid w:val="00355B43"/>
    <w:rsid w:val="00356058"/>
    <w:rsid w:val="00356B61"/>
    <w:rsid w:val="0035717F"/>
    <w:rsid w:val="00357251"/>
    <w:rsid w:val="003579A8"/>
    <w:rsid w:val="00357F24"/>
    <w:rsid w:val="00361EE2"/>
    <w:rsid w:val="0036319D"/>
    <w:rsid w:val="00363264"/>
    <w:rsid w:val="003638C4"/>
    <w:rsid w:val="00364868"/>
    <w:rsid w:val="00364AE4"/>
    <w:rsid w:val="00365FCA"/>
    <w:rsid w:val="003671B3"/>
    <w:rsid w:val="00370283"/>
    <w:rsid w:val="003728D6"/>
    <w:rsid w:val="00374B6E"/>
    <w:rsid w:val="00377FB6"/>
    <w:rsid w:val="00381465"/>
    <w:rsid w:val="00381CCE"/>
    <w:rsid w:val="00383A04"/>
    <w:rsid w:val="00383ADF"/>
    <w:rsid w:val="0038407D"/>
    <w:rsid w:val="00386523"/>
    <w:rsid w:val="00386BE1"/>
    <w:rsid w:val="00387974"/>
    <w:rsid w:val="00390015"/>
    <w:rsid w:val="00391481"/>
    <w:rsid w:val="0039270B"/>
    <w:rsid w:val="003927A9"/>
    <w:rsid w:val="0039293C"/>
    <w:rsid w:val="003930D5"/>
    <w:rsid w:val="00395EF5"/>
    <w:rsid w:val="0039729E"/>
    <w:rsid w:val="00397704"/>
    <w:rsid w:val="003A1D0D"/>
    <w:rsid w:val="003A2FF2"/>
    <w:rsid w:val="003A3052"/>
    <w:rsid w:val="003A31E1"/>
    <w:rsid w:val="003A3919"/>
    <w:rsid w:val="003A3D49"/>
    <w:rsid w:val="003A476E"/>
    <w:rsid w:val="003A4AF4"/>
    <w:rsid w:val="003A4BD1"/>
    <w:rsid w:val="003A5C0C"/>
    <w:rsid w:val="003A647C"/>
    <w:rsid w:val="003A6976"/>
    <w:rsid w:val="003A7056"/>
    <w:rsid w:val="003A710E"/>
    <w:rsid w:val="003B06FA"/>
    <w:rsid w:val="003B1238"/>
    <w:rsid w:val="003B2557"/>
    <w:rsid w:val="003B3215"/>
    <w:rsid w:val="003B3314"/>
    <w:rsid w:val="003B35DA"/>
    <w:rsid w:val="003B4144"/>
    <w:rsid w:val="003B417D"/>
    <w:rsid w:val="003B4380"/>
    <w:rsid w:val="003B53CD"/>
    <w:rsid w:val="003B55A2"/>
    <w:rsid w:val="003B58A6"/>
    <w:rsid w:val="003B5C47"/>
    <w:rsid w:val="003B6381"/>
    <w:rsid w:val="003C09F0"/>
    <w:rsid w:val="003C0F40"/>
    <w:rsid w:val="003C10BC"/>
    <w:rsid w:val="003C1886"/>
    <w:rsid w:val="003C2E68"/>
    <w:rsid w:val="003C2FB7"/>
    <w:rsid w:val="003C33C5"/>
    <w:rsid w:val="003C40B6"/>
    <w:rsid w:val="003C63BE"/>
    <w:rsid w:val="003D0780"/>
    <w:rsid w:val="003D0C0D"/>
    <w:rsid w:val="003D0F16"/>
    <w:rsid w:val="003D26A3"/>
    <w:rsid w:val="003D2C9A"/>
    <w:rsid w:val="003D353D"/>
    <w:rsid w:val="003D36F8"/>
    <w:rsid w:val="003D62C9"/>
    <w:rsid w:val="003D641F"/>
    <w:rsid w:val="003D6565"/>
    <w:rsid w:val="003D6FFA"/>
    <w:rsid w:val="003D734A"/>
    <w:rsid w:val="003D778D"/>
    <w:rsid w:val="003E01BB"/>
    <w:rsid w:val="003E1BFA"/>
    <w:rsid w:val="003E27E2"/>
    <w:rsid w:val="003E2EBA"/>
    <w:rsid w:val="003E3972"/>
    <w:rsid w:val="003E5804"/>
    <w:rsid w:val="003E5D9A"/>
    <w:rsid w:val="003E67F7"/>
    <w:rsid w:val="003E7CA7"/>
    <w:rsid w:val="003F061A"/>
    <w:rsid w:val="003F07DC"/>
    <w:rsid w:val="003F1806"/>
    <w:rsid w:val="003F1FBD"/>
    <w:rsid w:val="003F293A"/>
    <w:rsid w:val="003F3154"/>
    <w:rsid w:val="003F366C"/>
    <w:rsid w:val="003F59D2"/>
    <w:rsid w:val="003F5D80"/>
    <w:rsid w:val="003F6EAD"/>
    <w:rsid w:val="003F7EE6"/>
    <w:rsid w:val="004005EC"/>
    <w:rsid w:val="004006A0"/>
    <w:rsid w:val="00401080"/>
    <w:rsid w:val="0040108B"/>
    <w:rsid w:val="00401C9F"/>
    <w:rsid w:val="0040258D"/>
    <w:rsid w:val="00405C39"/>
    <w:rsid w:val="0040628E"/>
    <w:rsid w:val="00406D9D"/>
    <w:rsid w:val="00406E7A"/>
    <w:rsid w:val="004070AA"/>
    <w:rsid w:val="004107EF"/>
    <w:rsid w:val="00410CB7"/>
    <w:rsid w:val="00411649"/>
    <w:rsid w:val="00411FA7"/>
    <w:rsid w:val="00412553"/>
    <w:rsid w:val="004134DD"/>
    <w:rsid w:val="00413AD2"/>
    <w:rsid w:val="0041517D"/>
    <w:rsid w:val="0041571B"/>
    <w:rsid w:val="00415777"/>
    <w:rsid w:val="0041689A"/>
    <w:rsid w:val="00416DF7"/>
    <w:rsid w:val="00417FDB"/>
    <w:rsid w:val="004203F6"/>
    <w:rsid w:val="00420CC0"/>
    <w:rsid w:val="00424385"/>
    <w:rsid w:val="004246AC"/>
    <w:rsid w:val="00424719"/>
    <w:rsid w:val="00425B20"/>
    <w:rsid w:val="00426B9D"/>
    <w:rsid w:val="00426E97"/>
    <w:rsid w:val="004270F8"/>
    <w:rsid w:val="0043032E"/>
    <w:rsid w:val="00430E98"/>
    <w:rsid w:val="0043246D"/>
    <w:rsid w:val="004349E8"/>
    <w:rsid w:val="004359B6"/>
    <w:rsid w:val="00435F08"/>
    <w:rsid w:val="004362E3"/>
    <w:rsid w:val="00437C87"/>
    <w:rsid w:val="00440CFE"/>
    <w:rsid w:val="00441D99"/>
    <w:rsid w:val="00441F8C"/>
    <w:rsid w:val="0044268A"/>
    <w:rsid w:val="00444967"/>
    <w:rsid w:val="00444D4A"/>
    <w:rsid w:val="004455D0"/>
    <w:rsid w:val="004459B1"/>
    <w:rsid w:val="0044669E"/>
    <w:rsid w:val="00446986"/>
    <w:rsid w:val="0044744C"/>
    <w:rsid w:val="00450B7D"/>
    <w:rsid w:val="00450C41"/>
    <w:rsid w:val="0045141E"/>
    <w:rsid w:val="0045289E"/>
    <w:rsid w:val="0045357F"/>
    <w:rsid w:val="00455807"/>
    <w:rsid w:val="00457440"/>
    <w:rsid w:val="0046209B"/>
    <w:rsid w:val="00462182"/>
    <w:rsid w:val="00463E83"/>
    <w:rsid w:val="00463ED6"/>
    <w:rsid w:val="00464F46"/>
    <w:rsid w:val="00466556"/>
    <w:rsid w:val="004666B7"/>
    <w:rsid w:val="00467438"/>
    <w:rsid w:val="00467755"/>
    <w:rsid w:val="00467D88"/>
    <w:rsid w:val="00470DF3"/>
    <w:rsid w:val="004712A8"/>
    <w:rsid w:val="00471DED"/>
    <w:rsid w:val="00471FBE"/>
    <w:rsid w:val="004726BC"/>
    <w:rsid w:val="00472C37"/>
    <w:rsid w:val="00472E58"/>
    <w:rsid w:val="00475BB5"/>
    <w:rsid w:val="00475D90"/>
    <w:rsid w:val="00475EB7"/>
    <w:rsid w:val="004766E5"/>
    <w:rsid w:val="004804CF"/>
    <w:rsid w:val="00480CEB"/>
    <w:rsid w:val="00481761"/>
    <w:rsid w:val="004826CF"/>
    <w:rsid w:val="00482BB8"/>
    <w:rsid w:val="00483F64"/>
    <w:rsid w:val="004847C3"/>
    <w:rsid w:val="00486537"/>
    <w:rsid w:val="00487018"/>
    <w:rsid w:val="0048768F"/>
    <w:rsid w:val="004879BC"/>
    <w:rsid w:val="00487D3D"/>
    <w:rsid w:val="004900B0"/>
    <w:rsid w:val="004902AC"/>
    <w:rsid w:val="00491B05"/>
    <w:rsid w:val="00492547"/>
    <w:rsid w:val="00492D34"/>
    <w:rsid w:val="00494587"/>
    <w:rsid w:val="00494743"/>
    <w:rsid w:val="004955E1"/>
    <w:rsid w:val="00497BCA"/>
    <w:rsid w:val="004A0512"/>
    <w:rsid w:val="004A067D"/>
    <w:rsid w:val="004A0B4D"/>
    <w:rsid w:val="004A1AED"/>
    <w:rsid w:val="004A1CF5"/>
    <w:rsid w:val="004A2C7D"/>
    <w:rsid w:val="004A2CE9"/>
    <w:rsid w:val="004A4028"/>
    <w:rsid w:val="004A575F"/>
    <w:rsid w:val="004A6641"/>
    <w:rsid w:val="004A7FA7"/>
    <w:rsid w:val="004B07A1"/>
    <w:rsid w:val="004B09CB"/>
    <w:rsid w:val="004B1330"/>
    <w:rsid w:val="004B2DAA"/>
    <w:rsid w:val="004B2EBA"/>
    <w:rsid w:val="004B5178"/>
    <w:rsid w:val="004B5AC9"/>
    <w:rsid w:val="004B705F"/>
    <w:rsid w:val="004B7450"/>
    <w:rsid w:val="004B7C25"/>
    <w:rsid w:val="004C08B6"/>
    <w:rsid w:val="004C0D00"/>
    <w:rsid w:val="004C14AB"/>
    <w:rsid w:val="004C3462"/>
    <w:rsid w:val="004C3E74"/>
    <w:rsid w:val="004C4116"/>
    <w:rsid w:val="004C4379"/>
    <w:rsid w:val="004C5380"/>
    <w:rsid w:val="004C5772"/>
    <w:rsid w:val="004C64BF"/>
    <w:rsid w:val="004C67BF"/>
    <w:rsid w:val="004C7459"/>
    <w:rsid w:val="004D0443"/>
    <w:rsid w:val="004D0643"/>
    <w:rsid w:val="004D0A90"/>
    <w:rsid w:val="004D0BAA"/>
    <w:rsid w:val="004D139E"/>
    <w:rsid w:val="004D1CE2"/>
    <w:rsid w:val="004D1EEA"/>
    <w:rsid w:val="004D1FB4"/>
    <w:rsid w:val="004D2CD7"/>
    <w:rsid w:val="004D3DB4"/>
    <w:rsid w:val="004D44AC"/>
    <w:rsid w:val="004D4AD2"/>
    <w:rsid w:val="004D5ED7"/>
    <w:rsid w:val="004D7860"/>
    <w:rsid w:val="004E1262"/>
    <w:rsid w:val="004E3049"/>
    <w:rsid w:val="004E35A8"/>
    <w:rsid w:val="004E366E"/>
    <w:rsid w:val="004E411B"/>
    <w:rsid w:val="004E5109"/>
    <w:rsid w:val="004E5193"/>
    <w:rsid w:val="004E5552"/>
    <w:rsid w:val="004E5C69"/>
    <w:rsid w:val="004E60D0"/>
    <w:rsid w:val="004F12A6"/>
    <w:rsid w:val="004F1565"/>
    <w:rsid w:val="004F1878"/>
    <w:rsid w:val="004F2304"/>
    <w:rsid w:val="004F26F8"/>
    <w:rsid w:val="004F287F"/>
    <w:rsid w:val="004F42D9"/>
    <w:rsid w:val="004F4446"/>
    <w:rsid w:val="004F4AF3"/>
    <w:rsid w:val="004F4CC9"/>
    <w:rsid w:val="004F75D8"/>
    <w:rsid w:val="005025FE"/>
    <w:rsid w:val="00503808"/>
    <w:rsid w:val="00503F2C"/>
    <w:rsid w:val="00504585"/>
    <w:rsid w:val="00506DDE"/>
    <w:rsid w:val="00506FBA"/>
    <w:rsid w:val="005071A4"/>
    <w:rsid w:val="00510A05"/>
    <w:rsid w:val="00512C84"/>
    <w:rsid w:val="00513469"/>
    <w:rsid w:val="005136AD"/>
    <w:rsid w:val="00513780"/>
    <w:rsid w:val="005138BA"/>
    <w:rsid w:val="00513923"/>
    <w:rsid w:val="00514D9D"/>
    <w:rsid w:val="00516657"/>
    <w:rsid w:val="00516904"/>
    <w:rsid w:val="00520CB5"/>
    <w:rsid w:val="00520D1D"/>
    <w:rsid w:val="005210CC"/>
    <w:rsid w:val="005211AF"/>
    <w:rsid w:val="005213E2"/>
    <w:rsid w:val="0052308B"/>
    <w:rsid w:val="005256F8"/>
    <w:rsid w:val="005276C2"/>
    <w:rsid w:val="0053143D"/>
    <w:rsid w:val="0053153D"/>
    <w:rsid w:val="00533A72"/>
    <w:rsid w:val="00533B4D"/>
    <w:rsid w:val="00533C44"/>
    <w:rsid w:val="00535CCC"/>
    <w:rsid w:val="00536172"/>
    <w:rsid w:val="00540203"/>
    <w:rsid w:val="00540244"/>
    <w:rsid w:val="005406F8"/>
    <w:rsid w:val="0054169B"/>
    <w:rsid w:val="005417D2"/>
    <w:rsid w:val="005422E4"/>
    <w:rsid w:val="00543721"/>
    <w:rsid w:val="00543AF2"/>
    <w:rsid w:val="00544161"/>
    <w:rsid w:val="00544260"/>
    <w:rsid w:val="0054436C"/>
    <w:rsid w:val="00544CD3"/>
    <w:rsid w:val="00545637"/>
    <w:rsid w:val="0054576A"/>
    <w:rsid w:val="00545907"/>
    <w:rsid w:val="00545CF8"/>
    <w:rsid w:val="00550E4D"/>
    <w:rsid w:val="00550F69"/>
    <w:rsid w:val="005523C6"/>
    <w:rsid w:val="005535C1"/>
    <w:rsid w:val="005567A1"/>
    <w:rsid w:val="00556EF7"/>
    <w:rsid w:val="005616AE"/>
    <w:rsid w:val="00562430"/>
    <w:rsid w:val="0056264C"/>
    <w:rsid w:val="00562A86"/>
    <w:rsid w:val="0056325F"/>
    <w:rsid w:val="005642E9"/>
    <w:rsid w:val="00564555"/>
    <w:rsid w:val="005653EC"/>
    <w:rsid w:val="00571AAC"/>
    <w:rsid w:val="00571ADF"/>
    <w:rsid w:val="00571CEA"/>
    <w:rsid w:val="00571F91"/>
    <w:rsid w:val="00572729"/>
    <w:rsid w:val="0057344E"/>
    <w:rsid w:val="005735E5"/>
    <w:rsid w:val="00573B79"/>
    <w:rsid w:val="00573CDD"/>
    <w:rsid w:val="00574A11"/>
    <w:rsid w:val="0057516A"/>
    <w:rsid w:val="005752B3"/>
    <w:rsid w:val="00575E75"/>
    <w:rsid w:val="00581C8A"/>
    <w:rsid w:val="00583642"/>
    <w:rsid w:val="00583EE5"/>
    <w:rsid w:val="00584C09"/>
    <w:rsid w:val="00585852"/>
    <w:rsid w:val="005867FA"/>
    <w:rsid w:val="005871BD"/>
    <w:rsid w:val="005900A1"/>
    <w:rsid w:val="0059013D"/>
    <w:rsid w:val="00590B01"/>
    <w:rsid w:val="005911AC"/>
    <w:rsid w:val="00593DFF"/>
    <w:rsid w:val="00594DB3"/>
    <w:rsid w:val="0059572B"/>
    <w:rsid w:val="00595936"/>
    <w:rsid w:val="00597700"/>
    <w:rsid w:val="005A0224"/>
    <w:rsid w:val="005A09B0"/>
    <w:rsid w:val="005A0BA6"/>
    <w:rsid w:val="005A1201"/>
    <w:rsid w:val="005A15E8"/>
    <w:rsid w:val="005A35B2"/>
    <w:rsid w:val="005A3671"/>
    <w:rsid w:val="005A38CE"/>
    <w:rsid w:val="005A3DDA"/>
    <w:rsid w:val="005A3F38"/>
    <w:rsid w:val="005A4858"/>
    <w:rsid w:val="005A4902"/>
    <w:rsid w:val="005A68C6"/>
    <w:rsid w:val="005A6C20"/>
    <w:rsid w:val="005A6F02"/>
    <w:rsid w:val="005B0BCB"/>
    <w:rsid w:val="005B13AE"/>
    <w:rsid w:val="005B170A"/>
    <w:rsid w:val="005B2B2E"/>
    <w:rsid w:val="005B5E98"/>
    <w:rsid w:val="005B6F3A"/>
    <w:rsid w:val="005B6F43"/>
    <w:rsid w:val="005B753C"/>
    <w:rsid w:val="005B77B6"/>
    <w:rsid w:val="005B7E26"/>
    <w:rsid w:val="005C0593"/>
    <w:rsid w:val="005C0E22"/>
    <w:rsid w:val="005C17D1"/>
    <w:rsid w:val="005C1B4B"/>
    <w:rsid w:val="005C2541"/>
    <w:rsid w:val="005C334D"/>
    <w:rsid w:val="005C3666"/>
    <w:rsid w:val="005C3F2C"/>
    <w:rsid w:val="005C40C8"/>
    <w:rsid w:val="005C43A2"/>
    <w:rsid w:val="005C5D0E"/>
    <w:rsid w:val="005C5F94"/>
    <w:rsid w:val="005C71E9"/>
    <w:rsid w:val="005C76E5"/>
    <w:rsid w:val="005D12DA"/>
    <w:rsid w:val="005D2F8D"/>
    <w:rsid w:val="005D3047"/>
    <w:rsid w:val="005D535F"/>
    <w:rsid w:val="005D5B36"/>
    <w:rsid w:val="005D5D01"/>
    <w:rsid w:val="005D671B"/>
    <w:rsid w:val="005D7700"/>
    <w:rsid w:val="005E1422"/>
    <w:rsid w:val="005E18F7"/>
    <w:rsid w:val="005E1953"/>
    <w:rsid w:val="005E2CE1"/>
    <w:rsid w:val="005E3642"/>
    <w:rsid w:val="005E3FF2"/>
    <w:rsid w:val="005E4353"/>
    <w:rsid w:val="005E5EEE"/>
    <w:rsid w:val="005E7012"/>
    <w:rsid w:val="005E7489"/>
    <w:rsid w:val="005F0D47"/>
    <w:rsid w:val="005F0DA6"/>
    <w:rsid w:val="005F1044"/>
    <w:rsid w:val="005F1821"/>
    <w:rsid w:val="005F22A7"/>
    <w:rsid w:val="005F32AD"/>
    <w:rsid w:val="005F41CD"/>
    <w:rsid w:val="005F512D"/>
    <w:rsid w:val="005F534B"/>
    <w:rsid w:val="005F573F"/>
    <w:rsid w:val="005F6C1A"/>
    <w:rsid w:val="005F7446"/>
    <w:rsid w:val="005F7988"/>
    <w:rsid w:val="005F7C32"/>
    <w:rsid w:val="00601BED"/>
    <w:rsid w:val="00601E6B"/>
    <w:rsid w:val="006025C8"/>
    <w:rsid w:val="00604F5D"/>
    <w:rsid w:val="006065A9"/>
    <w:rsid w:val="006075B1"/>
    <w:rsid w:val="00607651"/>
    <w:rsid w:val="006101EB"/>
    <w:rsid w:val="006103AF"/>
    <w:rsid w:val="00610B77"/>
    <w:rsid w:val="00610C1D"/>
    <w:rsid w:val="006113C3"/>
    <w:rsid w:val="006131D3"/>
    <w:rsid w:val="006137A9"/>
    <w:rsid w:val="00613E33"/>
    <w:rsid w:val="00615A49"/>
    <w:rsid w:val="00616DE3"/>
    <w:rsid w:val="00620AB1"/>
    <w:rsid w:val="00620C5C"/>
    <w:rsid w:val="00621110"/>
    <w:rsid w:val="00622516"/>
    <w:rsid w:val="00622AD7"/>
    <w:rsid w:val="00623A5E"/>
    <w:rsid w:val="00624D4A"/>
    <w:rsid w:val="00625BAE"/>
    <w:rsid w:val="00626826"/>
    <w:rsid w:val="00627195"/>
    <w:rsid w:val="006301FC"/>
    <w:rsid w:val="00630E7C"/>
    <w:rsid w:val="0063124F"/>
    <w:rsid w:val="006344B0"/>
    <w:rsid w:val="0063561B"/>
    <w:rsid w:val="0063735E"/>
    <w:rsid w:val="00637AE9"/>
    <w:rsid w:val="0064042D"/>
    <w:rsid w:val="00641AEC"/>
    <w:rsid w:val="00641BF8"/>
    <w:rsid w:val="00641C31"/>
    <w:rsid w:val="00643BE4"/>
    <w:rsid w:val="0064524B"/>
    <w:rsid w:val="006469A4"/>
    <w:rsid w:val="006471CC"/>
    <w:rsid w:val="00647744"/>
    <w:rsid w:val="00650A8F"/>
    <w:rsid w:val="006510FB"/>
    <w:rsid w:val="00651877"/>
    <w:rsid w:val="00651D9C"/>
    <w:rsid w:val="0065280C"/>
    <w:rsid w:val="0065306B"/>
    <w:rsid w:val="006536B1"/>
    <w:rsid w:val="006539EA"/>
    <w:rsid w:val="00655388"/>
    <w:rsid w:val="00655D42"/>
    <w:rsid w:val="00656199"/>
    <w:rsid w:val="00657C95"/>
    <w:rsid w:val="00660AED"/>
    <w:rsid w:val="00660C96"/>
    <w:rsid w:val="00660F9F"/>
    <w:rsid w:val="0066138E"/>
    <w:rsid w:val="00661395"/>
    <w:rsid w:val="006613A3"/>
    <w:rsid w:val="00661B31"/>
    <w:rsid w:val="00661B61"/>
    <w:rsid w:val="00664903"/>
    <w:rsid w:val="00664D3A"/>
    <w:rsid w:val="00664DBF"/>
    <w:rsid w:val="00666B96"/>
    <w:rsid w:val="00667ADA"/>
    <w:rsid w:val="00670232"/>
    <w:rsid w:val="00671430"/>
    <w:rsid w:val="00672272"/>
    <w:rsid w:val="00675060"/>
    <w:rsid w:val="006759C2"/>
    <w:rsid w:val="0067631B"/>
    <w:rsid w:val="00676831"/>
    <w:rsid w:val="00676F06"/>
    <w:rsid w:val="00677A9F"/>
    <w:rsid w:val="00677E30"/>
    <w:rsid w:val="006801F5"/>
    <w:rsid w:val="00681259"/>
    <w:rsid w:val="00681CA4"/>
    <w:rsid w:val="00681FC8"/>
    <w:rsid w:val="00682027"/>
    <w:rsid w:val="0068249A"/>
    <w:rsid w:val="006834D7"/>
    <w:rsid w:val="006839AA"/>
    <w:rsid w:val="00683C1D"/>
    <w:rsid w:val="00683D8F"/>
    <w:rsid w:val="00684B6C"/>
    <w:rsid w:val="00685B63"/>
    <w:rsid w:val="00686E67"/>
    <w:rsid w:val="00690252"/>
    <w:rsid w:val="006903F0"/>
    <w:rsid w:val="00691B71"/>
    <w:rsid w:val="00693154"/>
    <w:rsid w:val="0069353C"/>
    <w:rsid w:val="006945AD"/>
    <w:rsid w:val="00694E1A"/>
    <w:rsid w:val="00695A1E"/>
    <w:rsid w:val="006966D3"/>
    <w:rsid w:val="006A25BB"/>
    <w:rsid w:val="006A2F4B"/>
    <w:rsid w:val="006A3AAD"/>
    <w:rsid w:val="006A3D2D"/>
    <w:rsid w:val="006A4E81"/>
    <w:rsid w:val="006A4F16"/>
    <w:rsid w:val="006A516D"/>
    <w:rsid w:val="006A5D0B"/>
    <w:rsid w:val="006A6308"/>
    <w:rsid w:val="006A7822"/>
    <w:rsid w:val="006A7D96"/>
    <w:rsid w:val="006B10B6"/>
    <w:rsid w:val="006B1377"/>
    <w:rsid w:val="006B1865"/>
    <w:rsid w:val="006B19F6"/>
    <w:rsid w:val="006B1D24"/>
    <w:rsid w:val="006B2399"/>
    <w:rsid w:val="006B2726"/>
    <w:rsid w:val="006B3BA8"/>
    <w:rsid w:val="006B4FAD"/>
    <w:rsid w:val="006B57B2"/>
    <w:rsid w:val="006C028E"/>
    <w:rsid w:val="006C0EDC"/>
    <w:rsid w:val="006C0FCA"/>
    <w:rsid w:val="006C109B"/>
    <w:rsid w:val="006C10EE"/>
    <w:rsid w:val="006C1779"/>
    <w:rsid w:val="006C180F"/>
    <w:rsid w:val="006C2F7A"/>
    <w:rsid w:val="006C33D9"/>
    <w:rsid w:val="006C4214"/>
    <w:rsid w:val="006C4238"/>
    <w:rsid w:val="006C63D3"/>
    <w:rsid w:val="006C651D"/>
    <w:rsid w:val="006C7121"/>
    <w:rsid w:val="006C71CF"/>
    <w:rsid w:val="006D1B2D"/>
    <w:rsid w:val="006D1E80"/>
    <w:rsid w:val="006D4C17"/>
    <w:rsid w:val="006D555F"/>
    <w:rsid w:val="006D5D4F"/>
    <w:rsid w:val="006D7E28"/>
    <w:rsid w:val="006D7FC5"/>
    <w:rsid w:val="006E0300"/>
    <w:rsid w:val="006E1015"/>
    <w:rsid w:val="006E101D"/>
    <w:rsid w:val="006E17CD"/>
    <w:rsid w:val="006E2379"/>
    <w:rsid w:val="006E23B6"/>
    <w:rsid w:val="006E25AB"/>
    <w:rsid w:val="006E3262"/>
    <w:rsid w:val="006E3611"/>
    <w:rsid w:val="006E3A6D"/>
    <w:rsid w:val="006E4453"/>
    <w:rsid w:val="006E4748"/>
    <w:rsid w:val="006E66B4"/>
    <w:rsid w:val="006E75EB"/>
    <w:rsid w:val="006E7746"/>
    <w:rsid w:val="006E7F70"/>
    <w:rsid w:val="006F02A9"/>
    <w:rsid w:val="006F337D"/>
    <w:rsid w:val="006F3A3B"/>
    <w:rsid w:val="006F4826"/>
    <w:rsid w:val="006F4D0E"/>
    <w:rsid w:val="006F5365"/>
    <w:rsid w:val="006F66CD"/>
    <w:rsid w:val="006F738D"/>
    <w:rsid w:val="00700738"/>
    <w:rsid w:val="00702BFE"/>
    <w:rsid w:val="00702F97"/>
    <w:rsid w:val="007039C1"/>
    <w:rsid w:val="007058AB"/>
    <w:rsid w:val="0070632E"/>
    <w:rsid w:val="0070653A"/>
    <w:rsid w:val="00707997"/>
    <w:rsid w:val="007079D7"/>
    <w:rsid w:val="0071029B"/>
    <w:rsid w:val="0071052E"/>
    <w:rsid w:val="00711762"/>
    <w:rsid w:val="007121B2"/>
    <w:rsid w:val="00713E21"/>
    <w:rsid w:val="007152E6"/>
    <w:rsid w:val="007163D7"/>
    <w:rsid w:val="00716588"/>
    <w:rsid w:val="00717979"/>
    <w:rsid w:val="00721552"/>
    <w:rsid w:val="00721D14"/>
    <w:rsid w:val="0072420F"/>
    <w:rsid w:val="00725649"/>
    <w:rsid w:val="00725D69"/>
    <w:rsid w:val="00726E5E"/>
    <w:rsid w:val="00727C96"/>
    <w:rsid w:val="00730D8D"/>
    <w:rsid w:val="007327F4"/>
    <w:rsid w:val="0073507E"/>
    <w:rsid w:val="00735DCE"/>
    <w:rsid w:val="007367A7"/>
    <w:rsid w:val="00736C13"/>
    <w:rsid w:val="00736CE1"/>
    <w:rsid w:val="00736E1E"/>
    <w:rsid w:val="00736F07"/>
    <w:rsid w:val="00736F0E"/>
    <w:rsid w:val="007379E5"/>
    <w:rsid w:val="00737D7F"/>
    <w:rsid w:val="00740460"/>
    <w:rsid w:val="0074076E"/>
    <w:rsid w:val="007445DB"/>
    <w:rsid w:val="00744939"/>
    <w:rsid w:val="00745552"/>
    <w:rsid w:val="0074569B"/>
    <w:rsid w:val="0074661A"/>
    <w:rsid w:val="00746FE8"/>
    <w:rsid w:val="00750E26"/>
    <w:rsid w:val="007510E2"/>
    <w:rsid w:val="007513AA"/>
    <w:rsid w:val="00752314"/>
    <w:rsid w:val="0075243A"/>
    <w:rsid w:val="00752473"/>
    <w:rsid w:val="00752903"/>
    <w:rsid w:val="00752C61"/>
    <w:rsid w:val="00753B58"/>
    <w:rsid w:val="00753E3E"/>
    <w:rsid w:val="00755590"/>
    <w:rsid w:val="007568E2"/>
    <w:rsid w:val="00757D44"/>
    <w:rsid w:val="007607BB"/>
    <w:rsid w:val="0076325A"/>
    <w:rsid w:val="0076348C"/>
    <w:rsid w:val="007638EA"/>
    <w:rsid w:val="007659AE"/>
    <w:rsid w:val="00766564"/>
    <w:rsid w:val="00766BBE"/>
    <w:rsid w:val="00767192"/>
    <w:rsid w:val="00767521"/>
    <w:rsid w:val="00773192"/>
    <w:rsid w:val="007732C9"/>
    <w:rsid w:val="007738F3"/>
    <w:rsid w:val="00774C67"/>
    <w:rsid w:val="00774CB6"/>
    <w:rsid w:val="00776A3D"/>
    <w:rsid w:val="00776AA8"/>
    <w:rsid w:val="00776D2F"/>
    <w:rsid w:val="00776FCB"/>
    <w:rsid w:val="007775AA"/>
    <w:rsid w:val="00782488"/>
    <w:rsid w:val="00782C21"/>
    <w:rsid w:val="0078357A"/>
    <w:rsid w:val="00785E49"/>
    <w:rsid w:val="007868C5"/>
    <w:rsid w:val="00786A8D"/>
    <w:rsid w:val="00786B17"/>
    <w:rsid w:val="00787338"/>
    <w:rsid w:val="00787438"/>
    <w:rsid w:val="00787C90"/>
    <w:rsid w:val="007905E6"/>
    <w:rsid w:val="00790868"/>
    <w:rsid w:val="007908AC"/>
    <w:rsid w:val="00790A1F"/>
    <w:rsid w:val="007913EE"/>
    <w:rsid w:val="007922E3"/>
    <w:rsid w:val="00792459"/>
    <w:rsid w:val="00793B7A"/>
    <w:rsid w:val="00793C15"/>
    <w:rsid w:val="00793DA2"/>
    <w:rsid w:val="007953AB"/>
    <w:rsid w:val="00797022"/>
    <w:rsid w:val="00797313"/>
    <w:rsid w:val="007974AE"/>
    <w:rsid w:val="007A01EB"/>
    <w:rsid w:val="007A2F20"/>
    <w:rsid w:val="007A4392"/>
    <w:rsid w:val="007A4AAC"/>
    <w:rsid w:val="007A66AF"/>
    <w:rsid w:val="007A75EB"/>
    <w:rsid w:val="007B13AE"/>
    <w:rsid w:val="007B2475"/>
    <w:rsid w:val="007B249F"/>
    <w:rsid w:val="007B2B19"/>
    <w:rsid w:val="007B2ECC"/>
    <w:rsid w:val="007B2F9F"/>
    <w:rsid w:val="007B3095"/>
    <w:rsid w:val="007B56AD"/>
    <w:rsid w:val="007B65AD"/>
    <w:rsid w:val="007C17CF"/>
    <w:rsid w:val="007C1DF4"/>
    <w:rsid w:val="007C2493"/>
    <w:rsid w:val="007C4578"/>
    <w:rsid w:val="007C5394"/>
    <w:rsid w:val="007C6BB9"/>
    <w:rsid w:val="007C7213"/>
    <w:rsid w:val="007C7711"/>
    <w:rsid w:val="007D14DA"/>
    <w:rsid w:val="007D1633"/>
    <w:rsid w:val="007D1801"/>
    <w:rsid w:val="007D1B60"/>
    <w:rsid w:val="007D2883"/>
    <w:rsid w:val="007D2E6D"/>
    <w:rsid w:val="007D3059"/>
    <w:rsid w:val="007D4044"/>
    <w:rsid w:val="007D4D45"/>
    <w:rsid w:val="007D4E0C"/>
    <w:rsid w:val="007D4E4A"/>
    <w:rsid w:val="007D5501"/>
    <w:rsid w:val="007D5D0F"/>
    <w:rsid w:val="007D7A02"/>
    <w:rsid w:val="007D7F23"/>
    <w:rsid w:val="007D7F72"/>
    <w:rsid w:val="007E073D"/>
    <w:rsid w:val="007E0DDC"/>
    <w:rsid w:val="007E1C69"/>
    <w:rsid w:val="007E241C"/>
    <w:rsid w:val="007E260F"/>
    <w:rsid w:val="007E3435"/>
    <w:rsid w:val="007E35CB"/>
    <w:rsid w:val="007E3E66"/>
    <w:rsid w:val="007E46C8"/>
    <w:rsid w:val="007E4B05"/>
    <w:rsid w:val="007E5A5B"/>
    <w:rsid w:val="007E5FEA"/>
    <w:rsid w:val="007E7BB2"/>
    <w:rsid w:val="007F0D05"/>
    <w:rsid w:val="007F16A8"/>
    <w:rsid w:val="007F3092"/>
    <w:rsid w:val="007F4BEF"/>
    <w:rsid w:val="007F6149"/>
    <w:rsid w:val="007F618C"/>
    <w:rsid w:val="007F688D"/>
    <w:rsid w:val="007F6CFF"/>
    <w:rsid w:val="00800908"/>
    <w:rsid w:val="0080121D"/>
    <w:rsid w:val="00802325"/>
    <w:rsid w:val="008043B1"/>
    <w:rsid w:val="00806BFD"/>
    <w:rsid w:val="00806F44"/>
    <w:rsid w:val="00807954"/>
    <w:rsid w:val="00810576"/>
    <w:rsid w:val="00811BFB"/>
    <w:rsid w:val="00812E7D"/>
    <w:rsid w:val="00812FBF"/>
    <w:rsid w:val="008154D9"/>
    <w:rsid w:val="00815DBC"/>
    <w:rsid w:val="00816F1C"/>
    <w:rsid w:val="008175AA"/>
    <w:rsid w:val="0082165A"/>
    <w:rsid w:val="008223E7"/>
    <w:rsid w:val="00822693"/>
    <w:rsid w:val="00824644"/>
    <w:rsid w:val="008247C6"/>
    <w:rsid w:val="00826D20"/>
    <w:rsid w:val="008319E3"/>
    <w:rsid w:val="00831E24"/>
    <w:rsid w:val="00831FA3"/>
    <w:rsid w:val="00833648"/>
    <w:rsid w:val="00833678"/>
    <w:rsid w:val="0083497E"/>
    <w:rsid w:val="0083549A"/>
    <w:rsid w:val="00836443"/>
    <w:rsid w:val="00836D76"/>
    <w:rsid w:val="00837CCB"/>
    <w:rsid w:val="00840460"/>
    <w:rsid w:val="008408C1"/>
    <w:rsid w:val="00840B15"/>
    <w:rsid w:val="00840F91"/>
    <w:rsid w:val="008413D6"/>
    <w:rsid w:val="0084153B"/>
    <w:rsid w:val="00841904"/>
    <w:rsid w:val="00842B66"/>
    <w:rsid w:val="00842FDB"/>
    <w:rsid w:val="00843A62"/>
    <w:rsid w:val="0084763A"/>
    <w:rsid w:val="00847766"/>
    <w:rsid w:val="008503AA"/>
    <w:rsid w:val="0085234E"/>
    <w:rsid w:val="00854216"/>
    <w:rsid w:val="00854E3D"/>
    <w:rsid w:val="00856E94"/>
    <w:rsid w:val="008573A8"/>
    <w:rsid w:val="00857E65"/>
    <w:rsid w:val="008601C5"/>
    <w:rsid w:val="00862A88"/>
    <w:rsid w:val="00862F75"/>
    <w:rsid w:val="008631BE"/>
    <w:rsid w:val="008637C4"/>
    <w:rsid w:val="00863F9A"/>
    <w:rsid w:val="00864126"/>
    <w:rsid w:val="00865EAB"/>
    <w:rsid w:val="00865F66"/>
    <w:rsid w:val="00867518"/>
    <w:rsid w:val="008704E4"/>
    <w:rsid w:val="00871329"/>
    <w:rsid w:val="00874162"/>
    <w:rsid w:val="00874B53"/>
    <w:rsid w:val="00876062"/>
    <w:rsid w:val="00876B90"/>
    <w:rsid w:val="00880650"/>
    <w:rsid w:val="00880DE8"/>
    <w:rsid w:val="00881183"/>
    <w:rsid w:val="00881650"/>
    <w:rsid w:val="00881B5C"/>
    <w:rsid w:val="008825FA"/>
    <w:rsid w:val="00882668"/>
    <w:rsid w:val="00882D65"/>
    <w:rsid w:val="008833DB"/>
    <w:rsid w:val="008853AC"/>
    <w:rsid w:val="00887AD9"/>
    <w:rsid w:val="00890954"/>
    <w:rsid w:val="00890BD7"/>
    <w:rsid w:val="00891A6E"/>
    <w:rsid w:val="00891F3C"/>
    <w:rsid w:val="00892391"/>
    <w:rsid w:val="008923A5"/>
    <w:rsid w:val="008937AA"/>
    <w:rsid w:val="008941B7"/>
    <w:rsid w:val="008951FB"/>
    <w:rsid w:val="008968EB"/>
    <w:rsid w:val="008974B5"/>
    <w:rsid w:val="00897689"/>
    <w:rsid w:val="00897FEE"/>
    <w:rsid w:val="008A3959"/>
    <w:rsid w:val="008A3A56"/>
    <w:rsid w:val="008A3D11"/>
    <w:rsid w:val="008A405E"/>
    <w:rsid w:val="008A4DB5"/>
    <w:rsid w:val="008A4DD1"/>
    <w:rsid w:val="008A4EFE"/>
    <w:rsid w:val="008A51A2"/>
    <w:rsid w:val="008A51C6"/>
    <w:rsid w:val="008A51D2"/>
    <w:rsid w:val="008A6E77"/>
    <w:rsid w:val="008A6F9D"/>
    <w:rsid w:val="008A7566"/>
    <w:rsid w:val="008B02E3"/>
    <w:rsid w:val="008B2EB2"/>
    <w:rsid w:val="008B4BF7"/>
    <w:rsid w:val="008B6466"/>
    <w:rsid w:val="008B6EEB"/>
    <w:rsid w:val="008B7728"/>
    <w:rsid w:val="008B7AF1"/>
    <w:rsid w:val="008C23C1"/>
    <w:rsid w:val="008C38CF"/>
    <w:rsid w:val="008C3EB9"/>
    <w:rsid w:val="008C3ED6"/>
    <w:rsid w:val="008C4B12"/>
    <w:rsid w:val="008C4E3E"/>
    <w:rsid w:val="008C5E20"/>
    <w:rsid w:val="008C6AE3"/>
    <w:rsid w:val="008C7FF2"/>
    <w:rsid w:val="008D07D6"/>
    <w:rsid w:val="008D0832"/>
    <w:rsid w:val="008D0E82"/>
    <w:rsid w:val="008D104D"/>
    <w:rsid w:val="008D1E81"/>
    <w:rsid w:val="008D5752"/>
    <w:rsid w:val="008D5E56"/>
    <w:rsid w:val="008E2FFD"/>
    <w:rsid w:val="008E36EC"/>
    <w:rsid w:val="008E3A6A"/>
    <w:rsid w:val="008E3E27"/>
    <w:rsid w:val="008E5C20"/>
    <w:rsid w:val="008E5CE3"/>
    <w:rsid w:val="008E5D3E"/>
    <w:rsid w:val="008E5FF9"/>
    <w:rsid w:val="008F0D19"/>
    <w:rsid w:val="008F10C0"/>
    <w:rsid w:val="008F1177"/>
    <w:rsid w:val="008F1194"/>
    <w:rsid w:val="008F2728"/>
    <w:rsid w:val="008F273A"/>
    <w:rsid w:val="008F34AF"/>
    <w:rsid w:val="008F59C0"/>
    <w:rsid w:val="008F5FA6"/>
    <w:rsid w:val="008F64BD"/>
    <w:rsid w:val="008F6E15"/>
    <w:rsid w:val="008F6F62"/>
    <w:rsid w:val="008F7A9C"/>
    <w:rsid w:val="008F7BDD"/>
    <w:rsid w:val="008F7D88"/>
    <w:rsid w:val="009002F7"/>
    <w:rsid w:val="00900503"/>
    <w:rsid w:val="00900B03"/>
    <w:rsid w:val="00903355"/>
    <w:rsid w:val="00903E81"/>
    <w:rsid w:val="0090402E"/>
    <w:rsid w:val="0091299A"/>
    <w:rsid w:val="00912FB7"/>
    <w:rsid w:val="00914764"/>
    <w:rsid w:val="0091539C"/>
    <w:rsid w:val="00915C0C"/>
    <w:rsid w:val="00916FCA"/>
    <w:rsid w:val="00917259"/>
    <w:rsid w:val="00917822"/>
    <w:rsid w:val="00921014"/>
    <w:rsid w:val="00921DC2"/>
    <w:rsid w:val="009238C0"/>
    <w:rsid w:val="00924D99"/>
    <w:rsid w:val="00925141"/>
    <w:rsid w:val="00925BAA"/>
    <w:rsid w:val="00925EE3"/>
    <w:rsid w:val="00927513"/>
    <w:rsid w:val="0092796F"/>
    <w:rsid w:val="009317F7"/>
    <w:rsid w:val="0093211C"/>
    <w:rsid w:val="00932501"/>
    <w:rsid w:val="009326F5"/>
    <w:rsid w:val="009328FC"/>
    <w:rsid w:val="00933D7D"/>
    <w:rsid w:val="00934293"/>
    <w:rsid w:val="00934545"/>
    <w:rsid w:val="009350D5"/>
    <w:rsid w:val="009356B7"/>
    <w:rsid w:val="009360C5"/>
    <w:rsid w:val="0094269B"/>
    <w:rsid w:val="0094291B"/>
    <w:rsid w:val="00944443"/>
    <w:rsid w:val="0094529E"/>
    <w:rsid w:val="00945AEE"/>
    <w:rsid w:val="00946A25"/>
    <w:rsid w:val="009477D1"/>
    <w:rsid w:val="009506DB"/>
    <w:rsid w:val="00950842"/>
    <w:rsid w:val="00952528"/>
    <w:rsid w:val="009529DE"/>
    <w:rsid w:val="00952F61"/>
    <w:rsid w:val="00952FBD"/>
    <w:rsid w:val="009564E6"/>
    <w:rsid w:val="00957023"/>
    <w:rsid w:val="0095711D"/>
    <w:rsid w:val="00957152"/>
    <w:rsid w:val="009573B9"/>
    <w:rsid w:val="0096064B"/>
    <w:rsid w:val="009622DA"/>
    <w:rsid w:val="00962405"/>
    <w:rsid w:val="00962571"/>
    <w:rsid w:val="009628A4"/>
    <w:rsid w:val="00962C63"/>
    <w:rsid w:val="00963568"/>
    <w:rsid w:val="009704B0"/>
    <w:rsid w:val="009709C0"/>
    <w:rsid w:val="00972036"/>
    <w:rsid w:val="0097305E"/>
    <w:rsid w:val="00974967"/>
    <w:rsid w:val="009810CF"/>
    <w:rsid w:val="00981A35"/>
    <w:rsid w:val="00982FBC"/>
    <w:rsid w:val="009833F3"/>
    <w:rsid w:val="00983F19"/>
    <w:rsid w:val="009848B5"/>
    <w:rsid w:val="009848EA"/>
    <w:rsid w:val="00987853"/>
    <w:rsid w:val="00987984"/>
    <w:rsid w:val="009908EB"/>
    <w:rsid w:val="00990C96"/>
    <w:rsid w:val="009920D4"/>
    <w:rsid w:val="0099432F"/>
    <w:rsid w:val="00994757"/>
    <w:rsid w:val="00994828"/>
    <w:rsid w:val="009952EB"/>
    <w:rsid w:val="009959BB"/>
    <w:rsid w:val="00995D43"/>
    <w:rsid w:val="009964E7"/>
    <w:rsid w:val="0099747D"/>
    <w:rsid w:val="009A180F"/>
    <w:rsid w:val="009A1E13"/>
    <w:rsid w:val="009A1E41"/>
    <w:rsid w:val="009A20E5"/>
    <w:rsid w:val="009A3B0D"/>
    <w:rsid w:val="009A623A"/>
    <w:rsid w:val="009A72ED"/>
    <w:rsid w:val="009B1EDB"/>
    <w:rsid w:val="009B3319"/>
    <w:rsid w:val="009B4B17"/>
    <w:rsid w:val="009B532B"/>
    <w:rsid w:val="009B5F0E"/>
    <w:rsid w:val="009B6B20"/>
    <w:rsid w:val="009B7348"/>
    <w:rsid w:val="009B7560"/>
    <w:rsid w:val="009B77E9"/>
    <w:rsid w:val="009C0341"/>
    <w:rsid w:val="009C0C9B"/>
    <w:rsid w:val="009C1AFE"/>
    <w:rsid w:val="009C2334"/>
    <w:rsid w:val="009C2963"/>
    <w:rsid w:val="009C2F20"/>
    <w:rsid w:val="009C3E19"/>
    <w:rsid w:val="009C4684"/>
    <w:rsid w:val="009C499C"/>
    <w:rsid w:val="009C532F"/>
    <w:rsid w:val="009C57A8"/>
    <w:rsid w:val="009C5CA3"/>
    <w:rsid w:val="009C5DC9"/>
    <w:rsid w:val="009C75E5"/>
    <w:rsid w:val="009D202A"/>
    <w:rsid w:val="009D3EE1"/>
    <w:rsid w:val="009D4BAA"/>
    <w:rsid w:val="009D7E49"/>
    <w:rsid w:val="009E15F0"/>
    <w:rsid w:val="009E354F"/>
    <w:rsid w:val="009E38B2"/>
    <w:rsid w:val="009E3E67"/>
    <w:rsid w:val="009E51CE"/>
    <w:rsid w:val="009E538D"/>
    <w:rsid w:val="009E56A2"/>
    <w:rsid w:val="009E5D82"/>
    <w:rsid w:val="009E61C4"/>
    <w:rsid w:val="009E734D"/>
    <w:rsid w:val="009E75C0"/>
    <w:rsid w:val="009F0667"/>
    <w:rsid w:val="009F0AAE"/>
    <w:rsid w:val="009F0EAA"/>
    <w:rsid w:val="009F2D2D"/>
    <w:rsid w:val="009F38A2"/>
    <w:rsid w:val="009F42AB"/>
    <w:rsid w:val="009F4FAE"/>
    <w:rsid w:val="009F5A9B"/>
    <w:rsid w:val="009F63B0"/>
    <w:rsid w:val="009F6DBD"/>
    <w:rsid w:val="009F78CB"/>
    <w:rsid w:val="009F79DC"/>
    <w:rsid w:val="00A00A06"/>
    <w:rsid w:val="00A00C8B"/>
    <w:rsid w:val="00A0309C"/>
    <w:rsid w:val="00A04D78"/>
    <w:rsid w:val="00A05983"/>
    <w:rsid w:val="00A0599B"/>
    <w:rsid w:val="00A06C0F"/>
    <w:rsid w:val="00A12CEE"/>
    <w:rsid w:val="00A134A0"/>
    <w:rsid w:val="00A13629"/>
    <w:rsid w:val="00A14107"/>
    <w:rsid w:val="00A15FA6"/>
    <w:rsid w:val="00A175B6"/>
    <w:rsid w:val="00A17D84"/>
    <w:rsid w:val="00A2085C"/>
    <w:rsid w:val="00A20DBC"/>
    <w:rsid w:val="00A21553"/>
    <w:rsid w:val="00A22DD8"/>
    <w:rsid w:val="00A23FE4"/>
    <w:rsid w:val="00A303EE"/>
    <w:rsid w:val="00A318E6"/>
    <w:rsid w:val="00A32EDC"/>
    <w:rsid w:val="00A3327E"/>
    <w:rsid w:val="00A35817"/>
    <w:rsid w:val="00A36362"/>
    <w:rsid w:val="00A36478"/>
    <w:rsid w:val="00A36AB8"/>
    <w:rsid w:val="00A36C54"/>
    <w:rsid w:val="00A37466"/>
    <w:rsid w:val="00A40CC4"/>
    <w:rsid w:val="00A410CD"/>
    <w:rsid w:val="00A41431"/>
    <w:rsid w:val="00A41622"/>
    <w:rsid w:val="00A4301D"/>
    <w:rsid w:val="00A459A2"/>
    <w:rsid w:val="00A45A50"/>
    <w:rsid w:val="00A45CBA"/>
    <w:rsid w:val="00A46A75"/>
    <w:rsid w:val="00A4794C"/>
    <w:rsid w:val="00A502B4"/>
    <w:rsid w:val="00A50917"/>
    <w:rsid w:val="00A50E96"/>
    <w:rsid w:val="00A51997"/>
    <w:rsid w:val="00A51EDF"/>
    <w:rsid w:val="00A52C01"/>
    <w:rsid w:val="00A532C3"/>
    <w:rsid w:val="00A535E7"/>
    <w:rsid w:val="00A542EA"/>
    <w:rsid w:val="00A54408"/>
    <w:rsid w:val="00A55391"/>
    <w:rsid w:val="00A55C8F"/>
    <w:rsid w:val="00A56355"/>
    <w:rsid w:val="00A56911"/>
    <w:rsid w:val="00A5776F"/>
    <w:rsid w:val="00A57A11"/>
    <w:rsid w:val="00A63318"/>
    <w:rsid w:val="00A64A3E"/>
    <w:rsid w:val="00A65678"/>
    <w:rsid w:val="00A6761D"/>
    <w:rsid w:val="00A70DD1"/>
    <w:rsid w:val="00A7141C"/>
    <w:rsid w:val="00A714AD"/>
    <w:rsid w:val="00A716CA"/>
    <w:rsid w:val="00A729C3"/>
    <w:rsid w:val="00A7397B"/>
    <w:rsid w:val="00A7638A"/>
    <w:rsid w:val="00A773D4"/>
    <w:rsid w:val="00A806D7"/>
    <w:rsid w:val="00A81299"/>
    <w:rsid w:val="00A82227"/>
    <w:rsid w:val="00A847E1"/>
    <w:rsid w:val="00A848C2"/>
    <w:rsid w:val="00A85C20"/>
    <w:rsid w:val="00A86058"/>
    <w:rsid w:val="00A86985"/>
    <w:rsid w:val="00A86CB0"/>
    <w:rsid w:val="00A87B8B"/>
    <w:rsid w:val="00A90BD5"/>
    <w:rsid w:val="00A90F41"/>
    <w:rsid w:val="00A91A37"/>
    <w:rsid w:val="00A91D99"/>
    <w:rsid w:val="00A92D6D"/>
    <w:rsid w:val="00A943B2"/>
    <w:rsid w:val="00A95025"/>
    <w:rsid w:val="00A954BD"/>
    <w:rsid w:val="00A9602E"/>
    <w:rsid w:val="00A965CC"/>
    <w:rsid w:val="00AA0222"/>
    <w:rsid w:val="00AA0310"/>
    <w:rsid w:val="00AA0A14"/>
    <w:rsid w:val="00AA0E34"/>
    <w:rsid w:val="00AA0F3B"/>
    <w:rsid w:val="00AA1933"/>
    <w:rsid w:val="00AA203C"/>
    <w:rsid w:val="00AA49F8"/>
    <w:rsid w:val="00AA4BB9"/>
    <w:rsid w:val="00AA5AA5"/>
    <w:rsid w:val="00AA5CA6"/>
    <w:rsid w:val="00AA5DA7"/>
    <w:rsid w:val="00AB07A4"/>
    <w:rsid w:val="00AB1516"/>
    <w:rsid w:val="00AB181B"/>
    <w:rsid w:val="00AB2A16"/>
    <w:rsid w:val="00AB2E64"/>
    <w:rsid w:val="00AB3DF0"/>
    <w:rsid w:val="00AB4D75"/>
    <w:rsid w:val="00AB61E1"/>
    <w:rsid w:val="00AC01F2"/>
    <w:rsid w:val="00AC09A6"/>
    <w:rsid w:val="00AC0B78"/>
    <w:rsid w:val="00AC0D2D"/>
    <w:rsid w:val="00AC182F"/>
    <w:rsid w:val="00AC2A73"/>
    <w:rsid w:val="00AC3B2D"/>
    <w:rsid w:val="00AC3B69"/>
    <w:rsid w:val="00AC3E58"/>
    <w:rsid w:val="00AC3F19"/>
    <w:rsid w:val="00AC4590"/>
    <w:rsid w:val="00AC6111"/>
    <w:rsid w:val="00AC6720"/>
    <w:rsid w:val="00AC7ECD"/>
    <w:rsid w:val="00AD0766"/>
    <w:rsid w:val="00AD083F"/>
    <w:rsid w:val="00AD0F1C"/>
    <w:rsid w:val="00AD12C2"/>
    <w:rsid w:val="00AD1ED2"/>
    <w:rsid w:val="00AD2170"/>
    <w:rsid w:val="00AD275A"/>
    <w:rsid w:val="00AD2BD2"/>
    <w:rsid w:val="00AD3D6D"/>
    <w:rsid w:val="00AD5FDB"/>
    <w:rsid w:val="00AD7038"/>
    <w:rsid w:val="00AD7F00"/>
    <w:rsid w:val="00AE013E"/>
    <w:rsid w:val="00AE0559"/>
    <w:rsid w:val="00AE0D97"/>
    <w:rsid w:val="00AE22BA"/>
    <w:rsid w:val="00AE29DA"/>
    <w:rsid w:val="00AE3B5F"/>
    <w:rsid w:val="00AE3CFD"/>
    <w:rsid w:val="00AE55D2"/>
    <w:rsid w:val="00AE59FA"/>
    <w:rsid w:val="00AE6843"/>
    <w:rsid w:val="00AE7106"/>
    <w:rsid w:val="00AE7EFF"/>
    <w:rsid w:val="00AF06CB"/>
    <w:rsid w:val="00AF1B84"/>
    <w:rsid w:val="00AF21AC"/>
    <w:rsid w:val="00AF2371"/>
    <w:rsid w:val="00AF37BE"/>
    <w:rsid w:val="00AF4D16"/>
    <w:rsid w:val="00AF5B4A"/>
    <w:rsid w:val="00AF6215"/>
    <w:rsid w:val="00AF6396"/>
    <w:rsid w:val="00AF72A4"/>
    <w:rsid w:val="00B0044D"/>
    <w:rsid w:val="00B00B86"/>
    <w:rsid w:val="00B00C99"/>
    <w:rsid w:val="00B01CA5"/>
    <w:rsid w:val="00B03428"/>
    <w:rsid w:val="00B035CC"/>
    <w:rsid w:val="00B0517F"/>
    <w:rsid w:val="00B058E7"/>
    <w:rsid w:val="00B06019"/>
    <w:rsid w:val="00B0618E"/>
    <w:rsid w:val="00B06606"/>
    <w:rsid w:val="00B068D9"/>
    <w:rsid w:val="00B06E83"/>
    <w:rsid w:val="00B103CA"/>
    <w:rsid w:val="00B1173A"/>
    <w:rsid w:val="00B12311"/>
    <w:rsid w:val="00B13600"/>
    <w:rsid w:val="00B14087"/>
    <w:rsid w:val="00B143DB"/>
    <w:rsid w:val="00B14678"/>
    <w:rsid w:val="00B16E87"/>
    <w:rsid w:val="00B21077"/>
    <w:rsid w:val="00B214A4"/>
    <w:rsid w:val="00B215CB"/>
    <w:rsid w:val="00B21E39"/>
    <w:rsid w:val="00B222AD"/>
    <w:rsid w:val="00B23CE0"/>
    <w:rsid w:val="00B23F0F"/>
    <w:rsid w:val="00B25251"/>
    <w:rsid w:val="00B25673"/>
    <w:rsid w:val="00B25DB2"/>
    <w:rsid w:val="00B26878"/>
    <w:rsid w:val="00B268F6"/>
    <w:rsid w:val="00B27630"/>
    <w:rsid w:val="00B32448"/>
    <w:rsid w:val="00B34418"/>
    <w:rsid w:val="00B3452A"/>
    <w:rsid w:val="00B34EE8"/>
    <w:rsid w:val="00B34F64"/>
    <w:rsid w:val="00B35D1A"/>
    <w:rsid w:val="00B36003"/>
    <w:rsid w:val="00B36940"/>
    <w:rsid w:val="00B40D21"/>
    <w:rsid w:val="00B41C09"/>
    <w:rsid w:val="00B43082"/>
    <w:rsid w:val="00B434FC"/>
    <w:rsid w:val="00B441C3"/>
    <w:rsid w:val="00B44678"/>
    <w:rsid w:val="00B4568F"/>
    <w:rsid w:val="00B45E08"/>
    <w:rsid w:val="00B47DED"/>
    <w:rsid w:val="00B51581"/>
    <w:rsid w:val="00B518A2"/>
    <w:rsid w:val="00B51E8B"/>
    <w:rsid w:val="00B522B8"/>
    <w:rsid w:val="00B53061"/>
    <w:rsid w:val="00B5338E"/>
    <w:rsid w:val="00B5561F"/>
    <w:rsid w:val="00B55F0E"/>
    <w:rsid w:val="00B6041F"/>
    <w:rsid w:val="00B6071F"/>
    <w:rsid w:val="00B60E10"/>
    <w:rsid w:val="00B63F26"/>
    <w:rsid w:val="00B64351"/>
    <w:rsid w:val="00B64D91"/>
    <w:rsid w:val="00B6615F"/>
    <w:rsid w:val="00B702F3"/>
    <w:rsid w:val="00B7143E"/>
    <w:rsid w:val="00B73756"/>
    <w:rsid w:val="00B75891"/>
    <w:rsid w:val="00B75E25"/>
    <w:rsid w:val="00B76544"/>
    <w:rsid w:val="00B7748E"/>
    <w:rsid w:val="00B77A26"/>
    <w:rsid w:val="00B80087"/>
    <w:rsid w:val="00B8026A"/>
    <w:rsid w:val="00B80BDF"/>
    <w:rsid w:val="00B816CE"/>
    <w:rsid w:val="00B818F8"/>
    <w:rsid w:val="00B827FF"/>
    <w:rsid w:val="00B8394D"/>
    <w:rsid w:val="00B8445D"/>
    <w:rsid w:val="00B846E1"/>
    <w:rsid w:val="00B8472A"/>
    <w:rsid w:val="00B85C82"/>
    <w:rsid w:val="00B8663C"/>
    <w:rsid w:val="00B86E73"/>
    <w:rsid w:val="00B9000E"/>
    <w:rsid w:val="00B9010E"/>
    <w:rsid w:val="00B9061C"/>
    <w:rsid w:val="00B90A67"/>
    <w:rsid w:val="00B912B9"/>
    <w:rsid w:val="00B93351"/>
    <w:rsid w:val="00B93A24"/>
    <w:rsid w:val="00B93E5B"/>
    <w:rsid w:val="00B93FAF"/>
    <w:rsid w:val="00B96AC7"/>
    <w:rsid w:val="00B96DBD"/>
    <w:rsid w:val="00B970DE"/>
    <w:rsid w:val="00B9744A"/>
    <w:rsid w:val="00BA0C6A"/>
    <w:rsid w:val="00BA0D89"/>
    <w:rsid w:val="00BA0F2B"/>
    <w:rsid w:val="00BA191D"/>
    <w:rsid w:val="00BA2669"/>
    <w:rsid w:val="00BA3F33"/>
    <w:rsid w:val="00BA6C89"/>
    <w:rsid w:val="00BA6C9B"/>
    <w:rsid w:val="00BA7ABB"/>
    <w:rsid w:val="00BB6555"/>
    <w:rsid w:val="00BB71AC"/>
    <w:rsid w:val="00BB7D70"/>
    <w:rsid w:val="00BC2074"/>
    <w:rsid w:val="00BC2211"/>
    <w:rsid w:val="00BC2B3C"/>
    <w:rsid w:val="00BC2EAD"/>
    <w:rsid w:val="00BC3F4B"/>
    <w:rsid w:val="00BC43A9"/>
    <w:rsid w:val="00BC46FA"/>
    <w:rsid w:val="00BC5A33"/>
    <w:rsid w:val="00BC622C"/>
    <w:rsid w:val="00BD0813"/>
    <w:rsid w:val="00BD0B7C"/>
    <w:rsid w:val="00BD241F"/>
    <w:rsid w:val="00BD32CA"/>
    <w:rsid w:val="00BD3336"/>
    <w:rsid w:val="00BD403D"/>
    <w:rsid w:val="00BD5C05"/>
    <w:rsid w:val="00BD7002"/>
    <w:rsid w:val="00BE244C"/>
    <w:rsid w:val="00BE3C7B"/>
    <w:rsid w:val="00BE6646"/>
    <w:rsid w:val="00BF0293"/>
    <w:rsid w:val="00BF04E5"/>
    <w:rsid w:val="00BF11E1"/>
    <w:rsid w:val="00BF1602"/>
    <w:rsid w:val="00BF1E82"/>
    <w:rsid w:val="00BF2E42"/>
    <w:rsid w:val="00BF4D39"/>
    <w:rsid w:val="00BF586C"/>
    <w:rsid w:val="00BF6512"/>
    <w:rsid w:val="00C0124D"/>
    <w:rsid w:val="00C03B34"/>
    <w:rsid w:val="00C0427F"/>
    <w:rsid w:val="00C04E4F"/>
    <w:rsid w:val="00C060F4"/>
    <w:rsid w:val="00C0726F"/>
    <w:rsid w:val="00C102B5"/>
    <w:rsid w:val="00C108C5"/>
    <w:rsid w:val="00C10EB0"/>
    <w:rsid w:val="00C1133F"/>
    <w:rsid w:val="00C1243E"/>
    <w:rsid w:val="00C12819"/>
    <w:rsid w:val="00C13A05"/>
    <w:rsid w:val="00C14296"/>
    <w:rsid w:val="00C14302"/>
    <w:rsid w:val="00C148C1"/>
    <w:rsid w:val="00C150A3"/>
    <w:rsid w:val="00C17370"/>
    <w:rsid w:val="00C17699"/>
    <w:rsid w:val="00C201C2"/>
    <w:rsid w:val="00C228F8"/>
    <w:rsid w:val="00C22F96"/>
    <w:rsid w:val="00C23047"/>
    <w:rsid w:val="00C23138"/>
    <w:rsid w:val="00C235CA"/>
    <w:rsid w:val="00C25CB9"/>
    <w:rsid w:val="00C266D9"/>
    <w:rsid w:val="00C27641"/>
    <w:rsid w:val="00C305C3"/>
    <w:rsid w:val="00C30E53"/>
    <w:rsid w:val="00C31761"/>
    <w:rsid w:val="00C3181C"/>
    <w:rsid w:val="00C32E7A"/>
    <w:rsid w:val="00C33550"/>
    <w:rsid w:val="00C34A5B"/>
    <w:rsid w:val="00C35FA9"/>
    <w:rsid w:val="00C367C5"/>
    <w:rsid w:val="00C3691C"/>
    <w:rsid w:val="00C42259"/>
    <w:rsid w:val="00C422BC"/>
    <w:rsid w:val="00C42B47"/>
    <w:rsid w:val="00C43241"/>
    <w:rsid w:val="00C44BBE"/>
    <w:rsid w:val="00C469A4"/>
    <w:rsid w:val="00C47DDD"/>
    <w:rsid w:val="00C504B8"/>
    <w:rsid w:val="00C507C3"/>
    <w:rsid w:val="00C514DF"/>
    <w:rsid w:val="00C52188"/>
    <w:rsid w:val="00C5358D"/>
    <w:rsid w:val="00C54055"/>
    <w:rsid w:val="00C56AB8"/>
    <w:rsid w:val="00C56D03"/>
    <w:rsid w:val="00C607F8"/>
    <w:rsid w:val="00C61603"/>
    <w:rsid w:val="00C6193D"/>
    <w:rsid w:val="00C619B8"/>
    <w:rsid w:val="00C62381"/>
    <w:rsid w:val="00C62BBB"/>
    <w:rsid w:val="00C6302E"/>
    <w:rsid w:val="00C630D3"/>
    <w:rsid w:val="00C63B3B"/>
    <w:rsid w:val="00C646BE"/>
    <w:rsid w:val="00C649EB"/>
    <w:rsid w:val="00C64AD3"/>
    <w:rsid w:val="00C656FE"/>
    <w:rsid w:val="00C6578C"/>
    <w:rsid w:val="00C66A8B"/>
    <w:rsid w:val="00C67EEA"/>
    <w:rsid w:val="00C702DD"/>
    <w:rsid w:val="00C729CC"/>
    <w:rsid w:val="00C731DD"/>
    <w:rsid w:val="00C731E8"/>
    <w:rsid w:val="00C73B26"/>
    <w:rsid w:val="00C7442D"/>
    <w:rsid w:val="00C74EA3"/>
    <w:rsid w:val="00C75F8B"/>
    <w:rsid w:val="00C75FB6"/>
    <w:rsid w:val="00C76D61"/>
    <w:rsid w:val="00C770B0"/>
    <w:rsid w:val="00C80108"/>
    <w:rsid w:val="00C8085F"/>
    <w:rsid w:val="00C82F89"/>
    <w:rsid w:val="00C83049"/>
    <w:rsid w:val="00C832E2"/>
    <w:rsid w:val="00C83B2F"/>
    <w:rsid w:val="00C83DF8"/>
    <w:rsid w:val="00C84FA2"/>
    <w:rsid w:val="00C85606"/>
    <w:rsid w:val="00C858FA"/>
    <w:rsid w:val="00C8699C"/>
    <w:rsid w:val="00C86A37"/>
    <w:rsid w:val="00C86B66"/>
    <w:rsid w:val="00C86BFA"/>
    <w:rsid w:val="00C87DCF"/>
    <w:rsid w:val="00C87F25"/>
    <w:rsid w:val="00C9016E"/>
    <w:rsid w:val="00C90DC5"/>
    <w:rsid w:val="00C91099"/>
    <w:rsid w:val="00C945DD"/>
    <w:rsid w:val="00C95F8C"/>
    <w:rsid w:val="00C96617"/>
    <w:rsid w:val="00C96DC5"/>
    <w:rsid w:val="00CA00C1"/>
    <w:rsid w:val="00CA0C59"/>
    <w:rsid w:val="00CA0DC9"/>
    <w:rsid w:val="00CA1331"/>
    <w:rsid w:val="00CA2025"/>
    <w:rsid w:val="00CA391F"/>
    <w:rsid w:val="00CA43A1"/>
    <w:rsid w:val="00CA4E97"/>
    <w:rsid w:val="00CA5249"/>
    <w:rsid w:val="00CA61B1"/>
    <w:rsid w:val="00CB1E21"/>
    <w:rsid w:val="00CB249C"/>
    <w:rsid w:val="00CB2DEC"/>
    <w:rsid w:val="00CB418A"/>
    <w:rsid w:val="00CB4A65"/>
    <w:rsid w:val="00CB59D1"/>
    <w:rsid w:val="00CB6669"/>
    <w:rsid w:val="00CB6852"/>
    <w:rsid w:val="00CB7214"/>
    <w:rsid w:val="00CC0560"/>
    <w:rsid w:val="00CC0F54"/>
    <w:rsid w:val="00CC191A"/>
    <w:rsid w:val="00CC2D0E"/>
    <w:rsid w:val="00CC3D0D"/>
    <w:rsid w:val="00CC544C"/>
    <w:rsid w:val="00CC5685"/>
    <w:rsid w:val="00CC5DB6"/>
    <w:rsid w:val="00CC6FA2"/>
    <w:rsid w:val="00CD1600"/>
    <w:rsid w:val="00CD16E2"/>
    <w:rsid w:val="00CD23DC"/>
    <w:rsid w:val="00CD2445"/>
    <w:rsid w:val="00CD27C9"/>
    <w:rsid w:val="00CD33C4"/>
    <w:rsid w:val="00CD3C42"/>
    <w:rsid w:val="00CD4231"/>
    <w:rsid w:val="00CD4424"/>
    <w:rsid w:val="00CD4A98"/>
    <w:rsid w:val="00CD5730"/>
    <w:rsid w:val="00CD5B9E"/>
    <w:rsid w:val="00CD6A99"/>
    <w:rsid w:val="00CE17A5"/>
    <w:rsid w:val="00CE22CD"/>
    <w:rsid w:val="00CE24B7"/>
    <w:rsid w:val="00CE44C5"/>
    <w:rsid w:val="00CE60E4"/>
    <w:rsid w:val="00CE6D6D"/>
    <w:rsid w:val="00CE6DD9"/>
    <w:rsid w:val="00CE7F29"/>
    <w:rsid w:val="00CF0E8C"/>
    <w:rsid w:val="00CF1C3C"/>
    <w:rsid w:val="00CF1E26"/>
    <w:rsid w:val="00CF1F0A"/>
    <w:rsid w:val="00CF3664"/>
    <w:rsid w:val="00CF4813"/>
    <w:rsid w:val="00CF49BC"/>
    <w:rsid w:val="00CF4F92"/>
    <w:rsid w:val="00CF561E"/>
    <w:rsid w:val="00CF6520"/>
    <w:rsid w:val="00CF65CD"/>
    <w:rsid w:val="00CF70C6"/>
    <w:rsid w:val="00CF7499"/>
    <w:rsid w:val="00CF7B71"/>
    <w:rsid w:val="00D0087E"/>
    <w:rsid w:val="00D0366F"/>
    <w:rsid w:val="00D044DD"/>
    <w:rsid w:val="00D04816"/>
    <w:rsid w:val="00D051DE"/>
    <w:rsid w:val="00D07D9F"/>
    <w:rsid w:val="00D100D5"/>
    <w:rsid w:val="00D1044D"/>
    <w:rsid w:val="00D105D7"/>
    <w:rsid w:val="00D11503"/>
    <w:rsid w:val="00D12613"/>
    <w:rsid w:val="00D12E33"/>
    <w:rsid w:val="00D12FDC"/>
    <w:rsid w:val="00D14796"/>
    <w:rsid w:val="00D14EF7"/>
    <w:rsid w:val="00D16119"/>
    <w:rsid w:val="00D1613E"/>
    <w:rsid w:val="00D16D7D"/>
    <w:rsid w:val="00D17021"/>
    <w:rsid w:val="00D17ACB"/>
    <w:rsid w:val="00D20077"/>
    <w:rsid w:val="00D2052A"/>
    <w:rsid w:val="00D205A9"/>
    <w:rsid w:val="00D21F04"/>
    <w:rsid w:val="00D2211A"/>
    <w:rsid w:val="00D23445"/>
    <w:rsid w:val="00D241B0"/>
    <w:rsid w:val="00D26EB7"/>
    <w:rsid w:val="00D26F88"/>
    <w:rsid w:val="00D308D9"/>
    <w:rsid w:val="00D30DD9"/>
    <w:rsid w:val="00D318A3"/>
    <w:rsid w:val="00D3373C"/>
    <w:rsid w:val="00D349D1"/>
    <w:rsid w:val="00D35AE2"/>
    <w:rsid w:val="00D35FBB"/>
    <w:rsid w:val="00D375DC"/>
    <w:rsid w:val="00D40DDB"/>
    <w:rsid w:val="00D40F39"/>
    <w:rsid w:val="00D4206D"/>
    <w:rsid w:val="00D4229E"/>
    <w:rsid w:val="00D42E75"/>
    <w:rsid w:val="00D430B1"/>
    <w:rsid w:val="00D52863"/>
    <w:rsid w:val="00D52BFD"/>
    <w:rsid w:val="00D53356"/>
    <w:rsid w:val="00D53731"/>
    <w:rsid w:val="00D5513A"/>
    <w:rsid w:val="00D55857"/>
    <w:rsid w:val="00D565A0"/>
    <w:rsid w:val="00D572EB"/>
    <w:rsid w:val="00D578AD"/>
    <w:rsid w:val="00D61CBA"/>
    <w:rsid w:val="00D61F41"/>
    <w:rsid w:val="00D62C77"/>
    <w:rsid w:val="00D62DA7"/>
    <w:rsid w:val="00D646E1"/>
    <w:rsid w:val="00D650E2"/>
    <w:rsid w:val="00D65868"/>
    <w:rsid w:val="00D65B37"/>
    <w:rsid w:val="00D66419"/>
    <w:rsid w:val="00D673CC"/>
    <w:rsid w:val="00D674D5"/>
    <w:rsid w:val="00D679DE"/>
    <w:rsid w:val="00D7081E"/>
    <w:rsid w:val="00D7232F"/>
    <w:rsid w:val="00D726E8"/>
    <w:rsid w:val="00D72A13"/>
    <w:rsid w:val="00D743B6"/>
    <w:rsid w:val="00D74957"/>
    <w:rsid w:val="00D77F94"/>
    <w:rsid w:val="00D80059"/>
    <w:rsid w:val="00D80567"/>
    <w:rsid w:val="00D80D3A"/>
    <w:rsid w:val="00D816C2"/>
    <w:rsid w:val="00D81B3B"/>
    <w:rsid w:val="00D826A5"/>
    <w:rsid w:val="00D83000"/>
    <w:rsid w:val="00D83C2E"/>
    <w:rsid w:val="00D84113"/>
    <w:rsid w:val="00D84E89"/>
    <w:rsid w:val="00D855FA"/>
    <w:rsid w:val="00D86132"/>
    <w:rsid w:val="00D86978"/>
    <w:rsid w:val="00D86EBB"/>
    <w:rsid w:val="00D87E66"/>
    <w:rsid w:val="00D92514"/>
    <w:rsid w:val="00D92CFA"/>
    <w:rsid w:val="00D92DC5"/>
    <w:rsid w:val="00D92E2E"/>
    <w:rsid w:val="00D94F12"/>
    <w:rsid w:val="00D958CD"/>
    <w:rsid w:val="00D963C2"/>
    <w:rsid w:val="00D9793F"/>
    <w:rsid w:val="00DA06D6"/>
    <w:rsid w:val="00DA1A87"/>
    <w:rsid w:val="00DB2075"/>
    <w:rsid w:val="00DB3839"/>
    <w:rsid w:val="00DB3842"/>
    <w:rsid w:val="00DB3FC3"/>
    <w:rsid w:val="00DB525D"/>
    <w:rsid w:val="00DB55B9"/>
    <w:rsid w:val="00DB5810"/>
    <w:rsid w:val="00DB5A25"/>
    <w:rsid w:val="00DB6EE5"/>
    <w:rsid w:val="00DC1EF2"/>
    <w:rsid w:val="00DC2413"/>
    <w:rsid w:val="00DC27D5"/>
    <w:rsid w:val="00DC364D"/>
    <w:rsid w:val="00DC3CE7"/>
    <w:rsid w:val="00DC4D6D"/>
    <w:rsid w:val="00DC4E9E"/>
    <w:rsid w:val="00DC5857"/>
    <w:rsid w:val="00DC70C4"/>
    <w:rsid w:val="00DC739A"/>
    <w:rsid w:val="00DD027E"/>
    <w:rsid w:val="00DD09E2"/>
    <w:rsid w:val="00DD29DC"/>
    <w:rsid w:val="00DD37ED"/>
    <w:rsid w:val="00DD43ED"/>
    <w:rsid w:val="00DD4E93"/>
    <w:rsid w:val="00DD4F5E"/>
    <w:rsid w:val="00DD50A2"/>
    <w:rsid w:val="00DD5AF3"/>
    <w:rsid w:val="00DD5BBB"/>
    <w:rsid w:val="00DD64D3"/>
    <w:rsid w:val="00DD6630"/>
    <w:rsid w:val="00DD6F16"/>
    <w:rsid w:val="00DE09D9"/>
    <w:rsid w:val="00DE16B9"/>
    <w:rsid w:val="00DE1C54"/>
    <w:rsid w:val="00DE1FE6"/>
    <w:rsid w:val="00DE225B"/>
    <w:rsid w:val="00DE2A7A"/>
    <w:rsid w:val="00DE30A8"/>
    <w:rsid w:val="00DE4F59"/>
    <w:rsid w:val="00DE5255"/>
    <w:rsid w:val="00DE53C8"/>
    <w:rsid w:val="00DE57CC"/>
    <w:rsid w:val="00DE63F9"/>
    <w:rsid w:val="00DE691B"/>
    <w:rsid w:val="00DE7B51"/>
    <w:rsid w:val="00DF1A83"/>
    <w:rsid w:val="00DF2328"/>
    <w:rsid w:val="00DF238C"/>
    <w:rsid w:val="00DF2412"/>
    <w:rsid w:val="00DF4393"/>
    <w:rsid w:val="00DF4904"/>
    <w:rsid w:val="00DF4A58"/>
    <w:rsid w:val="00DF727B"/>
    <w:rsid w:val="00DF7303"/>
    <w:rsid w:val="00E021E3"/>
    <w:rsid w:val="00E02C99"/>
    <w:rsid w:val="00E03A09"/>
    <w:rsid w:val="00E03E13"/>
    <w:rsid w:val="00E04447"/>
    <w:rsid w:val="00E046D7"/>
    <w:rsid w:val="00E0476D"/>
    <w:rsid w:val="00E05293"/>
    <w:rsid w:val="00E06970"/>
    <w:rsid w:val="00E079CA"/>
    <w:rsid w:val="00E1167F"/>
    <w:rsid w:val="00E121BA"/>
    <w:rsid w:val="00E133EB"/>
    <w:rsid w:val="00E15CA5"/>
    <w:rsid w:val="00E16A90"/>
    <w:rsid w:val="00E16ACC"/>
    <w:rsid w:val="00E177DC"/>
    <w:rsid w:val="00E17C09"/>
    <w:rsid w:val="00E20A2C"/>
    <w:rsid w:val="00E21A7A"/>
    <w:rsid w:val="00E221CD"/>
    <w:rsid w:val="00E22258"/>
    <w:rsid w:val="00E23580"/>
    <w:rsid w:val="00E23D98"/>
    <w:rsid w:val="00E24A1D"/>
    <w:rsid w:val="00E24AC4"/>
    <w:rsid w:val="00E24C23"/>
    <w:rsid w:val="00E251B6"/>
    <w:rsid w:val="00E253E9"/>
    <w:rsid w:val="00E30B88"/>
    <w:rsid w:val="00E30D4A"/>
    <w:rsid w:val="00E313DA"/>
    <w:rsid w:val="00E3211C"/>
    <w:rsid w:val="00E327AF"/>
    <w:rsid w:val="00E32A95"/>
    <w:rsid w:val="00E32DD1"/>
    <w:rsid w:val="00E34923"/>
    <w:rsid w:val="00E34CA5"/>
    <w:rsid w:val="00E35AB6"/>
    <w:rsid w:val="00E35E89"/>
    <w:rsid w:val="00E36862"/>
    <w:rsid w:val="00E36B4D"/>
    <w:rsid w:val="00E36E2D"/>
    <w:rsid w:val="00E37F3C"/>
    <w:rsid w:val="00E404F9"/>
    <w:rsid w:val="00E40D9A"/>
    <w:rsid w:val="00E414CC"/>
    <w:rsid w:val="00E41F46"/>
    <w:rsid w:val="00E425CC"/>
    <w:rsid w:val="00E43E98"/>
    <w:rsid w:val="00E43EA6"/>
    <w:rsid w:val="00E44139"/>
    <w:rsid w:val="00E4491D"/>
    <w:rsid w:val="00E467E7"/>
    <w:rsid w:val="00E46DC8"/>
    <w:rsid w:val="00E50F60"/>
    <w:rsid w:val="00E52BC2"/>
    <w:rsid w:val="00E52F2E"/>
    <w:rsid w:val="00E539E7"/>
    <w:rsid w:val="00E54091"/>
    <w:rsid w:val="00E55A71"/>
    <w:rsid w:val="00E600DE"/>
    <w:rsid w:val="00E61756"/>
    <w:rsid w:val="00E61B23"/>
    <w:rsid w:val="00E622DE"/>
    <w:rsid w:val="00E62AC3"/>
    <w:rsid w:val="00E65489"/>
    <w:rsid w:val="00E65B7B"/>
    <w:rsid w:val="00E665A1"/>
    <w:rsid w:val="00E66BA4"/>
    <w:rsid w:val="00E66F0F"/>
    <w:rsid w:val="00E674D1"/>
    <w:rsid w:val="00E7095D"/>
    <w:rsid w:val="00E70B83"/>
    <w:rsid w:val="00E71A79"/>
    <w:rsid w:val="00E71B33"/>
    <w:rsid w:val="00E71F2C"/>
    <w:rsid w:val="00E72C05"/>
    <w:rsid w:val="00E72FFF"/>
    <w:rsid w:val="00E73233"/>
    <w:rsid w:val="00E7574C"/>
    <w:rsid w:val="00E775D2"/>
    <w:rsid w:val="00E80CC5"/>
    <w:rsid w:val="00E80D40"/>
    <w:rsid w:val="00E81AE0"/>
    <w:rsid w:val="00E81CC9"/>
    <w:rsid w:val="00E825CA"/>
    <w:rsid w:val="00E84118"/>
    <w:rsid w:val="00E84B8C"/>
    <w:rsid w:val="00E857E0"/>
    <w:rsid w:val="00E85C7D"/>
    <w:rsid w:val="00E86979"/>
    <w:rsid w:val="00E909DE"/>
    <w:rsid w:val="00E920C3"/>
    <w:rsid w:val="00E92252"/>
    <w:rsid w:val="00E92EF9"/>
    <w:rsid w:val="00E943E9"/>
    <w:rsid w:val="00E95956"/>
    <w:rsid w:val="00E95B0B"/>
    <w:rsid w:val="00E95D65"/>
    <w:rsid w:val="00EA1519"/>
    <w:rsid w:val="00EA1D11"/>
    <w:rsid w:val="00EA2C89"/>
    <w:rsid w:val="00EA3214"/>
    <w:rsid w:val="00EA33DC"/>
    <w:rsid w:val="00EA488D"/>
    <w:rsid w:val="00EA69D9"/>
    <w:rsid w:val="00EA7209"/>
    <w:rsid w:val="00EA7EAD"/>
    <w:rsid w:val="00EB0407"/>
    <w:rsid w:val="00EB0536"/>
    <w:rsid w:val="00EB0C77"/>
    <w:rsid w:val="00EB16BD"/>
    <w:rsid w:val="00EB2587"/>
    <w:rsid w:val="00EB42A8"/>
    <w:rsid w:val="00EB4D0E"/>
    <w:rsid w:val="00EB4F4C"/>
    <w:rsid w:val="00EB5573"/>
    <w:rsid w:val="00EB5601"/>
    <w:rsid w:val="00EB7CAD"/>
    <w:rsid w:val="00EC0DE7"/>
    <w:rsid w:val="00EC19BD"/>
    <w:rsid w:val="00EC2B10"/>
    <w:rsid w:val="00EC501A"/>
    <w:rsid w:val="00EC526F"/>
    <w:rsid w:val="00EC5C01"/>
    <w:rsid w:val="00EC5E36"/>
    <w:rsid w:val="00EC6BEC"/>
    <w:rsid w:val="00EC7FDA"/>
    <w:rsid w:val="00ED0A58"/>
    <w:rsid w:val="00ED0A75"/>
    <w:rsid w:val="00ED3B39"/>
    <w:rsid w:val="00EE032A"/>
    <w:rsid w:val="00EE09C0"/>
    <w:rsid w:val="00EE1E45"/>
    <w:rsid w:val="00EE1F19"/>
    <w:rsid w:val="00EE25AC"/>
    <w:rsid w:val="00EE2640"/>
    <w:rsid w:val="00EE3D20"/>
    <w:rsid w:val="00EE3D60"/>
    <w:rsid w:val="00EE65E8"/>
    <w:rsid w:val="00EE6E58"/>
    <w:rsid w:val="00EE7AA9"/>
    <w:rsid w:val="00EF08E3"/>
    <w:rsid w:val="00EF0985"/>
    <w:rsid w:val="00EF1523"/>
    <w:rsid w:val="00EF2E4D"/>
    <w:rsid w:val="00EF3251"/>
    <w:rsid w:val="00EF3427"/>
    <w:rsid w:val="00EF358E"/>
    <w:rsid w:val="00EF5074"/>
    <w:rsid w:val="00F0069F"/>
    <w:rsid w:val="00F00DFB"/>
    <w:rsid w:val="00F020F8"/>
    <w:rsid w:val="00F0223C"/>
    <w:rsid w:val="00F024B0"/>
    <w:rsid w:val="00F0278D"/>
    <w:rsid w:val="00F049D8"/>
    <w:rsid w:val="00F07B63"/>
    <w:rsid w:val="00F10410"/>
    <w:rsid w:val="00F106C4"/>
    <w:rsid w:val="00F10924"/>
    <w:rsid w:val="00F11871"/>
    <w:rsid w:val="00F11A2B"/>
    <w:rsid w:val="00F1229F"/>
    <w:rsid w:val="00F129CC"/>
    <w:rsid w:val="00F13164"/>
    <w:rsid w:val="00F13A28"/>
    <w:rsid w:val="00F1548E"/>
    <w:rsid w:val="00F15CEC"/>
    <w:rsid w:val="00F15DF0"/>
    <w:rsid w:val="00F16569"/>
    <w:rsid w:val="00F170EF"/>
    <w:rsid w:val="00F17594"/>
    <w:rsid w:val="00F178DE"/>
    <w:rsid w:val="00F17EF3"/>
    <w:rsid w:val="00F17FCA"/>
    <w:rsid w:val="00F20E99"/>
    <w:rsid w:val="00F22162"/>
    <w:rsid w:val="00F239A7"/>
    <w:rsid w:val="00F24FEC"/>
    <w:rsid w:val="00F275EB"/>
    <w:rsid w:val="00F27EDF"/>
    <w:rsid w:val="00F30141"/>
    <w:rsid w:val="00F31A7E"/>
    <w:rsid w:val="00F31ECF"/>
    <w:rsid w:val="00F34445"/>
    <w:rsid w:val="00F34BA8"/>
    <w:rsid w:val="00F36BC9"/>
    <w:rsid w:val="00F40B38"/>
    <w:rsid w:val="00F40E73"/>
    <w:rsid w:val="00F41252"/>
    <w:rsid w:val="00F43209"/>
    <w:rsid w:val="00F444B7"/>
    <w:rsid w:val="00F45304"/>
    <w:rsid w:val="00F45B30"/>
    <w:rsid w:val="00F46AB9"/>
    <w:rsid w:val="00F46B5A"/>
    <w:rsid w:val="00F46CC7"/>
    <w:rsid w:val="00F47633"/>
    <w:rsid w:val="00F47AA9"/>
    <w:rsid w:val="00F47BAB"/>
    <w:rsid w:val="00F50586"/>
    <w:rsid w:val="00F50E71"/>
    <w:rsid w:val="00F51597"/>
    <w:rsid w:val="00F5160D"/>
    <w:rsid w:val="00F519E6"/>
    <w:rsid w:val="00F51BCD"/>
    <w:rsid w:val="00F52633"/>
    <w:rsid w:val="00F53DC4"/>
    <w:rsid w:val="00F54B33"/>
    <w:rsid w:val="00F57032"/>
    <w:rsid w:val="00F579BD"/>
    <w:rsid w:val="00F6104A"/>
    <w:rsid w:val="00F63202"/>
    <w:rsid w:val="00F644AB"/>
    <w:rsid w:val="00F65154"/>
    <w:rsid w:val="00F65292"/>
    <w:rsid w:val="00F66234"/>
    <w:rsid w:val="00F67EA9"/>
    <w:rsid w:val="00F70670"/>
    <w:rsid w:val="00F73CA5"/>
    <w:rsid w:val="00F73F81"/>
    <w:rsid w:val="00F74A4B"/>
    <w:rsid w:val="00F75114"/>
    <w:rsid w:val="00F75254"/>
    <w:rsid w:val="00F75CA3"/>
    <w:rsid w:val="00F76899"/>
    <w:rsid w:val="00F76B77"/>
    <w:rsid w:val="00F76BB3"/>
    <w:rsid w:val="00F77457"/>
    <w:rsid w:val="00F80225"/>
    <w:rsid w:val="00F80238"/>
    <w:rsid w:val="00F81026"/>
    <w:rsid w:val="00F82DC0"/>
    <w:rsid w:val="00F83572"/>
    <w:rsid w:val="00F8357C"/>
    <w:rsid w:val="00F83DDF"/>
    <w:rsid w:val="00F845E6"/>
    <w:rsid w:val="00F85E4C"/>
    <w:rsid w:val="00F86053"/>
    <w:rsid w:val="00F86215"/>
    <w:rsid w:val="00F86688"/>
    <w:rsid w:val="00F866CD"/>
    <w:rsid w:val="00F8713D"/>
    <w:rsid w:val="00F874AA"/>
    <w:rsid w:val="00F87ECD"/>
    <w:rsid w:val="00F90B68"/>
    <w:rsid w:val="00F90BFC"/>
    <w:rsid w:val="00F91888"/>
    <w:rsid w:val="00F93E46"/>
    <w:rsid w:val="00F942D5"/>
    <w:rsid w:val="00F947AE"/>
    <w:rsid w:val="00F94EF4"/>
    <w:rsid w:val="00FA0A5E"/>
    <w:rsid w:val="00FA1C4A"/>
    <w:rsid w:val="00FA284E"/>
    <w:rsid w:val="00FA3625"/>
    <w:rsid w:val="00FA3C6D"/>
    <w:rsid w:val="00FA5070"/>
    <w:rsid w:val="00FA554A"/>
    <w:rsid w:val="00FA64DA"/>
    <w:rsid w:val="00FA652A"/>
    <w:rsid w:val="00FA6595"/>
    <w:rsid w:val="00FA74CE"/>
    <w:rsid w:val="00FA7D7E"/>
    <w:rsid w:val="00FB1B4E"/>
    <w:rsid w:val="00FB2181"/>
    <w:rsid w:val="00FB4C0B"/>
    <w:rsid w:val="00FB4C29"/>
    <w:rsid w:val="00FB56E7"/>
    <w:rsid w:val="00FB5B8C"/>
    <w:rsid w:val="00FB5BF5"/>
    <w:rsid w:val="00FB659D"/>
    <w:rsid w:val="00FB6C47"/>
    <w:rsid w:val="00FB6E01"/>
    <w:rsid w:val="00FB702E"/>
    <w:rsid w:val="00FB714E"/>
    <w:rsid w:val="00FB7E2B"/>
    <w:rsid w:val="00FC1729"/>
    <w:rsid w:val="00FC21E2"/>
    <w:rsid w:val="00FC2995"/>
    <w:rsid w:val="00FC345F"/>
    <w:rsid w:val="00FC3DAF"/>
    <w:rsid w:val="00FC3DFB"/>
    <w:rsid w:val="00FC45F0"/>
    <w:rsid w:val="00FC4922"/>
    <w:rsid w:val="00FC4B72"/>
    <w:rsid w:val="00FC4D89"/>
    <w:rsid w:val="00FC4E3D"/>
    <w:rsid w:val="00FC5206"/>
    <w:rsid w:val="00FC550F"/>
    <w:rsid w:val="00FC5FFF"/>
    <w:rsid w:val="00FD028C"/>
    <w:rsid w:val="00FD1382"/>
    <w:rsid w:val="00FD158C"/>
    <w:rsid w:val="00FD1C3F"/>
    <w:rsid w:val="00FD2217"/>
    <w:rsid w:val="00FD4318"/>
    <w:rsid w:val="00FD5AA1"/>
    <w:rsid w:val="00FD5B55"/>
    <w:rsid w:val="00FD6D47"/>
    <w:rsid w:val="00FD76CC"/>
    <w:rsid w:val="00FE097C"/>
    <w:rsid w:val="00FE0CF9"/>
    <w:rsid w:val="00FE2EC3"/>
    <w:rsid w:val="00FE3F4D"/>
    <w:rsid w:val="00FE4067"/>
    <w:rsid w:val="00FE45A9"/>
    <w:rsid w:val="00FE5074"/>
    <w:rsid w:val="00FE5DBC"/>
    <w:rsid w:val="00FE6FDC"/>
    <w:rsid w:val="00FE71D7"/>
    <w:rsid w:val="00FF014F"/>
    <w:rsid w:val="00FF03D7"/>
    <w:rsid w:val="00FF1A57"/>
    <w:rsid w:val="00FF1F1D"/>
    <w:rsid w:val="00FF2708"/>
    <w:rsid w:val="00FF332D"/>
    <w:rsid w:val="00FF3397"/>
    <w:rsid w:val="00FF4B9B"/>
    <w:rsid w:val="00FF570D"/>
    <w:rsid w:val="00FF6451"/>
    <w:rsid w:val="00FF659D"/>
    <w:rsid w:val="00FF6C52"/>
    <w:rsid w:val="00FF73DB"/>
    <w:rsid w:val="00FF745C"/>
    <w:rsid w:val="00FF793B"/>
    <w:rsid w:val="00FF7BA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style="mso-position-vertical-relative:page;v-text-anchor:bottom" fill="f" fillcolor="white" stroke="f">
      <v:fill color="white" on="f"/>
      <v:stroke on="f"/>
      <v:textbox inset="0,0,0,0"/>
      <o:colormru v:ext="edit" colors="#ddd,#f8f8f8"/>
    </o:shapedefaults>
    <o:shapelayout v:ext="edit">
      <o:idmap v:ext="edit" data="1"/>
    </o:shapelayout>
  </w:shapeDefaults>
  <w:decimalSymbol w:val="."/>
  <w:listSeparator w:val=","/>
  <w14:docId w14:val="4D2914BF"/>
  <w15:docId w15:val="{15D6910B-70AA-424E-A8D5-22CEE34DF8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qFormat="1"/>
    <w:lsdException w:name="heading 4" w:uiPriority="71" w:qFormat="1"/>
    <w:lsdException w:name="heading 5" w:uiPriority="71" w:qFormat="1"/>
    <w:lsdException w:name="heading 6" w:qFormat="1"/>
    <w:lsdException w:name="heading 7" w:unhideWhenUsed="1" w:qFormat="1"/>
    <w:lsdException w:name="heading 8" w:unhideWhenUsed="1" w:qFormat="1"/>
    <w:lsdException w:name="heading 9"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0" w:unhideWhenUsed="1"/>
    <w:lsdException w:name="toc 5" w:uiPriority="0" w:unhideWhenUsed="1"/>
    <w:lsdException w:name="toc 6" w:uiPriority="0" w:unhideWhenUsed="1"/>
    <w:lsdException w:name="toc 7" w:uiPriority="0" w:unhideWhenUsed="1"/>
    <w:lsdException w:name="toc 8" w:uiPriority="0" w:unhideWhenUsed="1"/>
    <w:lsdException w:name="toc 9" w:uiPriority="0" w:unhideWhenUsed="1"/>
    <w:lsdException w:name="Normal Indent" w:locked="1" w:semiHidden="1" w:unhideWhenUsed="1"/>
    <w:lsdException w:name="footnote text" w:locked="1" w:semiHidden="1"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4"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0"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semiHidden="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Strong" w:uiPriority="22" w:qFormat="1"/>
    <w:lsdException w:name="Emphasis"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39"/>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869C0"/>
    <w:pPr>
      <w:spacing w:after="120"/>
    </w:pPr>
    <w:rPr>
      <w:rFonts w:eastAsia="Calibri"/>
      <w:color w:val="000000"/>
    </w:rPr>
  </w:style>
  <w:style w:type="paragraph" w:styleId="Heading1">
    <w:name w:val="heading 1"/>
    <w:next w:val="BodyText"/>
    <w:link w:val="Heading1Char"/>
    <w:uiPriority w:val="1"/>
    <w:qFormat/>
    <w:rsid w:val="00DC2413"/>
    <w:pPr>
      <w:keepNext/>
      <w:keepLines/>
      <w:pageBreakBefore/>
      <w:numPr>
        <w:numId w:val="13"/>
      </w:numPr>
      <w:tabs>
        <w:tab w:val="left" w:pos="1134"/>
      </w:tabs>
      <w:spacing w:after="960" w:line="480" w:lineRule="exact"/>
      <w:outlineLvl w:val="0"/>
    </w:pPr>
    <w:rPr>
      <w:rFonts w:eastAsiaTheme="majorEastAsia" w:cstheme="majorBidi"/>
      <w:b/>
      <w:bCs/>
      <w:color w:val="00313C" w:themeColor="accent2"/>
      <w:sz w:val="44"/>
      <w:szCs w:val="28"/>
    </w:rPr>
  </w:style>
  <w:style w:type="paragraph" w:styleId="Heading2">
    <w:name w:val="heading 2"/>
    <w:basedOn w:val="Heading1"/>
    <w:next w:val="BodyText"/>
    <w:link w:val="Heading2Char"/>
    <w:uiPriority w:val="1"/>
    <w:qFormat/>
    <w:rsid w:val="00A90F41"/>
    <w:pPr>
      <w:pageBreakBefore w:val="0"/>
      <w:numPr>
        <w:ilvl w:val="1"/>
      </w:numPr>
      <w:spacing w:before="360" w:after="240" w:line="240" w:lineRule="auto"/>
      <w:outlineLvl w:val="1"/>
    </w:pPr>
    <w:rPr>
      <w:b w:val="0"/>
      <w:sz w:val="32"/>
      <w:szCs w:val="26"/>
    </w:rPr>
  </w:style>
  <w:style w:type="paragraph" w:styleId="Heading3">
    <w:name w:val="heading 3"/>
    <w:basedOn w:val="Heading2"/>
    <w:next w:val="BodyText"/>
    <w:link w:val="Heading3Char"/>
    <w:uiPriority w:val="1"/>
    <w:qFormat/>
    <w:rsid w:val="00E71F2C"/>
    <w:pPr>
      <w:numPr>
        <w:ilvl w:val="2"/>
      </w:numPr>
      <w:outlineLvl w:val="2"/>
    </w:pPr>
    <w:rPr>
      <w:b/>
      <w:color w:val="auto"/>
      <w:sz w:val="26"/>
    </w:rPr>
  </w:style>
  <w:style w:type="paragraph" w:styleId="Heading4">
    <w:name w:val="heading 4"/>
    <w:basedOn w:val="Heading3"/>
    <w:next w:val="BodyText"/>
    <w:link w:val="Heading4Char"/>
    <w:uiPriority w:val="1"/>
    <w:qFormat/>
    <w:rsid w:val="00D1044D"/>
    <w:pPr>
      <w:numPr>
        <w:ilvl w:val="0"/>
        <w:numId w:val="0"/>
      </w:numPr>
      <w:spacing w:before="240" w:after="120"/>
      <w:outlineLvl w:val="3"/>
    </w:pPr>
    <w:rPr>
      <w:iCs/>
      <w:color w:val="007E9A" w:themeColor="accent1" w:themeShade="BF"/>
      <w:spacing w:val="1"/>
      <w:sz w:val="24"/>
    </w:rPr>
  </w:style>
  <w:style w:type="paragraph" w:styleId="Heading5">
    <w:name w:val="heading 5"/>
    <w:basedOn w:val="Heading4"/>
    <w:next w:val="BodyText"/>
    <w:link w:val="Heading5Char"/>
    <w:uiPriority w:val="1"/>
    <w:qFormat/>
    <w:rsid w:val="00C80108"/>
    <w:pPr>
      <w:outlineLvl w:val="4"/>
    </w:pPr>
    <w:rPr>
      <w:color w:val="auto"/>
      <w:sz w:val="22"/>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sz w:val="24"/>
      <w:szCs w:val="24"/>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sz w:val="24"/>
      <w:szCs w:val="24"/>
    </w:rPr>
  </w:style>
  <w:style w:type="paragraph" w:styleId="Heading9">
    <w:name w:val="heading 9"/>
    <w:aliases w:val="Appendix Heading 1"/>
    <w:basedOn w:val="AppendixHeading1base"/>
    <w:next w:val="BodyText"/>
    <w:link w:val="Heading9Char"/>
    <w:uiPriority w:val="10"/>
    <w:locked/>
    <w:rsid w:val="00D1044D"/>
    <w:pPr>
      <w:spacing w:after="1080"/>
      <w:outlineLvl w:val="8"/>
    </w:pPr>
    <w:rPr>
      <w:color w:val="00313C"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DC2413"/>
    <w:rPr>
      <w:rFonts w:eastAsiaTheme="majorEastAsia" w:cstheme="majorBidi"/>
      <w:b/>
      <w:bCs/>
      <w:color w:val="00313C" w:themeColor="accent2"/>
      <w:sz w:val="44"/>
      <w:szCs w:val="28"/>
    </w:rPr>
  </w:style>
  <w:style w:type="character" w:customStyle="1" w:styleId="Heading2Char">
    <w:name w:val="Heading 2 Char"/>
    <w:basedOn w:val="DefaultParagraphFont"/>
    <w:link w:val="Heading2"/>
    <w:uiPriority w:val="1"/>
    <w:locked/>
    <w:rsid w:val="00A90F41"/>
    <w:rPr>
      <w:rFonts w:eastAsiaTheme="majorEastAsia" w:cstheme="majorBidi"/>
      <w:bCs/>
      <w:color w:val="00313C" w:themeColor="accent2"/>
      <w:sz w:val="32"/>
      <w:szCs w:val="26"/>
    </w:rPr>
  </w:style>
  <w:style w:type="character" w:customStyle="1" w:styleId="Heading3Char">
    <w:name w:val="Heading 3 Char"/>
    <w:basedOn w:val="DefaultParagraphFont"/>
    <w:link w:val="Heading3"/>
    <w:uiPriority w:val="1"/>
    <w:locked/>
    <w:rsid w:val="00E71F2C"/>
    <w:rPr>
      <w:rFonts w:eastAsiaTheme="majorEastAsia" w:cstheme="majorBidi"/>
      <w:b/>
      <w:bCs/>
      <w:sz w:val="26"/>
      <w:szCs w:val="26"/>
    </w:rPr>
  </w:style>
  <w:style w:type="character" w:customStyle="1" w:styleId="Heading4Char">
    <w:name w:val="Heading 4 Char"/>
    <w:basedOn w:val="DefaultParagraphFont"/>
    <w:link w:val="Heading4"/>
    <w:uiPriority w:val="1"/>
    <w:locked/>
    <w:rsid w:val="00D1044D"/>
    <w:rPr>
      <w:rFonts w:eastAsiaTheme="majorEastAsia" w:cstheme="majorBidi"/>
      <w:b/>
      <w:bCs/>
      <w:iCs/>
      <w:color w:val="007E9A" w:themeColor="accent1" w:themeShade="BF"/>
      <w:spacing w:val="1"/>
      <w:sz w:val="24"/>
      <w:szCs w:val="26"/>
    </w:rPr>
  </w:style>
  <w:style w:type="character" w:customStyle="1" w:styleId="Heading5Char">
    <w:name w:val="Heading 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D1044D"/>
    <w:rPr>
      <w:rFonts w:eastAsiaTheme="majorEastAsia" w:cstheme="majorBidi"/>
      <w:b/>
      <w:bCs/>
      <w:color w:val="00313C" w:themeColor="accent2"/>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BodyText"/>
    <w:link w:val="FooterChar"/>
    <w:uiPriority w:val="99"/>
    <w:qFormat/>
    <w:rsid w:val="00DC2413"/>
    <w:pPr>
      <w:tabs>
        <w:tab w:val="center" w:pos="4513"/>
        <w:tab w:val="right" w:pos="9026"/>
      </w:tabs>
      <w:spacing w:before="0" w:line="220" w:lineRule="atLeast"/>
    </w:pPr>
    <w:rPr>
      <w:color w:val="auto"/>
      <w:sz w:val="16"/>
    </w:rPr>
  </w:style>
  <w:style w:type="character" w:customStyle="1" w:styleId="FooterChar">
    <w:name w:val="Footer Char"/>
    <w:basedOn w:val="DefaultParagraphFont"/>
    <w:link w:val="Footer"/>
    <w:uiPriority w:val="99"/>
    <w:locked/>
    <w:rsid w:val="00DC2413"/>
    <w:rPr>
      <w:rFonts w:eastAsia="Calibri"/>
      <w:sz w:val="16"/>
    </w:rPr>
  </w:style>
  <w:style w:type="paragraph" w:styleId="BalloonText">
    <w:name w:val="Balloon Text"/>
    <w:basedOn w:val="Normal"/>
    <w:link w:val="BalloonTextChar"/>
    <w:uiPriority w:val="99"/>
    <w:semiHidden/>
    <w:locked/>
    <w:rsid w:val="00064612"/>
    <w:pPr>
      <w:spacing w:after="0"/>
    </w:pPr>
    <w:rPr>
      <w:rFonts w:ascii="Tahoma" w:hAnsi="Tahoma" w:cs="Tahoma"/>
      <w:sz w:val="16"/>
      <w:szCs w:val="16"/>
    </w:rPr>
  </w:style>
  <w:style w:type="paragraph" w:styleId="ListBullet">
    <w:name w:val="List Bullet"/>
    <w:basedOn w:val="BodyText"/>
    <w:next w:val="BodyText"/>
    <w:uiPriority w:val="2"/>
    <w:qFormat/>
    <w:rsid w:val="00D349D1"/>
    <w:pPr>
      <w:numPr>
        <w:numId w:val="5"/>
      </w:numPr>
      <w:tabs>
        <w:tab w:val="left" w:pos="397"/>
      </w:tabs>
      <w:spacing w:before="60" w:after="60"/>
      <w:ind w:left="198" w:hanging="198"/>
    </w:pPr>
  </w:style>
  <w:style w:type="paragraph" w:styleId="ListNumber">
    <w:name w:val="List Number"/>
    <w:basedOn w:val="BodyText"/>
    <w:next w:val="BodyText"/>
    <w:uiPriority w:val="2"/>
    <w:qFormat/>
    <w:rsid w:val="00D349D1"/>
    <w:pPr>
      <w:numPr>
        <w:numId w:val="8"/>
      </w:numPr>
      <w:tabs>
        <w:tab w:val="clear" w:pos="227"/>
        <w:tab w:val="left" w:pos="397"/>
      </w:tabs>
      <w:ind w:left="397" w:hanging="397"/>
    </w:pPr>
  </w:style>
  <w:style w:type="paragraph" w:styleId="ListBullet2">
    <w:name w:val="List Bullet 2"/>
    <w:basedOn w:val="ListBullet"/>
    <w:next w:val="BodyText"/>
    <w:uiPriority w:val="2"/>
    <w:qFormat/>
    <w:rsid w:val="00D349D1"/>
    <w:pPr>
      <w:numPr>
        <w:ilvl w:val="1"/>
      </w:numPr>
      <w:tabs>
        <w:tab w:val="clear" w:pos="397"/>
        <w:tab w:val="left" w:pos="794"/>
      </w:tabs>
      <w:ind w:left="794" w:hanging="357"/>
    </w:pPr>
  </w:style>
  <w:style w:type="paragraph" w:styleId="TOC1">
    <w:name w:val="toc 1"/>
    <w:basedOn w:val="BodyText"/>
    <w:next w:val="TOC2"/>
    <w:uiPriority w:val="39"/>
    <w:unhideWhenUsed/>
    <w:rsid w:val="00DC2413"/>
    <w:pPr>
      <w:pBdr>
        <w:top w:val="single" w:sz="4" w:space="1" w:color="00313C" w:themeColor="accent2"/>
        <w:left w:val="single" w:sz="4" w:space="4" w:color="00313C" w:themeColor="accent2"/>
        <w:bottom w:val="single" w:sz="4" w:space="1" w:color="00313C" w:themeColor="accent2"/>
        <w:right w:val="single" w:sz="4" w:space="4" w:color="00313C" w:themeColor="accent2"/>
      </w:pBdr>
      <w:shd w:val="clear" w:color="auto" w:fill="00313C" w:themeFill="accent2"/>
      <w:tabs>
        <w:tab w:val="left" w:pos="737"/>
        <w:tab w:val="right" w:pos="9639"/>
      </w:tabs>
      <w:spacing w:before="240" w:after="180"/>
    </w:pPr>
    <w:rPr>
      <w:b/>
      <w:noProof/>
      <w:color w:val="FFFFFF"/>
    </w:rPr>
  </w:style>
  <w:style w:type="paragraph" w:styleId="TOC2">
    <w:name w:val="toc 2"/>
    <w:basedOn w:val="BodyText"/>
    <w:uiPriority w:val="39"/>
    <w:unhideWhenUsed/>
    <w:rsid w:val="00A23FE4"/>
    <w:pPr>
      <w:tabs>
        <w:tab w:val="left" w:pos="737"/>
        <w:tab w:val="left" w:pos="1531"/>
        <w:tab w:val="right" w:leader="dot" w:pos="9639"/>
      </w:tabs>
      <w:ind w:right="284"/>
    </w:pPr>
    <w:rPr>
      <w:noProof/>
      <w:color w:val="00313C" w:themeColor="accent2"/>
    </w:rPr>
  </w:style>
  <w:style w:type="table" w:styleId="TableGrid">
    <w:name w:val="Table Grid"/>
    <w:basedOn w:val="TableNormal"/>
    <w:uiPriority w:val="3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BodyText"/>
    <w:uiPriority w:val="39"/>
    <w:unhideWhenUsed/>
    <w:rsid w:val="00A23FE4"/>
    <w:pPr>
      <w:tabs>
        <w:tab w:val="left" w:pos="1531"/>
        <w:tab w:val="right" w:leader="dot" w:pos="9639"/>
      </w:tabs>
      <w:spacing w:before="60"/>
      <w:ind w:left="737" w:right="284"/>
    </w:pPr>
    <w:rPr>
      <w:color w:val="00313C" w:themeColor="accent2"/>
    </w:rPr>
  </w:style>
  <w:style w:type="paragraph" w:customStyle="1" w:styleId="CoverTitle">
    <w:name w:val="CoverTitle"/>
    <w:next w:val="CoverSubtitle"/>
    <w:uiPriority w:val="12"/>
    <w:qFormat/>
    <w:rsid w:val="00F77457"/>
    <w:pPr>
      <w:spacing w:after="170" w:line="216" w:lineRule="auto"/>
    </w:pPr>
    <w:rPr>
      <w:rFonts w:eastAsiaTheme="majorEastAsia" w:cstheme="majorBidi"/>
      <w:b/>
      <w:color w:val="00313C" w:themeColor="accent2"/>
      <w:spacing w:val="5"/>
      <w:kern w:val="28"/>
      <w:sz w:val="80"/>
      <w:szCs w:val="52"/>
    </w:rPr>
  </w:style>
  <w:style w:type="paragraph" w:customStyle="1" w:styleId="PartTitle">
    <w:name w:val="PartTitle"/>
    <w:next w:val="PartSubtitle"/>
    <w:uiPriority w:val="15"/>
    <w:qFormat/>
    <w:rsid w:val="004E5109"/>
    <w:pPr>
      <w:keepNext/>
      <w:tabs>
        <w:tab w:val="left" w:pos="2552"/>
      </w:tabs>
      <w:ind w:left="2552" w:hanging="2552"/>
      <w:outlineLvl w:val="0"/>
    </w:pPr>
    <w:rPr>
      <w:rFonts w:eastAsia="Calibri"/>
      <w:b/>
      <w:color w:val="007E9A" w:themeColor="accent1" w:themeShade="BF"/>
      <w:sz w:val="80"/>
    </w:rPr>
  </w:style>
  <w:style w:type="paragraph" w:customStyle="1" w:styleId="PartSubtitle">
    <w:name w:val="PartSubtitle"/>
    <w:basedOn w:val="PartTitle"/>
    <w:next w:val="BodyText"/>
    <w:uiPriority w:val="15"/>
    <w:qFormat/>
    <w:rsid w:val="00D1044D"/>
    <w:pPr>
      <w:spacing w:before="360" w:after="240" w:line="340" w:lineRule="atLeast"/>
      <w:outlineLvl w:val="9"/>
    </w:pPr>
    <w:rPr>
      <w:b w:val="0"/>
      <w:color w:val="00313C" w:themeColor="accent2"/>
      <w:sz w:val="34"/>
    </w:rPr>
  </w:style>
  <w:style w:type="paragraph" w:customStyle="1" w:styleId="ListofFiguresandTablesTOCHeading">
    <w:name w:val="List of Figures and Tables TOC Heading"/>
    <w:basedOn w:val="TOCHeading"/>
    <w:next w:val="TableofFigures"/>
    <w:uiPriority w:val="14"/>
    <w:qFormat/>
    <w:rsid w:val="00D1044D"/>
  </w:style>
  <w:style w:type="paragraph" w:styleId="ListBullet3">
    <w:name w:val="List Bullet 3"/>
    <w:basedOn w:val="ListBullet2"/>
    <w:uiPriority w:val="2"/>
    <w:rsid w:val="00D349D1"/>
    <w:pPr>
      <w:numPr>
        <w:ilvl w:val="0"/>
        <w:numId w:val="15"/>
      </w:numPr>
      <w:tabs>
        <w:tab w:val="clear" w:pos="794"/>
        <w:tab w:val="left" w:pos="851"/>
      </w:tabs>
      <w:ind w:left="1497" w:hanging="340"/>
    </w:pPr>
  </w:style>
  <w:style w:type="paragraph" w:styleId="FootnoteText">
    <w:name w:val="footnote text"/>
    <w:basedOn w:val="BodyText"/>
    <w:link w:val="FootnoteTextChar"/>
    <w:uiPriority w:val="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uiPriority w:val="4"/>
    <w:qFormat/>
    <w:rsid w:val="00DC2413"/>
    <w:pPr>
      <w:tabs>
        <w:tab w:val="left" w:pos="539"/>
      </w:tabs>
      <w:spacing w:after="240" w:line="180" w:lineRule="atLeast"/>
    </w:pPr>
    <w:rPr>
      <w:sz w:val="16"/>
      <w:szCs w:val="20"/>
    </w:rPr>
  </w:style>
  <w:style w:type="paragraph" w:customStyle="1" w:styleId="TableText">
    <w:name w:val="TableText"/>
    <w:basedOn w:val="Normal"/>
    <w:uiPriority w:val="5"/>
    <w:qFormat/>
    <w:rsid w:val="00DC2413"/>
    <w:pPr>
      <w:spacing w:before="60" w:after="60"/>
    </w:pPr>
    <w:rPr>
      <w:sz w:val="18"/>
    </w:rPr>
  </w:style>
  <w:style w:type="paragraph" w:customStyle="1" w:styleId="TableBullet">
    <w:name w:val="TableBullet"/>
    <w:basedOn w:val="TableText"/>
    <w:next w:val="TableText"/>
    <w:uiPriority w:val="5"/>
    <w:qFormat/>
    <w:rsid w:val="006131D3"/>
    <w:pPr>
      <w:numPr>
        <w:numId w:val="7"/>
      </w:numPr>
    </w:pPr>
  </w:style>
  <w:style w:type="paragraph" w:customStyle="1" w:styleId="RowHeading">
    <w:name w:val="RowHeading"/>
    <w:basedOn w:val="TableText"/>
    <w:next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next w:val="BodyText"/>
    <w:uiPriority w:val="12"/>
    <w:qFormat/>
    <w:rsid w:val="00A303EE"/>
    <w:pPr>
      <w:numPr>
        <w:ilvl w:val="1"/>
      </w:numPr>
      <w:spacing w:after="170"/>
    </w:pPr>
    <w:rPr>
      <w:rFonts w:eastAsiaTheme="majorEastAsia" w:cstheme="majorBidi"/>
      <w:iCs/>
      <w:color w:val="000000" w:themeColor="text2"/>
      <w:spacing w:val="15"/>
      <w:sz w:val="34"/>
      <w:szCs w:val="24"/>
    </w:rPr>
  </w:style>
  <w:style w:type="paragraph" w:customStyle="1" w:styleId="BackCoverContactHeading">
    <w:name w:val="BackCover ContactHeading"/>
    <w:next w:val="BackCoverContactDetails"/>
    <w:uiPriority w:val="18"/>
    <w:qFormat/>
    <w:rsid w:val="00DC2413"/>
    <w:pPr>
      <w:spacing w:before="360" w:after="60"/>
    </w:pPr>
    <w:rPr>
      <w:rFonts w:eastAsia="Calibri"/>
      <w:caps/>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basedOn w:val="Heading1"/>
    <w:next w:val="Normal"/>
    <w:link w:val="TOCHeadingChar"/>
    <w:uiPriority w:val="19"/>
    <w:semiHidden/>
    <w:rsid w:val="00462182"/>
    <w:pPr>
      <w:pageBreakBefore w:val="0"/>
      <w:numPr>
        <w:numId w:val="0"/>
      </w:numPr>
      <w:spacing w:before="480" w:after="240"/>
      <w:outlineLvl w:val="1"/>
    </w:pPr>
    <w:rPr>
      <w:bCs w:val="0"/>
    </w:rPr>
  </w:style>
  <w:style w:type="character" w:styleId="Hyperlink">
    <w:name w:val="Hyperlink"/>
    <w:basedOn w:val="DefaultParagraphFont"/>
    <w:uiPriority w:val="99"/>
    <w:qFormat/>
    <w:rsid w:val="008631BE"/>
    <w:rPr>
      <w:rFonts w:cs="Times New Roman"/>
      <w:color w:val="007E9A" w:themeColor="accent1" w:themeShade="BF"/>
      <w:u w:val="none"/>
    </w:rPr>
  </w:style>
  <w:style w:type="paragraph" w:styleId="TOC4">
    <w:name w:val="toc 4"/>
    <w:basedOn w:val="Normal"/>
    <w:next w:val="Normal"/>
    <w:autoRedefine/>
    <w:uiPriority w:val="99"/>
    <w:semiHidden/>
    <w:rsid w:val="00FE3F4D"/>
    <w:pPr>
      <w:spacing w:after="100"/>
      <w:ind w:left="660"/>
    </w:pPr>
  </w:style>
  <w:style w:type="paragraph" w:styleId="TOC9">
    <w:name w:val="toc 9"/>
    <w:basedOn w:val="Normal"/>
    <w:next w:val="Normal"/>
    <w:autoRedefine/>
    <w:uiPriority w:val="99"/>
    <w:semiHidden/>
    <w:rsid w:val="00FE3F4D"/>
    <w:pPr>
      <w:spacing w:after="100"/>
      <w:ind w:left="1760"/>
    </w:p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BodyText"/>
    <w:next w:val="BodyText"/>
    <w:uiPriority w:val="4"/>
    <w:qFormat/>
    <w:rsid w:val="00B26878"/>
    <w:pPr>
      <w:keepNext/>
      <w:spacing w:before="180" w:after="180"/>
      <w:contextualSpacing/>
    </w:pPr>
    <w:rPr>
      <w:b/>
      <w:bCs/>
      <w:color w:val="007E9A" w:themeColor="accent1" w:themeShade="BF"/>
      <w:sz w:val="20"/>
      <w:szCs w:val="18"/>
    </w:rPr>
  </w:style>
  <w:style w:type="paragraph" w:customStyle="1" w:styleId="Headerurl">
    <w:name w:val="Header url"/>
    <w:basedOn w:val="Header"/>
    <w:uiPriority w:val="99"/>
    <w:semiHidden/>
    <w:rsid w:val="00944443"/>
    <w:pPr>
      <w:tabs>
        <w:tab w:val="center" w:pos="4153"/>
        <w:tab w:val="right" w:pos="8306"/>
      </w:tabs>
      <w:spacing w:after="0"/>
    </w:pPr>
    <w:rPr>
      <w:b/>
      <w:color w:val="00313C"/>
      <w:szCs w:val="24"/>
    </w:rPr>
  </w:style>
  <w:style w:type="character" w:customStyle="1" w:styleId="PartNumber">
    <w:name w:val="PartNumber"/>
    <w:basedOn w:val="DefaultParagraphFont"/>
    <w:uiPriority w:val="15"/>
    <w:qFormat/>
    <w:rsid w:val="00D1044D"/>
    <w:rPr>
      <w:color w:val="00313C" w:themeColor="accent2"/>
    </w:rPr>
  </w:style>
  <w:style w:type="paragraph" w:customStyle="1" w:styleId="Heading1notnumbered">
    <w:name w:val="Heading 1 not numbered"/>
    <w:basedOn w:val="Heading1"/>
    <w:next w:val="BodyText"/>
    <w:uiPriority w:val="1"/>
    <w:rsid w:val="00D1044D"/>
    <w:pPr>
      <w:numPr>
        <w:numId w:val="0"/>
      </w:numPr>
    </w:pPr>
  </w:style>
  <w:style w:type="paragraph" w:customStyle="1" w:styleId="Heading3notnumbered">
    <w:name w:val="Heading 3 not numbered"/>
    <w:basedOn w:val="Heading3"/>
    <w:next w:val="BodyText"/>
    <w:uiPriority w:val="1"/>
    <w:qFormat/>
    <w:rsid w:val="00752314"/>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C80108"/>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00A9CE"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qFormat/>
    <w:locked/>
    <w:rsid w:val="00E71F2C"/>
    <w:pPr>
      <w:spacing w:before="120" w:after="120" w:line="264" w:lineRule="auto"/>
    </w:pPr>
    <w:rPr>
      <w:rFonts w:eastAsia="Calibri"/>
      <w:color w:val="000000"/>
      <w:sz w:val="24"/>
    </w:rPr>
  </w:style>
  <w:style w:type="character" w:customStyle="1" w:styleId="BodyTextChar">
    <w:name w:val="Body Text Char"/>
    <w:basedOn w:val="DefaultParagraphFont"/>
    <w:link w:val="BodyText"/>
    <w:locked/>
    <w:rsid w:val="00E71F2C"/>
    <w:rPr>
      <w:rFonts w:eastAsia="Calibri"/>
      <w:color w:val="000000"/>
      <w:sz w:val="24"/>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20"/>
    <w:qFormat/>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ind w:left="283" w:hanging="283"/>
    </w:p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2"/>
    <w:locked/>
    <w:rsid w:val="00D349D1"/>
    <w:pPr>
      <w:numPr>
        <w:numId w:val="16"/>
      </w:numPr>
      <w:tabs>
        <w:tab w:val="clear" w:pos="397"/>
      </w:tabs>
      <w:ind w:left="1078" w:hanging="284"/>
    </w:pPr>
  </w:style>
  <w:style w:type="paragraph" w:styleId="ListNumber4">
    <w:name w:val="List Number 4"/>
    <w:basedOn w:val="Normal"/>
    <w:uiPriority w:val="99"/>
    <w:semiHidden/>
    <w:locked/>
    <w:rsid w:val="00E251B6"/>
    <w:pPr>
      <w:numPr>
        <w:numId w:val="3"/>
      </w:numPr>
    </w:pPr>
  </w:style>
  <w:style w:type="paragraph" w:styleId="ListNumber5">
    <w:name w:val="List Number 5"/>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rPr>
      <w:rFonts w:ascii="Times New Roman" w:hAnsi="Times New Roman"/>
      <w:sz w:val="24"/>
      <w:szCs w:val="24"/>
    </w:rPr>
  </w:style>
  <w:style w:type="paragraph" w:styleId="NormalIndent">
    <w:name w:val="Normal Indent"/>
    <w:basedOn w:val="Normal"/>
    <w:uiPriority w:val="99"/>
    <w:semiHidden/>
    <w:locked/>
    <w:rsid w:val="00E251B6"/>
    <w:pPr>
      <w:ind w:left="720"/>
    </w:p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22"/>
    <w:qFormat/>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D1044D"/>
    <w:pPr>
      <w:spacing w:before="180" w:after="60"/>
    </w:pPr>
    <w:rPr>
      <w:rFonts w:eastAsia="Times New Roman"/>
      <w:bCs/>
      <w:color w:val="00313C" w:themeColor="accent2"/>
      <w:sz w:val="24"/>
      <w:szCs w:val="26"/>
      <w:lang w:eastAsia="en-US"/>
    </w:rPr>
  </w:style>
  <w:style w:type="paragraph" w:customStyle="1" w:styleId="BusinessUnitName">
    <w:name w:val="Business Unit Name"/>
    <w:uiPriority w:val="12"/>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semiHidden/>
    <w:locked/>
    <w:rsid w:val="00AD275A"/>
    <w:rPr>
      <w:sz w:val="20"/>
      <w:szCs w:val="20"/>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ind w:left="220" w:hanging="220"/>
    </w:p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sz w:val="24"/>
      <w:szCs w:val="24"/>
    </w:rPr>
  </w:style>
  <w:style w:type="paragraph" w:styleId="TOC5">
    <w:name w:val="toc 5"/>
    <w:basedOn w:val="Normal"/>
    <w:next w:val="Normal"/>
    <w:autoRedefine/>
    <w:uiPriority w:val="99"/>
    <w:semiHidden/>
    <w:rsid w:val="00AD275A"/>
    <w:pPr>
      <w:ind w:left="880"/>
    </w:pPr>
  </w:style>
  <w:style w:type="paragraph" w:styleId="TOC6">
    <w:name w:val="toc 6"/>
    <w:basedOn w:val="Normal"/>
    <w:next w:val="Normal"/>
    <w:autoRedefine/>
    <w:uiPriority w:val="99"/>
    <w:semiHidden/>
    <w:rsid w:val="00AD275A"/>
    <w:pPr>
      <w:ind w:left="1100"/>
    </w:pPr>
  </w:style>
  <w:style w:type="paragraph" w:styleId="TOC7">
    <w:name w:val="toc 7"/>
    <w:basedOn w:val="Normal"/>
    <w:next w:val="Normal"/>
    <w:autoRedefine/>
    <w:uiPriority w:val="99"/>
    <w:semiHidden/>
    <w:rsid w:val="00AD275A"/>
    <w:pPr>
      <w:ind w:left="1320"/>
    </w:pPr>
  </w:style>
  <w:style w:type="paragraph" w:styleId="TOC8">
    <w:name w:val="toc 8"/>
    <w:basedOn w:val="Normal"/>
    <w:next w:val="Normal"/>
    <w:autoRedefine/>
    <w:uiPriority w:val="99"/>
    <w:semiHidden/>
    <w:rsid w:val="00AD275A"/>
    <w:pPr>
      <w:ind w:left="1540"/>
    </w:pPr>
  </w:style>
  <w:style w:type="numbering" w:customStyle="1" w:styleId="TableBullets">
    <w:name w:val="TableBullets"/>
    <w:uiPriority w:val="99"/>
    <w:rsid w:val="008861FC"/>
    <w:pPr>
      <w:numPr>
        <w:numId w:val="7"/>
      </w:numPr>
    </w:pPr>
  </w:style>
  <w:style w:type="numbering" w:customStyle="1" w:styleId="Sources">
    <w:name w:val="Sources"/>
    <w:rsid w:val="008861FC"/>
    <w:pPr>
      <w:numPr>
        <w:numId w:val="6"/>
      </w:numPr>
    </w:pPr>
  </w:style>
  <w:style w:type="numbering" w:styleId="1ai">
    <w:name w:val="Outline List 1"/>
    <w:basedOn w:val="NoList"/>
    <w:uiPriority w:val="99"/>
    <w:semiHidden/>
    <w:unhideWhenUsed/>
    <w:locked/>
    <w:rsid w:val="008861FC"/>
    <w:pPr>
      <w:numPr>
        <w:numId w:val="10"/>
      </w:numPr>
    </w:pPr>
  </w:style>
  <w:style w:type="numbering" w:styleId="111111">
    <w:name w:val="Outline List 2"/>
    <w:basedOn w:val="NoList"/>
    <w:uiPriority w:val="99"/>
    <w:semiHidden/>
    <w:unhideWhenUsed/>
    <w:locked/>
    <w:rsid w:val="008861FC"/>
    <w:pPr>
      <w:numPr>
        <w:numId w:val="9"/>
      </w:numPr>
    </w:pPr>
  </w:style>
  <w:style w:type="numbering" w:customStyle="1" w:styleId="Bullets">
    <w:name w:val="Bullets"/>
    <w:rsid w:val="008861FC"/>
    <w:pPr>
      <w:numPr>
        <w:numId w:val="5"/>
      </w:numPr>
    </w:pPr>
  </w:style>
  <w:style w:type="numbering" w:customStyle="1" w:styleId="Numbers">
    <w:name w:val="Numbers"/>
    <w:rsid w:val="008861FC"/>
    <w:pPr>
      <w:numPr>
        <w:numId w:val="8"/>
      </w:numPr>
    </w:pPr>
  </w:style>
  <w:style w:type="numbering" w:styleId="ArticleSection">
    <w:name w:val="Outline List 3"/>
    <w:basedOn w:val="NoList"/>
    <w:uiPriority w:val="99"/>
    <w:semiHidden/>
    <w:unhideWhenUsed/>
    <w:locked/>
    <w:rsid w:val="008861FC"/>
    <w:pPr>
      <w:numPr>
        <w:numId w:val="11"/>
      </w:numPr>
    </w:pPr>
  </w:style>
  <w:style w:type="paragraph" w:customStyle="1" w:styleId="AppendixHeading1base">
    <w:name w:val="Appendix Heading 1 base"/>
    <w:uiPriority w:val="20"/>
    <w:semiHidden/>
    <w:qFormat/>
    <w:rsid w:val="005C1B4B"/>
    <w:pPr>
      <w:keepNext/>
      <w:pageBreakBefore/>
      <w:numPr>
        <w:numId w:val="14"/>
      </w:numPr>
      <w:tabs>
        <w:tab w:val="left" w:pos="2268"/>
      </w:tabs>
    </w:pPr>
    <w:rPr>
      <w:rFonts w:eastAsiaTheme="majorEastAsia" w:cstheme="majorBidi"/>
      <w:b/>
      <w:bCs/>
      <w:color w:val="00A9CE" w:themeColor="accent1"/>
      <w:sz w:val="44"/>
      <w:szCs w:val="28"/>
    </w:rPr>
  </w:style>
  <w:style w:type="paragraph" w:customStyle="1" w:styleId="AppendixHeading2">
    <w:name w:val="Appendix Heading 2"/>
    <w:basedOn w:val="Heading2"/>
    <w:next w:val="BodyText"/>
    <w:uiPriority w:val="11"/>
    <w:qFormat/>
    <w:rsid w:val="00C80108"/>
    <w:pPr>
      <w:numPr>
        <w:numId w:val="14"/>
      </w:numPr>
      <w:ind w:left="1134" w:hanging="1134"/>
    </w:pPr>
  </w:style>
  <w:style w:type="paragraph" w:customStyle="1" w:styleId="AppendixHeading3">
    <w:name w:val="Appendix Heading 3"/>
    <w:basedOn w:val="Heading3"/>
    <w:next w:val="BodyText"/>
    <w:uiPriority w:val="11"/>
    <w:qFormat/>
    <w:rsid w:val="00C80108"/>
    <w:pPr>
      <w:numPr>
        <w:numId w:val="14"/>
      </w:numPr>
      <w:ind w:left="1134" w:hanging="1134"/>
    </w:pPr>
  </w:style>
  <w:style w:type="paragraph" w:customStyle="1" w:styleId="AppendixHeading4">
    <w:name w:val="Appendix Heading 4"/>
    <w:basedOn w:val="Heading4"/>
    <w:next w:val="BodyText"/>
    <w:uiPriority w:val="11"/>
    <w:qFormat/>
    <w:rsid w:val="00880650"/>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9"/>
    <w:qFormat/>
    <w:rsid w:val="00DC2413"/>
    <w:pPr>
      <w:ind w:left="567" w:hanging="567"/>
    </w:pPr>
  </w:style>
  <w:style w:type="paragraph" w:styleId="ListNumber2">
    <w:name w:val="List Number 2"/>
    <w:basedOn w:val="ListNumber"/>
    <w:next w:val="BodyText"/>
    <w:uiPriority w:val="2"/>
    <w:qFormat/>
    <w:locked/>
    <w:rsid w:val="00D349D1"/>
    <w:pPr>
      <w:numPr>
        <w:numId w:val="12"/>
      </w:numPr>
      <w:tabs>
        <w:tab w:val="left" w:pos="794"/>
      </w:tabs>
      <w:spacing w:before="60" w:after="60"/>
      <w:ind w:left="794" w:hanging="397"/>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B26878"/>
    <w:pPr>
      <w:spacing w:before="0"/>
    </w:pPr>
  </w:style>
  <w:style w:type="character" w:customStyle="1" w:styleId="Bold">
    <w:name w:val="Bold"/>
    <w:basedOn w:val="DefaultParagraphFont"/>
    <w:uiPriority w:val="3"/>
    <w:qFormat/>
    <w:rsid w:val="00856E94"/>
    <w:rPr>
      <w:b/>
    </w:rPr>
  </w:style>
  <w:style w:type="paragraph" w:styleId="ListParagraph">
    <w:name w:val="List Paragraph"/>
    <w:basedOn w:val="Normal"/>
    <w:uiPriority w:val="99"/>
    <w:qFormat/>
    <w:rsid w:val="009C5CA3"/>
    <w:pPr>
      <w:spacing w:before="180" w:line="264" w:lineRule="auto"/>
      <w:ind w:left="720"/>
      <w:contextualSpacing/>
    </w:pPr>
    <w:rPr>
      <w:sz w:val="24"/>
      <w:szCs w:val="24"/>
    </w:rPr>
  </w:style>
  <w:style w:type="character" w:styleId="IntenseEmphasis">
    <w:name w:val="Intense Emphasis"/>
    <w:basedOn w:val="DefaultParagraphFont"/>
    <w:uiPriority w:val="21"/>
    <w:semiHidden/>
    <w:qFormat/>
    <w:rsid w:val="00A65678"/>
    <w:rPr>
      <w:b/>
      <w:bCs/>
      <w:i/>
      <w:iCs/>
      <w:color w:val="00313C" w:themeColor="accent2"/>
    </w:rPr>
  </w:style>
  <w:style w:type="character" w:styleId="SubtleEmphasis">
    <w:name w:val="Subtle Emphasis"/>
    <w:basedOn w:val="DefaultParagraphFont"/>
    <w:uiPriority w:val="19"/>
    <w:semiHidden/>
    <w:qFormat/>
    <w:rsid w:val="00A65678"/>
    <w:rPr>
      <w:i/>
      <w:iCs/>
      <w:color w:val="595959" w:themeColor="text1" w:themeTint="A6"/>
    </w:rPr>
  </w:style>
  <w:style w:type="paragraph" w:styleId="IntenseQuote">
    <w:name w:val="Intense Quote"/>
    <w:basedOn w:val="Normal"/>
    <w:next w:val="Normal"/>
    <w:link w:val="IntenseQuoteChar"/>
    <w:uiPriority w:val="30"/>
    <w:semiHidden/>
    <w:qFormat/>
    <w:rsid w:val="00A65678"/>
    <w:pPr>
      <w:pBdr>
        <w:bottom w:val="single" w:sz="4" w:space="4" w:color="00313C" w:themeColor="accent2"/>
      </w:pBdr>
      <w:spacing w:before="200" w:after="280"/>
      <w:ind w:left="936" w:right="936"/>
    </w:pPr>
    <w:rPr>
      <w:b/>
      <w:bCs/>
      <w:i/>
      <w:iCs/>
      <w:color w:val="00313C" w:themeColor="accent2"/>
    </w:rPr>
  </w:style>
  <w:style w:type="character" w:customStyle="1" w:styleId="IntenseQuoteChar">
    <w:name w:val="Intense Quote Char"/>
    <w:basedOn w:val="DefaultParagraphFont"/>
    <w:link w:val="IntenseQuote"/>
    <w:uiPriority w:val="30"/>
    <w:semiHidden/>
    <w:rsid w:val="00A65678"/>
    <w:rPr>
      <w:rFonts w:eastAsia="Calibri"/>
      <w:b/>
      <w:bCs/>
      <w:i/>
      <w:iCs/>
      <w:color w:val="00313C" w:themeColor="accent2"/>
    </w:rPr>
  </w:style>
  <w:style w:type="paragraph" w:customStyle="1" w:styleId="Boxedheading">
    <w:name w:val="Boxed heading"/>
    <w:uiPriority w:val="19"/>
    <w:qFormat/>
    <w:rsid w:val="00212902"/>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360" w:after="240"/>
      <w:ind w:left="227" w:right="227"/>
    </w:pPr>
    <w:rPr>
      <w:rFonts w:eastAsia="Calibri"/>
      <w:b/>
      <w:color w:val="000000"/>
      <w:sz w:val="28"/>
      <w:szCs w:val="28"/>
    </w:rPr>
  </w:style>
  <w:style w:type="paragraph" w:customStyle="1" w:styleId="Boxedtext">
    <w:name w:val="Boxed text"/>
    <w:uiPriority w:val="19"/>
    <w:qFormat/>
    <w:rsid w:val="00212902"/>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D1F6FF" w:themeFill="accent2" w:themeFillTint="1A"/>
      <w:spacing w:before="180" w:after="180"/>
      <w:ind w:left="227" w:right="227"/>
    </w:pPr>
    <w:rPr>
      <w:rFonts w:eastAsia="Calibri"/>
      <w:color w:val="000000"/>
      <w:sz w:val="24"/>
      <w:szCs w:val="24"/>
    </w:rPr>
  </w:style>
  <w:style w:type="paragraph" w:customStyle="1" w:styleId="Boxedlistbullet">
    <w:name w:val="Boxed list bullet"/>
    <w:basedOn w:val="Boxedtext"/>
    <w:uiPriority w:val="19"/>
    <w:qFormat/>
    <w:rsid w:val="00D578AD"/>
    <w:pPr>
      <w:numPr>
        <w:numId w:val="17"/>
      </w:numPr>
      <w:spacing w:before="0" w:after="0"/>
      <w:ind w:left="454" w:hanging="227"/>
      <w:contextualSpacing/>
    </w:pPr>
  </w:style>
  <w:style w:type="paragraph" w:customStyle="1" w:styleId="Body">
    <w:name w:val="Body"/>
    <w:basedOn w:val="Normal"/>
    <w:link w:val="BodyChar"/>
    <w:qFormat/>
    <w:rsid w:val="007D2883"/>
    <w:pPr>
      <w:suppressAutoHyphens/>
      <w:autoSpaceDE w:val="0"/>
      <w:autoSpaceDN w:val="0"/>
      <w:adjustRightInd w:val="0"/>
      <w:spacing w:after="113" w:line="280" w:lineRule="atLeast"/>
      <w:textAlignment w:val="center"/>
    </w:pPr>
    <w:rPr>
      <w:rFonts w:eastAsiaTheme="minorEastAsia" w:cs="Calibri"/>
      <w:sz w:val="18"/>
      <w:szCs w:val="18"/>
      <w:lang w:val="en-GB" w:eastAsia="ja-JP"/>
    </w:rPr>
  </w:style>
  <w:style w:type="character" w:customStyle="1" w:styleId="BodyChar">
    <w:name w:val="Body Char"/>
    <w:basedOn w:val="DefaultParagraphFont"/>
    <w:link w:val="Body"/>
    <w:rsid w:val="007D2883"/>
    <w:rPr>
      <w:rFonts w:eastAsiaTheme="minorEastAsia" w:cs="Calibri"/>
      <w:color w:val="000000"/>
      <w:sz w:val="18"/>
      <w:szCs w:val="18"/>
      <w:lang w:val="en-GB" w:eastAsia="ja-JP"/>
    </w:rPr>
  </w:style>
  <w:style w:type="table" w:customStyle="1" w:styleId="TableCSIRO1">
    <w:name w:val="Table_CSIRO1"/>
    <w:basedOn w:val="TableNormal"/>
    <w:uiPriority w:val="99"/>
    <w:qFormat/>
    <w:rsid w:val="001869C0"/>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H1">
    <w:name w:val="H1"/>
    <w:basedOn w:val="Normal"/>
    <w:qFormat/>
    <w:rsid w:val="00AA0F3B"/>
    <w:pPr>
      <w:widowControl w:val="0"/>
      <w:suppressAutoHyphens/>
      <w:autoSpaceDE w:val="0"/>
      <w:autoSpaceDN w:val="0"/>
      <w:adjustRightInd w:val="0"/>
      <w:spacing w:after="567" w:line="660" w:lineRule="atLeast"/>
      <w:textAlignment w:val="center"/>
    </w:pPr>
    <w:rPr>
      <w:rFonts w:ascii="Calibri-Bold" w:eastAsiaTheme="minorEastAsia" w:hAnsi="Calibri-Bold" w:cs="Calibri-Bold"/>
      <w:b/>
      <w:bCs/>
      <w:color w:val="00AEEF"/>
      <w:sz w:val="48"/>
      <w:szCs w:val="48"/>
      <w:lang w:val="en-GB" w:eastAsia="ja-JP"/>
    </w:rPr>
  </w:style>
  <w:style w:type="character" w:styleId="PlaceholderText">
    <w:name w:val="Placeholder Text"/>
    <w:basedOn w:val="DefaultParagraphFont"/>
    <w:uiPriority w:val="99"/>
    <w:semiHidden/>
    <w:rsid w:val="00AA49F8"/>
    <w:rPr>
      <w:color w:val="808080"/>
    </w:rPr>
  </w:style>
  <w:style w:type="character" w:customStyle="1" w:styleId="apple-converted-space">
    <w:name w:val="apple-converted-space"/>
    <w:basedOn w:val="DefaultParagraphFont"/>
    <w:rsid w:val="005256F8"/>
  </w:style>
  <w:style w:type="character" w:customStyle="1" w:styleId="mwe-math-mathml-inline">
    <w:name w:val="mwe-math-mathml-inline"/>
    <w:basedOn w:val="DefaultParagraphFont"/>
    <w:rsid w:val="005256F8"/>
  </w:style>
  <w:style w:type="paragraph" w:customStyle="1" w:styleId="Imagecaption">
    <w:name w:val="Image caption"/>
    <w:basedOn w:val="Body"/>
    <w:qFormat/>
    <w:rsid w:val="0097305E"/>
    <w:pPr>
      <w:pBdr>
        <w:top w:val="single" w:sz="4" w:space="1" w:color="auto"/>
      </w:pBdr>
      <w:spacing w:line="240" w:lineRule="auto"/>
    </w:pPr>
    <w:rPr>
      <w:i/>
      <w:sz w:val="14"/>
      <w:szCs w:val="14"/>
    </w:rPr>
  </w:style>
  <w:style w:type="paragraph" w:customStyle="1" w:styleId="Default">
    <w:name w:val="Default"/>
    <w:rsid w:val="0012422F"/>
    <w:pPr>
      <w:autoSpaceDE w:val="0"/>
      <w:autoSpaceDN w:val="0"/>
      <w:adjustRightInd w:val="0"/>
    </w:pPr>
    <w:rPr>
      <w:rFonts w:ascii="Arial" w:eastAsiaTheme="minorEastAsia" w:hAnsi="Arial" w:cs="Arial"/>
      <w:color w:val="000000"/>
      <w:sz w:val="24"/>
      <w:szCs w:val="24"/>
      <w:lang w:eastAsia="zh-CN"/>
    </w:rPr>
  </w:style>
  <w:style w:type="paragraph" w:styleId="Revision">
    <w:name w:val="Revision"/>
    <w:hidden/>
    <w:uiPriority w:val="99"/>
    <w:semiHidden/>
    <w:rsid w:val="00AA5DA7"/>
    <w:rPr>
      <w:rFonts w:eastAsia="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8917406">
      <w:bodyDiv w:val="1"/>
      <w:marLeft w:val="0"/>
      <w:marRight w:val="0"/>
      <w:marTop w:val="0"/>
      <w:marBottom w:val="0"/>
      <w:divBdr>
        <w:top w:val="none" w:sz="0" w:space="0" w:color="auto"/>
        <w:left w:val="none" w:sz="0" w:space="0" w:color="auto"/>
        <w:bottom w:val="none" w:sz="0" w:space="0" w:color="auto"/>
        <w:right w:val="none" w:sz="0" w:space="0" w:color="auto"/>
      </w:divBdr>
    </w:div>
    <w:div w:id="63913555">
      <w:bodyDiv w:val="1"/>
      <w:marLeft w:val="0"/>
      <w:marRight w:val="0"/>
      <w:marTop w:val="0"/>
      <w:marBottom w:val="0"/>
      <w:divBdr>
        <w:top w:val="none" w:sz="0" w:space="0" w:color="auto"/>
        <w:left w:val="none" w:sz="0" w:space="0" w:color="auto"/>
        <w:bottom w:val="none" w:sz="0" w:space="0" w:color="auto"/>
        <w:right w:val="none" w:sz="0" w:space="0" w:color="auto"/>
      </w:divBdr>
      <w:divsChild>
        <w:div w:id="1701541316">
          <w:marLeft w:val="0"/>
          <w:marRight w:val="0"/>
          <w:marTop w:val="0"/>
          <w:marBottom w:val="0"/>
          <w:divBdr>
            <w:top w:val="none" w:sz="0" w:space="0" w:color="auto"/>
            <w:left w:val="none" w:sz="0" w:space="0" w:color="auto"/>
            <w:bottom w:val="none" w:sz="0" w:space="0" w:color="auto"/>
            <w:right w:val="none" w:sz="0" w:space="0" w:color="auto"/>
          </w:divBdr>
        </w:div>
      </w:divsChild>
    </w:div>
    <w:div w:id="64619432">
      <w:bodyDiv w:val="1"/>
      <w:marLeft w:val="0"/>
      <w:marRight w:val="0"/>
      <w:marTop w:val="0"/>
      <w:marBottom w:val="0"/>
      <w:divBdr>
        <w:top w:val="none" w:sz="0" w:space="0" w:color="auto"/>
        <w:left w:val="none" w:sz="0" w:space="0" w:color="auto"/>
        <w:bottom w:val="none" w:sz="0" w:space="0" w:color="auto"/>
        <w:right w:val="none" w:sz="0" w:space="0" w:color="auto"/>
      </w:divBdr>
    </w:div>
    <w:div w:id="78329615">
      <w:bodyDiv w:val="1"/>
      <w:marLeft w:val="0"/>
      <w:marRight w:val="0"/>
      <w:marTop w:val="0"/>
      <w:marBottom w:val="0"/>
      <w:divBdr>
        <w:top w:val="none" w:sz="0" w:space="0" w:color="auto"/>
        <w:left w:val="none" w:sz="0" w:space="0" w:color="auto"/>
        <w:bottom w:val="none" w:sz="0" w:space="0" w:color="auto"/>
        <w:right w:val="none" w:sz="0" w:space="0" w:color="auto"/>
      </w:divBdr>
    </w:div>
    <w:div w:id="82724662">
      <w:bodyDiv w:val="1"/>
      <w:marLeft w:val="0"/>
      <w:marRight w:val="0"/>
      <w:marTop w:val="0"/>
      <w:marBottom w:val="0"/>
      <w:divBdr>
        <w:top w:val="none" w:sz="0" w:space="0" w:color="auto"/>
        <w:left w:val="none" w:sz="0" w:space="0" w:color="auto"/>
        <w:bottom w:val="none" w:sz="0" w:space="0" w:color="auto"/>
        <w:right w:val="none" w:sz="0" w:space="0" w:color="auto"/>
      </w:divBdr>
    </w:div>
    <w:div w:id="108396944">
      <w:bodyDiv w:val="1"/>
      <w:marLeft w:val="0"/>
      <w:marRight w:val="0"/>
      <w:marTop w:val="0"/>
      <w:marBottom w:val="0"/>
      <w:divBdr>
        <w:top w:val="none" w:sz="0" w:space="0" w:color="auto"/>
        <w:left w:val="none" w:sz="0" w:space="0" w:color="auto"/>
        <w:bottom w:val="none" w:sz="0" w:space="0" w:color="auto"/>
        <w:right w:val="none" w:sz="0" w:space="0" w:color="auto"/>
      </w:divBdr>
    </w:div>
    <w:div w:id="147794806">
      <w:bodyDiv w:val="1"/>
      <w:marLeft w:val="0"/>
      <w:marRight w:val="0"/>
      <w:marTop w:val="0"/>
      <w:marBottom w:val="0"/>
      <w:divBdr>
        <w:top w:val="none" w:sz="0" w:space="0" w:color="auto"/>
        <w:left w:val="none" w:sz="0" w:space="0" w:color="auto"/>
        <w:bottom w:val="none" w:sz="0" w:space="0" w:color="auto"/>
        <w:right w:val="none" w:sz="0" w:space="0" w:color="auto"/>
      </w:divBdr>
      <w:divsChild>
        <w:div w:id="1391226794">
          <w:marLeft w:val="-225"/>
          <w:marRight w:val="-225"/>
          <w:marTop w:val="0"/>
          <w:marBottom w:val="0"/>
          <w:divBdr>
            <w:top w:val="none" w:sz="0" w:space="0" w:color="auto"/>
            <w:left w:val="none" w:sz="0" w:space="0" w:color="auto"/>
            <w:bottom w:val="none" w:sz="0" w:space="0" w:color="auto"/>
            <w:right w:val="none" w:sz="0" w:space="0" w:color="auto"/>
          </w:divBdr>
        </w:div>
      </w:divsChild>
    </w:div>
    <w:div w:id="221796394">
      <w:bodyDiv w:val="1"/>
      <w:marLeft w:val="0"/>
      <w:marRight w:val="0"/>
      <w:marTop w:val="0"/>
      <w:marBottom w:val="0"/>
      <w:divBdr>
        <w:top w:val="none" w:sz="0" w:space="0" w:color="auto"/>
        <w:left w:val="none" w:sz="0" w:space="0" w:color="auto"/>
        <w:bottom w:val="none" w:sz="0" w:space="0" w:color="auto"/>
        <w:right w:val="none" w:sz="0" w:space="0" w:color="auto"/>
      </w:divBdr>
    </w:div>
    <w:div w:id="284045182">
      <w:bodyDiv w:val="1"/>
      <w:marLeft w:val="0"/>
      <w:marRight w:val="0"/>
      <w:marTop w:val="0"/>
      <w:marBottom w:val="0"/>
      <w:divBdr>
        <w:top w:val="none" w:sz="0" w:space="0" w:color="auto"/>
        <w:left w:val="none" w:sz="0" w:space="0" w:color="auto"/>
        <w:bottom w:val="none" w:sz="0" w:space="0" w:color="auto"/>
        <w:right w:val="none" w:sz="0" w:space="0" w:color="auto"/>
      </w:divBdr>
    </w:div>
    <w:div w:id="404642569">
      <w:bodyDiv w:val="1"/>
      <w:marLeft w:val="0"/>
      <w:marRight w:val="0"/>
      <w:marTop w:val="0"/>
      <w:marBottom w:val="0"/>
      <w:divBdr>
        <w:top w:val="none" w:sz="0" w:space="0" w:color="auto"/>
        <w:left w:val="none" w:sz="0" w:space="0" w:color="auto"/>
        <w:bottom w:val="none" w:sz="0" w:space="0" w:color="auto"/>
        <w:right w:val="none" w:sz="0" w:space="0" w:color="auto"/>
      </w:divBdr>
    </w:div>
    <w:div w:id="419066219">
      <w:bodyDiv w:val="1"/>
      <w:marLeft w:val="0"/>
      <w:marRight w:val="0"/>
      <w:marTop w:val="0"/>
      <w:marBottom w:val="0"/>
      <w:divBdr>
        <w:top w:val="none" w:sz="0" w:space="0" w:color="auto"/>
        <w:left w:val="none" w:sz="0" w:space="0" w:color="auto"/>
        <w:bottom w:val="none" w:sz="0" w:space="0" w:color="auto"/>
        <w:right w:val="none" w:sz="0" w:space="0" w:color="auto"/>
      </w:divBdr>
    </w:div>
    <w:div w:id="424814520">
      <w:bodyDiv w:val="1"/>
      <w:marLeft w:val="0"/>
      <w:marRight w:val="0"/>
      <w:marTop w:val="0"/>
      <w:marBottom w:val="0"/>
      <w:divBdr>
        <w:top w:val="none" w:sz="0" w:space="0" w:color="auto"/>
        <w:left w:val="none" w:sz="0" w:space="0" w:color="auto"/>
        <w:bottom w:val="none" w:sz="0" w:space="0" w:color="auto"/>
        <w:right w:val="none" w:sz="0" w:space="0" w:color="auto"/>
      </w:divBdr>
    </w:div>
    <w:div w:id="459032016">
      <w:bodyDiv w:val="1"/>
      <w:marLeft w:val="0"/>
      <w:marRight w:val="0"/>
      <w:marTop w:val="0"/>
      <w:marBottom w:val="0"/>
      <w:divBdr>
        <w:top w:val="none" w:sz="0" w:space="0" w:color="auto"/>
        <w:left w:val="none" w:sz="0" w:space="0" w:color="auto"/>
        <w:bottom w:val="none" w:sz="0" w:space="0" w:color="auto"/>
        <w:right w:val="none" w:sz="0" w:space="0" w:color="auto"/>
      </w:divBdr>
    </w:div>
    <w:div w:id="505244385">
      <w:bodyDiv w:val="1"/>
      <w:marLeft w:val="0"/>
      <w:marRight w:val="0"/>
      <w:marTop w:val="0"/>
      <w:marBottom w:val="0"/>
      <w:divBdr>
        <w:top w:val="none" w:sz="0" w:space="0" w:color="auto"/>
        <w:left w:val="none" w:sz="0" w:space="0" w:color="auto"/>
        <w:bottom w:val="none" w:sz="0" w:space="0" w:color="auto"/>
        <w:right w:val="none" w:sz="0" w:space="0" w:color="auto"/>
      </w:divBdr>
    </w:div>
    <w:div w:id="550768833">
      <w:bodyDiv w:val="1"/>
      <w:marLeft w:val="0"/>
      <w:marRight w:val="0"/>
      <w:marTop w:val="0"/>
      <w:marBottom w:val="0"/>
      <w:divBdr>
        <w:top w:val="none" w:sz="0" w:space="0" w:color="auto"/>
        <w:left w:val="none" w:sz="0" w:space="0" w:color="auto"/>
        <w:bottom w:val="none" w:sz="0" w:space="0" w:color="auto"/>
        <w:right w:val="none" w:sz="0" w:space="0" w:color="auto"/>
      </w:divBdr>
      <w:divsChild>
        <w:div w:id="1071195449">
          <w:marLeft w:val="-225"/>
          <w:marRight w:val="-225"/>
          <w:marTop w:val="0"/>
          <w:marBottom w:val="0"/>
          <w:divBdr>
            <w:top w:val="none" w:sz="0" w:space="0" w:color="auto"/>
            <w:left w:val="none" w:sz="0" w:space="0" w:color="auto"/>
            <w:bottom w:val="none" w:sz="0" w:space="0" w:color="auto"/>
            <w:right w:val="none" w:sz="0" w:space="0" w:color="auto"/>
          </w:divBdr>
        </w:div>
      </w:divsChild>
    </w:div>
    <w:div w:id="578641986">
      <w:bodyDiv w:val="1"/>
      <w:marLeft w:val="0"/>
      <w:marRight w:val="0"/>
      <w:marTop w:val="0"/>
      <w:marBottom w:val="0"/>
      <w:divBdr>
        <w:top w:val="none" w:sz="0" w:space="0" w:color="auto"/>
        <w:left w:val="none" w:sz="0" w:space="0" w:color="auto"/>
        <w:bottom w:val="none" w:sz="0" w:space="0" w:color="auto"/>
        <w:right w:val="none" w:sz="0" w:space="0" w:color="auto"/>
      </w:divBdr>
      <w:divsChild>
        <w:div w:id="983896680">
          <w:marLeft w:val="0"/>
          <w:marRight w:val="0"/>
          <w:marTop w:val="0"/>
          <w:marBottom w:val="0"/>
          <w:divBdr>
            <w:top w:val="none" w:sz="0" w:space="0" w:color="auto"/>
            <w:left w:val="none" w:sz="0" w:space="0" w:color="auto"/>
            <w:bottom w:val="none" w:sz="0" w:space="0" w:color="auto"/>
            <w:right w:val="none" w:sz="0" w:space="0" w:color="auto"/>
          </w:divBdr>
        </w:div>
      </w:divsChild>
    </w:div>
    <w:div w:id="600727035">
      <w:bodyDiv w:val="1"/>
      <w:marLeft w:val="0"/>
      <w:marRight w:val="0"/>
      <w:marTop w:val="0"/>
      <w:marBottom w:val="0"/>
      <w:divBdr>
        <w:top w:val="none" w:sz="0" w:space="0" w:color="auto"/>
        <w:left w:val="none" w:sz="0" w:space="0" w:color="auto"/>
        <w:bottom w:val="none" w:sz="0" w:space="0" w:color="auto"/>
        <w:right w:val="none" w:sz="0" w:space="0" w:color="auto"/>
      </w:divBdr>
    </w:div>
    <w:div w:id="602808082">
      <w:bodyDiv w:val="1"/>
      <w:marLeft w:val="0"/>
      <w:marRight w:val="0"/>
      <w:marTop w:val="0"/>
      <w:marBottom w:val="0"/>
      <w:divBdr>
        <w:top w:val="none" w:sz="0" w:space="0" w:color="auto"/>
        <w:left w:val="none" w:sz="0" w:space="0" w:color="auto"/>
        <w:bottom w:val="none" w:sz="0" w:space="0" w:color="auto"/>
        <w:right w:val="none" w:sz="0" w:space="0" w:color="auto"/>
      </w:divBdr>
    </w:div>
    <w:div w:id="745302972">
      <w:bodyDiv w:val="1"/>
      <w:marLeft w:val="0"/>
      <w:marRight w:val="0"/>
      <w:marTop w:val="0"/>
      <w:marBottom w:val="0"/>
      <w:divBdr>
        <w:top w:val="none" w:sz="0" w:space="0" w:color="auto"/>
        <w:left w:val="none" w:sz="0" w:space="0" w:color="auto"/>
        <w:bottom w:val="none" w:sz="0" w:space="0" w:color="auto"/>
        <w:right w:val="none" w:sz="0" w:space="0" w:color="auto"/>
      </w:divBdr>
    </w:div>
    <w:div w:id="747654799">
      <w:bodyDiv w:val="1"/>
      <w:marLeft w:val="0"/>
      <w:marRight w:val="0"/>
      <w:marTop w:val="0"/>
      <w:marBottom w:val="0"/>
      <w:divBdr>
        <w:top w:val="none" w:sz="0" w:space="0" w:color="auto"/>
        <w:left w:val="none" w:sz="0" w:space="0" w:color="auto"/>
        <w:bottom w:val="none" w:sz="0" w:space="0" w:color="auto"/>
        <w:right w:val="none" w:sz="0" w:space="0" w:color="auto"/>
      </w:divBdr>
    </w:div>
    <w:div w:id="784888337">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914702882">
      <w:bodyDiv w:val="1"/>
      <w:marLeft w:val="0"/>
      <w:marRight w:val="0"/>
      <w:marTop w:val="0"/>
      <w:marBottom w:val="0"/>
      <w:divBdr>
        <w:top w:val="none" w:sz="0" w:space="0" w:color="auto"/>
        <w:left w:val="none" w:sz="0" w:space="0" w:color="auto"/>
        <w:bottom w:val="none" w:sz="0" w:space="0" w:color="auto"/>
        <w:right w:val="none" w:sz="0" w:space="0" w:color="auto"/>
      </w:divBdr>
    </w:div>
    <w:div w:id="936904307">
      <w:bodyDiv w:val="1"/>
      <w:marLeft w:val="0"/>
      <w:marRight w:val="0"/>
      <w:marTop w:val="0"/>
      <w:marBottom w:val="0"/>
      <w:divBdr>
        <w:top w:val="none" w:sz="0" w:space="0" w:color="auto"/>
        <w:left w:val="none" w:sz="0" w:space="0" w:color="auto"/>
        <w:bottom w:val="none" w:sz="0" w:space="0" w:color="auto"/>
        <w:right w:val="none" w:sz="0" w:space="0" w:color="auto"/>
      </w:divBdr>
      <w:divsChild>
        <w:div w:id="39325762">
          <w:marLeft w:val="0"/>
          <w:marRight w:val="0"/>
          <w:marTop w:val="0"/>
          <w:marBottom w:val="0"/>
          <w:divBdr>
            <w:top w:val="none" w:sz="0" w:space="0" w:color="auto"/>
            <w:left w:val="none" w:sz="0" w:space="0" w:color="auto"/>
            <w:bottom w:val="none" w:sz="0" w:space="0" w:color="auto"/>
            <w:right w:val="none" w:sz="0" w:space="0" w:color="auto"/>
          </w:divBdr>
        </w:div>
      </w:divsChild>
    </w:div>
    <w:div w:id="1022321792">
      <w:bodyDiv w:val="1"/>
      <w:marLeft w:val="0"/>
      <w:marRight w:val="0"/>
      <w:marTop w:val="0"/>
      <w:marBottom w:val="0"/>
      <w:divBdr>
        <w:top w:val="none" w:sz="0" w:space="0" w:color="auto"/>
        <w:left w:val="none" w:sz="0" w:space="0" w:color="auto"/>
        <w:bottom w:val="none" w:sz="0" w:space="0" w:color="auto"/>
        <w:right w:val="none" w:sz="0" w:space="0" w:color="auto"/>
      </w:divBdr>
    </w:div>
    <w:div w:id="1051030775">
      <w:bodyDiv w:val="1"/>
      <w:marLeft w:val="0"/>
      <w:marRight w:val="0"/>
      <w:marTop w:val="0"/>
      <w:marBottom w:val="0"/>
      <w:divBdr>
        <w:top w:val="none" w:sz="0" w:space="0" w:color="auto"/>
        <w:left w:val="none" w:sz="0" w:space="0" w:color="auto"/>
        <w:bottom w:val="none" w:sz="0" w:space="0" w:color="auto"/>
        <w:right w:val="none" w:sz="0" w:space="0" w:color="auto"/>
      </w:divBdr>
    </w:div>
    <w:div w:id="1130710412">
      <w:bodyDiv w:val="1"/>
      <w:marLeft w:val="0"/>
      <w:marRight w:val="0"/>
      <w:marTop w:val="0"/>
      <w:marBottom w:val="0"/>
      <w:divBdr>
        <w:top w:val="none" w:sz="0" w:space="0" w:color="auto"/>
        <w:left w:val="none" w:sz="0" w:space="0" w:color="auto"/>
        <w:bottom w:val="none" w:sz="0" w:space="0" w:color="auto"/>
        <w:right w:val="none" w:sz="0" w:space="0" w:color="auto"/>
      </w:divBdr>
    </w:div>
    <w:div w:id="1154755342">
      <w:bodyDiv w:val="1"/>
      <w:marLeft w:val="0"/>
      <w:marRight w:val="0"/>
      <w:marTop w:val="0"/>
      <w:marBottom w:val="0"/>
      <w:divBdr>
        <w:top w:val="none" w:sz="0" w:space="0" w:color="auto"/>
        <w:left w:val="none" w:sz="0" w:space="0" w:color="auto"/>
        <w:bottom w:val="none" w:sz="0" w:space="0" w:color="auto"/>
        <w:right w:val="none" w:sz="0" w:space="0" w:color="auto"/>
      </w:divBdr>
      <w:divsChild>
        <w:div w:id="1912807998">
          <w:marLeft w:val="0"/>
          <w:marRight w:val="0"/>
          <w:marTop w:val="0"/>
          <w:marBottom w:val="0"/>
          <w:divBdr>
            <w:top w:val="none" w:sz="0" w:space="0" w:color="auto"/>
            <w:left w:val="none" w:sz="0" w:space="0" w:color="auto"/>
            <w:bottom w:val="none" w:sz="0" w:space="0" w:color="auto"/>
            <w:right w:val="none" w:sz="0" w:space="0" w:color="auto"/>
          </w:divBdr>
        </w:div>
      </w:divsChild>
    </w:div>
    <w:div w:id="1175069922">
      <w:bodyDiv w:val="1"/>
      <w:marLeft w:val="0"/>
      <w:marRight w:val="0"/>
      <w:marTop w:val="0"/>
      <w:marBottom w:val="0"/>
      <w:divBdr>
        <w:top w:val="none" w:sz="0" w:space="0" w:color="auto"/>
        <w:left w:val="none" w:sz="0" w:space="0" w:color="auto"/>
        <w:bottom w:val="none" w:sz="0" w:space="0" w:color="auto"/>
        <w:right w:val="none" w:sz="0" w:space="0" w:color="auto"/>
      </w:divBdr>
    </w:div>
    <w:div w:id="1177497325">
      <w:bodyDiv w:val="1"/>
      <w:marLeft w:val="0"/>
      <w:marRight w:val="0"/>
      <w:marTop w:val="0"/>
      <w:marBottom w:val="0"/>
      <w:divBdr>
        <w:top w:val="none" w:sz="0" w:space="0" w:color="auto"/>
        <w:left w:val="none" w:sz="0" w:space="0" w:color="auto"/>
        <w:bottom w:val="none" w:sz="0" w:space="0" w:color="auto"/>
        <w:right w:val="none" w:sz="0" w:space="0" w:color="auto"/>
      </w:divBdr>
    </w:div>
    <w:div w:id="1184704655">
      <w:bodyDiv w:val="1"/>
      <w:marLeft w:val="0"/>
      <w:marRight w:val="0"/>
      <w:marTop w:val="0"/>
      <w:marBottom w:val="0"/>
      <w:divBdr>
        <w:top w:val="none" w:sz="0" w:space="0" w:color="auto"/>
        <w:left w:val="none" w:sz="0" w:space="0" w:color="auto"/>
        <w:bottom w:val="none" w:sz="0" w:space="0" w:color="auto"/>
        <w:right w:val="none" w:sz="0" w:space="0" w:color="auto"/>
      </w:divBdr>
    </w:div>
    <w:div w:id="1185166222">
      <w:bodyDiv w:val="1"/>
      <w:marLeft w:val="0"/>
      <w:marRight w:val="0"/>
      <w:marTop w:val="0"/>
      <w:marBottom w:val="0"/>
      <w:divBdr>
        <w:top w:val="none" w:sz="0" w:space="0" w:color="auto"/>
        <w:left w:val="none" w:sz="0" w:space="0" w:color="auto"/>
        <w:bottom w:val="none" w:sz="0" w:space="0" w:color="auto"/>
        <w:right w:val="none" w:sz="0" w:space="0" w:color="auto"/>
      </w:divBdr>
    </w:div>
    <w:div w:id="1235627652">
      <w:bodyDiv w:val="1"/>
      <w:marLeft w:val="0"/>
      <w:marRight w:val="0"/>
      <w:marTop w:val="0"/>
      <w:marBottom w:val="0"/>
      <w:divBdr>
        <w:top w:val="none" w:sz="0" w:space="0" w:color="auto"/>
        <w:left w:val="none" w:sz="0" w:space="0" w:color="auto"/>
        <w:bottom w:val="none" w:sz="0" w:space="0" w:color="auto"/>
        <w:right w:val="none" w:sz="0" w:space="0" w:color="auto"/>
      </w:divBdr>
    </w:div>
    <w:div w:id="1362051365">
      <w:bodyDiv w:val="1"/>
      <w:marLeft w:val="0"/>
      <w:marRight w:val="0"/>
      <w:marTop w:val="0"/>
      <w:marBottom w:val="0"/>
      <w:divBdr>
        <w:top w:val="none" w:sz="0" w:space="0" w:color="auto"/>
        <w:left w:val="none" w:sz="0" w:space="0" w:color="auto"/>
        <w:bottom w:val="none" w:sz="0" w:space="0" w:color="auto"/>
        <w:right w:val="none" w:sz="0" w:space="0" w:color="auto"/>
      </w:divBdr>
    </w:div>
    <w:div w:id="1374501041">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636569989">
      <w:bodyDiv w:val="1"/>
      <w:marLeft w:val="0"/>
      <w:marRight w:val="0"/>
      <w:marTop w:val="0"/>
      <w:marBottom w:val="0"/>
      <w:divBdr>
        <w:top w:val="none" w:sz="0" w:space="0" w:color="auto"/>
        <w:left w:val="none" w:sz="0" w:space="0" w:color="auto"/>
        <w:bottom w:val="none" w:sz="0" w:space="0" w:color="auto"/>
        <w:right w:val="none" w:sz="0" w:space="0" w:color="auto"/>
      </w:divBdr>
    </w:div>
    <w:div w:id="1651205001">
      <w:bodyDiv w:val="1"/>
      <w:marLeft w:val="0"/>
      <w:marRight w:val="0"/>
      <w:marTop w:val="0"/>
      <w:marBottom w:val="0"/>
      <w:divBdr>
        <w:top w:val="none" w:sz="0" w:space="0" w:color="auto"/>
        <w:left w:val="none" w:sz="0" w:space="0" w:color="auto"/>
        <w:bottom w:val="none" w:sz="0" w:space="0" w:color="auto"/>
        <w:right w:val="none" w:sz="0" w:space="0" w:color="auto"/>
      </w:divBdr>
    </w:div>
    <w:div w:id="1668241110">
      <w:bodyDiv w:val="1"/>
      <w:marLeft w:val="0"/>
      <w:marRight w:val="0"/>
      <w:marTop w:val="0"/>
      <w:marBottom w:val="0"/>
      <w:divBdr>
        <w:top w:val="none" w:sz="0" w:space="0" w:color="auto"/>
        <w:left w:val="none" w:sz="0" w:space="0" w:color="auto"/>
        <w:bottom w:val="none" w:sz="0" w:space="0" w:color="auto"/>
        <w:right w:val="none" w:sz="0" w:space="0" w:color="auto"/>
      </w:divBdr>
    </w:div>
    <w:div w:id="1689258500">
      <w:bodyDiv w:val="1"/>
      <w:marLeft w:val="0"/>
      <w:marRight w:val="0"/>
      <w:marTop w:val="0"/>
      <w:marBottom w:val="0"/>
      <w:divBdr>
        <w:top w:val="none" w:sz="0" w:space="0" w:color="auto"/>
        <w:left w:val="none" w:sz="0" w:space="0" w:color="auto"/>
        <w:bottom w:val="none" w:sz="0" w:space="0" w:color="auto"/>
        <w:right w:val="none" w:sz="0" w:space="0" w:color="auto"/>
      </w:divBdr>
    </w:div>
    <w:div w:id="1727214235">
      <w:bodyDiv w:val="1"/>
      <w:marLeft w:val="0"/>
      <w:marRight w:val="0"/>
      <w:marTop w:val="0"/>
      <w:marBottom w:val="0"/>
      <w:divBdr>
        <w:top w:val="none" w:sz="0" w:space="0" w:color="auto"/>
        <w:left w:val="none" w:sz="0" w:space="0" w:color="auto"/>
        <w:bottom w:val="none" w:sz="0" w:space="0" w:color="auto"/>
        <w:right w:val="none" w:sz="0" w:space="0" w:color="auto"/>
      </w:divBdr>
    </w:div>
    <w:div w:id="1782410921">
      <w:bodyDiv w:val="1"/>
      <w:marLeft w:val="0"/>
      <w:marRight w:val="0"/>
      <w:marTop w:val="0"/>
      <w:marBottom w:val="0"/>
      <w:divBdr>
        <w:top w:val="none" w:sz="0" w:space="0" w:color="auto"/>
        <w:left w:val="none" w:sz="0" w:space="0" w:color="auto"/>
        <w:bottom w:val="none" w:sz="0" w:space="0" w:color="auto"/>
        <w:right w:val="none" w:sz="0" w:space="0" w:color="auto"/>
      </w:divBdr>
    </w:div>
    <w:div w:id="1831360909">
      <w:bodyDiv w:val="1"/>
      <w:marLeft w:val="0"/>
      <w:marRight w:val="0"/>
      <w:marTop w:val="0"/>
      <w:marBottom w:val="0"/>
      <w:divBdr>
        <w:top w:val="none" w:sz="0" w:space="0" w:color="auto"/>
        <w:left w:val="none" w:sz="0" w:space="0" w:color="auto"/>
        <w:bottom w:val="none" w:sz="0" w:space="0" w:color="auto"/>
        <w:right w:val="none" w:sz="0" w:space="0" w:color="auto"/>
      </w:divBdr>
    </w:div>
    <w:div w:id="1835955675">
      <w:bodyDiv w:val="1"/>
      <w:marLeft w:val="0"/>
      <w:marRight w:val="0"/>
      <w:marTop w:val="0"/>
      <w:marBottom w:val="0"/>
      <w:divBdr>
        <w:top w:val="none" w:sz="0" w:space="0" w:color="auto"/>
        <w:left w:val="none" w:sz="0" w:space="0" w:color="auto"/>
        <w:bottom w:val="none" w:sz="0" w:space="0" w:color="auto"/>
        <w:right w:val="none" w:sz="0" w:space="0" w:color="auto"/>
      </w:divBdr>
    </w:div>
    <w:div w:id="1894389704">
      <w:bodyDiv w:val="1"/>
      <w:marLeft w:val="0"/>
      <w:marRight w:val="0"/>
      <w:marTop w:val="0"/>
      <w:marBottom w:val="0"/>
      <w:divBdr>
        <w:top w:val="none" w:sz="0" w:space="0" w:color="auto"/>
        <w:left w:val="none" w:sz="0" w:space="0" w:color="auto"/>
        <w:bottom w:val="none" w:sz="0" w:space="0" w:color="auto"/>
        <w:right w:val="none" w:sz="0" w:space="0" w:color="auto"/>
      </w:divBdr>
    </w:div>
    <w:div w:id="1943561352">
      <w:bodyDiv w:val="1"/>
      <w:marLeft w:val="0"/>
      <w:marRight w:val="0"/>
      <w:marTop w:val="0"/>
      <w:marBottom w:val="0"/>
      <w:divBdr>
        <w:top w:val="none" w:sz="0" w:space="0" w:color="auto"/>
        <w:left w:val="none" w:sz="0" w:space="0" w:color="auto"/>
        <w:bottom w:val="none" w:sz="0" w:space="0" w:color="auto"/>
        <w:right w:val="none" w:sz="0" w:space="0" w:color="auto"/>
      </w:divBdr>
    </w:div>
    <w:div w:id="1964119568">
      <w:bodyDiv w:val="1"/>
      <w:marLeft w:val="0"/>
      <w:marRight w:val="0"/>
      <w:marTop w:val="0"/>
      <w:marBottom w:val="0"/>
      <w:divBdr>
        <w:top w:val="none" w:sz="0" w:space="0" w:color="auto"/>
        <w:left w:val="none" w:sz="0" w:space="0" w:color="auto"/>
        <w:bottom w:val="none" w:sz="0" w:space="0" w:color="auto"/>
        <w:right w:val="none" w:sz="0" w:space="0" w:color="auto"/>
      </w:divBdr>
    </w:div>
    <w:div w:id="1983265768">
      <w:bodyDiv w:val="1"/>
      <w:marLeft w:val="0"/>
      <w:marRight w:val="0"/>
      <w:marTop w:val="0"/>
      <w:marBottom w:val="0"/>
      <w:divBdr>
        <w:top w:val="none" w:sz="0" w:space="0" w:color="auto"/>
        <w:left w:val="none" w:sz="0" w:space="0" w:color="auto"/>
        <w:bottom w:val="none" w:sz="0" w:space="0" w:color="auto"/>
        <w:right w:val="none" w:sz="0" w:space="0" w:color="auto"/>
      </w:divBdr>
    </w:div>
    <w:div w:id="1986813277">
      <w:bodyDiv w:val="1"/>
      <w:marLeft w:val="0"/>
      <w:marRight w:val="0"/>
      <w:marTop w:val="0"/>
      <w:marBottom w:val="0"/>
      <w:divBdr>
        <w:top w:val="none" w:sz="0" w:space="0" w:color="auto"/>
        <w:left w:val="none" w:sz="0" w:space="0" w:color="auto"/>
        <w:bottom w:val="none" w:sz="0" w:space="0" w:color="auto"/>
        <w:right w:val="none" w:sz="0" w:space="0" w:color="auto"/>
      </w:divBdr>
    </w:div>
    <w:div w:id="2024743644">
      <w:bodyDiv w:val="1"/>
      <w:marLeft w:val="0"/>
      <w:marRight w:val="0"/>
      <w:marTop w:val="0"/>
      <w:marBottom w:val="0"/>
      <w:divBdr>
        <w:top w:val="none" w:sz="0" w:space="0" w:color="auto"/>
        <w:left w:val="none" w:sz="0" w:space="0" w:color="auto"/>
        <w:bottom w:val="none" w:sz="0" w:space="0" w:color="auto"/>
        <w:right w:val="none" w:sz="0" w:space="0" w:color="auto"/>
      </w:divBdr>
    </w:div>
    <w:div w:id="2134012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footer" Target="footer5.xml"/><Relationship Id="rId34" Type="http://schemas.openxmlformats.org/officeDocument/2006/relationships/image" Target="media/image15.png"/><Relationship Id="rId42" Type="http://schemas.openxmlformats.org/officeDocument/2006/relationships/image" Target="media/image23.emf"/><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image" Target="media/image44.emf"/><Relationship Id="rId68" Type="http://schemas.openxmlformats.org/officeDocument/2006/relationships/image" Target="media/image49.png"/><Relationship Id="rId76" Type="http://schemas.openxmlformats.org/officeDocument/2006/relationships/image" Target="media/image57.png"/><Relationship Id="rId84" Type="http://schemas.openxmlformats.org/officeDocument/2006/relationships/image" Target="media/image65.png"/><Relationship Id="rId89" Type="http://schemas.openxmlformats.org/officeDocument/2006/relationships/hyperlink" Target="http://dx.doi.org/10.1007/978-3-319-23576-9_28" TargetMode="External"/><Relationship Id="rId97" Type="http://schemas.openxmlformats.org/officeDocument/2006/relationships/image" Target="media/image73.png"/><Relationship Id="rId7" Type="http://schemas.openxmlformats.org/officeDocument/2006/relationships/image" Target="media/image1.emf"/><Relationship Id="rId71" Type="http://schemas.openxmlformats.org/officeDocument/2006/relationships/image" Target="media/image52.png"/><Relationship Id="rId92" Type="http://schemas.openxmlformats.org/officeDocument/2006/relationships/hyperlink" Target="http://dx.doi.org/10.1002/2013WR014767" TargetMode="External"/><Relationship Id="rId2" Type="http://schemas.openxmlformats.org/officeDocument/2006/relationships/styles" Target="styles.xml"/><Relationship Id="rId16" Type="http://schemas.openxmlformats.org/officeDocument/2006/relationships/hyperlink" Target="https://en.wikipedia.org/wiki/Covariance" TargetMode="External"/><Relationship Id="rId29" Type="http://schemas.openxmlformats.org/officeDocument/2006/relationships/image" Target="media/image10.png"/><Relationship Id="rId11" Type="http://schemas.openxmlformats.org/officeDocument/2006/relationships/footer" Target="footer1.xml"/><Relationship Id="rId24" Type="http://schemas.openxmlformats.org/officeDocument/2006/relationships/image" Target="media/image5.emf"/><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image" Target="media/image55.png"/><Relationship Id="rId79" Type="http://schemas.openxmlformats.org/officeDocument/2006/relationships/image" Target="media/image60.emf"/><Relationship Id="rId87" Type="http://schemas.openxmlformats.org/officeDocument/2006/relationships/image" Target="media/image68.png"/><Relationship Id="rId102"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42.emf"/><Relationship Id="rId82" Type="http://schemas.openxmlformats.org/officeDocument/2006/relationships/image" Target="media/image63.emf"/><Relationship Id="rId90" Type="http://schemas.openxmlformats.org/officeDocument/2006/relationships/hyperlink" Target="http://dx.doi.org/10.3133/sir20155162" TargetMode="External"/><Relationship Id="rId95" Type="http://schemas.openxmlformats.org/officeDocument/2006/relationships/image" Target="media/image71.png"/><Relationship Id="rId19" Type="http://schemas.openxmlformats.org/officeDocument/2006/relationships/header" Target="header4.xml"/><Relationship Id="rId14" Type="http://schemas.openxmlformats.org/officeDocument/2006/relationships/footer" Target="footer3.xm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image" Target="media/image45.emf"/><Relationship Id="rId69" Type="http://schemas.openxmlformats.org/officeDocument/2006/relationships/image" Target="media/image50.png"/><Relationship Id="rId77" Type="http://schemas.openxmlformats.org/officeDocument/2006/relationships/image" Target="media/image58.emf"/><Relationship Id="rId100" Type="http://schemas.openxmlformats.org/officeDocument/2006/relationships/image" Target="media/image76.png"/><Relationship Id="rId8" Type="http://schemas.openxmlformats.org/officeDocument/2006/relationships/image" Target="media/image2.emf"/><Relationship Id="rId51" Type="http://schemas.openxmlformats.org/officeDocument/2006/relationships/image" Target="media/image32.pn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emf"/><Relationship Id="rId93" Type="http://schemas.openxmlformats.org/officeDocument/2006/relationships/image" Target="media/image69.png"/><Relationship Id="rId98" Type="http://schemas.openxmlformats.org/officeDocument/2006/relationships/image" Target="media/image74.png"/><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yperlink" Target="http://www.glossary.oilfield.slb.com/en/Terms/m/model.aspx" TargetMode="External"/><Relationship Id="rId25" Type="http://schemas.openxmlformats.org/officeDocument/2006/relationships/image" Target="media/image6.emf"/><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footer" Target="footer4.xml"/><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image" Target="media/image43.png"/><Relationship Id="rId70" Type="http://schemas.openxmlformats.org/officeDocument/2006/relationships/image" Target="media/image51.emf"/><Relationship Id="rId75" Type="http://schemas.openxmlformats.org/officeDocument/2006/relationships/image" Target="media/image56.emf"/><Relationship Id="rId83" Type="http://schemas.openxmlformats.org/officeDocument/2006/relationships/image" Target="media/image64.png"/><Relationship Id="rId88" Type="http://schemas.openxmlformats.org/officeDocument/2006/relationships/hyperlink" Target="http://dx.doi.org/10.1111/gwat.12489" TargetMode="External"/><Relationship Id="rId91" Type="http://schemas.openxmlformats.org/officeDocument/2006/relationships/hyperlink" Target="http://faculty.sites.uci.edu/jasper/files/2016/04/79.pdf" TargetMode="External"/><Relationship Id="rId96" Type="http://schemas.openxmlformats.org/officeDocument/2006/relationships/image" Target="media/image72.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mailto:csiroenquiries@csiro.au" TargetMode="External"/><Relationship Id="rId23" Type="http://schemas.openxmlformats.org/officeDocument/2006/relationships/image" Target="media/image4.png"/><Relationship Id="rId28" Type="http://schemas.openxmlformats.org/officeDocument/2006/relationships/image" Target="media/image9.jpe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header" Target="header2.xml"/><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image" Target="media/image59.png"/><Relationship Id="rId81" Type="http://schemas.openxmlformats.org/officeDocument/2006/relationships/image" Target="media/image62.emf"/><Relationship Id="rId86" Type="http://schemas.openxmlformats.org/officeDocument/2006/relationships/image" Target="media/image67.png"/><Relationship Id="rId94" Type="http://schemas.openxmlformats.org/officeDocument/2006/relationships/image" Target="media/image70.png"/><Relationship Id="rId99" Type="http://schemas.openxmlformats.org/officeDocument/2006/relationships/image" Target="media/image75.png"/><Relationship Id="rId10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yperlink" Target="https://en.wikipedia.org/wiki/Function_(mathematics)" TargetMode="External"/><Relationship Id="rId39" Type="http://schemas.openxmlformats.org/officeDocument/2006/relationships/image" Target="media/image20.png"/></Relationships>
</file>

<file path=word/theme/theme1.xml><?xml version="1.0" encoding="utf-8"?>
<a:theme xmlns:a="http://schemas.openxmlformats.org/drawingml/2006/main" name="Office Theme">
  <a:themeElements>
    <a:clrScheme name="CSIRO Midday">
      <a:dk1>
        <a:sysClr val="windowText" lastClr="000000"/>
      </a:dk1>
      <a:lt1>
        <a:srgbClr val="FFFFFF"/>
      </a:lt1>
      <a:dk2>
        <a:srgbClr val="000000"/>
      </a:dk2>
      <a:lt2>
        <a:srgbClr val="FFFFFF"/>
      </a:lt2>
      <a:accent1>
        <a:srgbClr val="00A9CE"/>
      </a:accent1>
      <a:accent2>
        <a:srgbClr val="00313C"/>
      </a:accent2>
      <a:accent3>
        <a:srgbClr val="78BE20"/>
      </a:accent3>
      <a:accent4>
        <a:srgbClr val="4A7729"/>
      </a:accent4>
      <a:accent5>
        <a:srgbClr val="9FAEE5"/>
      </a:accent5>
      <a:accent6>
        <a:srgbClr val="1E22AA"/>
      </a:accent6>
      <a:hlink>
        <a:srgbClr val="41B6E6"/>
      </a:hlink>
      <a:folHlink>
        <a:srgbClr val="004B8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A72026BB.dotm</Template>
  <TotalTime>0</TotalTime>
  <Pages>132</Pages>
  <Words>43466</Words>
  <Characters>247760</Characters>
  <Application>Microsoft Office Word</Application>
  <DocSecurity>4</DocSecurity>
  <Lines>2064</Lines>
  <Paragraphs>581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290645</CharactersWithSpaces>
  <SharedDoc>false</SharedDoc>
  <HLinks>
    <vt:vector size="84" baseType="variant">
      <vt:variant>
        <vt:i4>1835069</vt:i4>
      </vt:variant>
      <vt:variant>
        <vt:i4>86</vt:i4>
      </vt:variant>
      <vt:variant>
        <vt:i4>0</vt:i4>
      </vt:variant>
      <vt:variant>
        <vt:i4>5</vt:i4>
      </vt:variant>
      <vt:variant>
        <vt:lpwstr/>
      </vt:variant>
      <vt:variant>
        <vt:lpwstr>_Toc316486081</vt:lpwstr>
      </vt:variant>
      <vt:variant>
        <vt:i4>1179709</vt:i4>
      </vt:variant>
      <vt:variant>
        <vt:i4>77</vt:i4>
      </vt:variant>
      <vt:variant>
        <vt:i4>0</vt:i4>
      </vt:variant>
      <vt:variant>
        <vt:i4>5</vt:i4>
      </vt:variant>
      <vt:variant>
        <vt:lpwstr/>
      </vt:variant>
      <vt:variant>
        <vt:lpwstr>_Toc316486069</vt:lpwstr>
      </vt:variant>
      <vt:variant>
        <vt:i4>1507380</vt:i4>
      </vt:variant>
      <vt:variant>
        <vt:i4>68</vt:i4>
      </vt:variant>
      <vt:variant>
        <vt:i4>0</vt:i4>
      </vt:variant>
      <vt:variant>
        <vt:i4>5</vt:i4>
      </vt:variant>
      <vt:variant>
        <vt:lpwstr/>
      </vt:variant>
      <vt:variant>
        <vt:lpwstr>_Toc316485903</vt:lpwstr>
      </vt:variant>
      <vt:variant>
        <vt:i4>1507380</vt:i4>
      </vt:variant>
      <vt:variant>
        <vt:i4>62</vt:i4>
      </vt:variant>
      <vt:variant>
        <vt:i4>0</vt:i4>
      </vt:variant>
      <vt:variant>
        <vt:i4>5</vt:i4>
      </vt:variant>
      <vt:variant>
        <vt:lpwstr/>
      </vt:variant>
      <vt:variant>
        <vt:lpwstr>_Toc316485902</vt:lpwstr>
      </vt:variant>
      <vt:variant>
        <vt:i4>1507380</vt:i4>
      </vt:variant>
      <vt:variant>
        <vt:i4>56</vt:i4>
      </vt:variant>
      <vt:variant>
        <vt:i4>0</vt:i4>
      </vt:variant>
      <vt:variant>
        <vt:i4>5</vt:i4>
      </vt:variant>
      <vt:variant>
        <vt:lpwstr/>
      </vt:variant>
      <vt:variant>
        <vt:lpwstr>_Toc316485901</vt:lpwstr>
      </vt:variant>
      <vt:variant>
        <vt:i4>1507380</vt:i4>
      </vt:variant>
      <vt:variant>
        <vt:i4>50</vt:i4>
      </vt:variant>
      <vt:variant>
        <vt:i4>0</vt:i4>
      </vt:variant>
      <vt:variant>
        <vt:i4>5</vt:i4>
      </vt:variant>
      <vt:variant>
        <vt:lpwstr/>
      </vt:variant>
      <vt:variant>
        <vt:lpwstr>_Toc316485900</vt:lpwstr>
      </vt:variant>
      <vt:variant>
        <vt:i4>1966133</vt:i4>
      </vt:variant>
      <vt:variant>
        <vt:i4>44</vt:i4>
      </vt:variant>
      <vt:variant>
        <vt:i4>0</vt:i4>
      </vt:variant>
      <vt:variant>
        <vt:i4>5</vt:i4>
      </vt:variant>
      <vt:variant>
        <vt:lpwstr/>
      </vt:variant>
      <vt:variant>
        <vt:lpwstr>_Toc316485899</vt:lpwstr>
      </vt:variant>
      <vt:variant>
        <vt:i4>1966133</vt:i4>
      </vt:variant>
      <vt:variant>
        <vt:i4>38</vt:i4>
      </vt:variant>
      <vt:variant>
        <vt:i4>0</vt:i4>
      </vt:variant>
      <vt:variant>
        <vt:i4>5</vt:i4>
      </vt:variant>
      <vt:variant>
        <vt:lpwstr/>
      </vt:variant>
      <vt:variant>
        <vt:lpwstr>_Toc316485898</vt:lpwstr>
      </vt:variant>
      <vt:variant>
        <vt:i4>1966133</vt:i4>
      </vt:variant>
      <vt:variant>
        <vt:i4>32</vt:i4>
      </vt:variant>
      <vt:variant>
        <vt:i4>0</vt:i4>
      </vt:variant>
      <vt:variant>
        <vt:i4>5</vt:i4>
      </vt:variant>
      <vt:variant>
        <vt:lpwstr/>
      </vt:variant>
      <vt:variant>
        <vt:lpwstr>_Toc316485897</vt:lpwstr>
      </vt:variant>
      <vt:variant>
        <vt:i4>1966133</vt:i4>
      </vt:variant>
      <vt:variant>
        <vt:i4>26</vt:i4>
      </vt:variant>
      <vt:variant>
        <vt:i4>0</vt:i4>
      </vt:variant>
      <vt:variant>
        <vt:i4>5</vt:i4>
      </vt:variant>
      <vt:variant>
        <vt:lpwstr/>
      </vt:variant>
      <vt:variant>
        <vt:lpwstr>_Toc316485896</vt:lpwstr>
      </vt:variant>
      <vt:variant>
        <vt:i4>1966133</vt:i4>
      </vt:variant>
      <vt:variant>
        <vt:i4>20</vt:i4>
      </vt:variant>
      <vt:variant>
        <vt:i4>0</vt:i4>
      </vt:variant>
      <vt:variant>
        <vt:i4>5</vt:i4>
      </vt:variant>
      <vt:variant>
        <vt:lpwstr/>
      </vt:variant>
      <vt:variant>
        <vt:lpwstr>_Toc316485895</vt:lpwstr>
      </vt:variant>
      <vt:variant>
        <vt:i4>1966133</vt:i4>
      </vt:variant>
      <vt:variant>
        <vt:i4>14</vt:i4>
      </vt:variant>
      <vt:variant>
        <vt:i4>0</vt:i4>
      </vt:variant>
      <vt:variant>
        <vt:i4>5</vt:i4>
      </vt:variant>
      <vt:variant>
        <vt:lpwstr/>
      </vt:variant>
      <vt:variant>
        <vt:lpwstr>_Toc316485894</vt:lpwstr>
      </vt:variant>
      <vt:variant>
        <vt:i4>1966133</vt:i4>
      </vt:variant>
      <vt:variant>
        <vt:i4>8</vt:i4>
      </vt:variant>
      <vt:variant>
        <vt:i4>0</vt:i4>
      </vt:variant>
      <vt:variant>
        <vt:i4>5</vt:i4>
      </vt:variant>
      <vt:variant>
        <vt:lpwstr/>
      </vt:variant>
      <vt:variant>
        <vt:lpwstr>_Toc316485893</vt:lpwstr>
      </vt:variant>
      <vt:variant>
        <vt:i4>1966133</vt:i4>
      </vt:variant>
      <vt:variant>
        <vt:i4>2</vt:i4>
      </vt:variant>
      <vt:variant>
        <vt:i4>0</vt:i4>
      </vt:variant>
      <vt:variant>
        <vt:i4>5</vt:i4>
      </vt:variant>
      <vt:variant>
        <vt:lpwstr/>
      </vt:variant>
      <vt:variant>
        <vt:lpwstr>_Toc316485892</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Sensitivity and uncertainty analysis of a regional-scale groundwater flow model featuring coal seam gas extraction</dc:title>
  <dc:subject/>
  <dc:creator>Chris Turnadge, Dirk Mallants and Luk Peeters</dc:creator>
  <cp:keywords/>
  <dc:description/>
  <cp:lastModifiedBy>Durack, Bec</cp:lastModifiedBy>
  <cp:revision>2</cp:revision>
  <dcterms:created xsi:type="dcterms:W3CDTF">2018-03-08T04:36:00Z</dcterms:created>
  <dcterms:modified xsi:type="dcterms:W3CDTF">2018-03-08T04:36:00Z</dcterms:modified>
  <cp:category/>
</cp:coreProperties>
</file>