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CAA3" w14:textId="76842559" w:rsidR="00EE0797" w:rsidRDefault="00C650CA" w:rsidP="00EE0797">
      <w:pPr>
        <w:pStyle w:val="Heading1"/>
        <w:spacing w:before="240"/>
      </w:pPr>
      <w:r>
        <w:t>Snapshot of</w:t>
      </w:r>
      <w:r w:rsidR="00A1073E">
        <w:t xml:space="preserve"> </w:t>
      </w:r>
      <w:r w:rsidR="001C0E52">
        <w:t>Australian agricultural machinery imports - November</w:t>
      </w:r>
      <w:r w:rsidR="00EE0797" w:rsidRPr="00435C5F">
        <w:t xml:space="preserve"> 2022</w:t>
      </w:r>
    </w:p>
    <w:p w14:paraId="32E79799" w14:textId="26952A08" w:rsidR="00EE0797" w:rsidRPr="00EE0797" w:rsidRDefault="00A57B0E" w:rsidP="00EE0797">
      <w:pPr>
        <w:rPr>
          <w:bCs/>
          <w:sz w:val="24"/>
          <w:szCs w:val="24"/>
        </w:rPr>
      </w:pPr>
      <w:r w:rsidRPr="00186AEE">
        <w:rPr>
          <w:sz w:val="24"/>
          <w:szCs w:val="24"/>
        </w:rPr>
        <w:t>Record demand and disrupted supply chains have led to high prices and delays for agricultural machinery imports. Strong agricultural production and ongoing high shipping costs will keep machinery prices elevated in 2022-23</w:t>
      </w:r>
      <w:r w:rsidR="00A223BF" w:rsidRPr="00186AEE">
        <w:rPr>
          <w:sz w:val="24"/>
          <w:szCs w:val="24"/>
        </w:rPr>
        <w:t>.</w:t>
      </w:r>
    </w:p>
    <w:p w14:paraId="414E3C35" w14:textId="77777777" w:rsidR="00A57B0E" w:rsidRDefault="00A57B0E" w:rsidP="00A57B0E">
      <w:pPr>
        <w:pStyle w:val="Heading2"/>
        <w:numPr>
          <w:ilvl w:val="0"/>
          <w:numId w:val="0"/>
        </w:numPr>
        <w:ind w:left="720" w:hanging="720"/>
      </w:pPr>
      <w:r w:rsidRPr="00A57B0E">
        <w:t>Machinery imports are important for Australian agriculture</w:t>
      </w:r>
    </w:p>
    <w:p w14:paraId="61F316D5" w14:textId="302A414E" w:rsidR="00A57B0E" w:rsidRPr="00A57B0E" w:rsidRDefault="00A57B0E" w:rsidP="00A57B0E">
      <w:pPr>
        <w:pStyle w:val="ListParagraph"/>
        <w:numPr>
          <w:ilvl w:val="0"/>
          <w:numId w:val="17"/>
        </w:numPr>
        <w:rPr>
          <w:sz w:val="24"/>
          <w:szCs w:val="24"/>
        </w:rPr>
      </w:pPr>
      <w:r w:rsidRPr="00A57B0E">
        <w:rPr>
          <w:sz w:val="24"/>
          <w:szCs w:val="24"/>
        </w:rPr>
        <w:t>Between 2019-20 and 2021-22, Australia imported an average of $1.7 billion of agricultural machinery each year.</w:t>
      </w:r>
      <w:r>
        <w:rPr>
          <w:rStyle w:val="FootnoteReference"/>
          <w:sz w:val="24"/>
          <w:szCs w:val="24"/>
        </w:rPr>
        <w:footnoteReference w:id="1"/>
      </w:r>
    </w:p>
    <w:p w14:paraId="45BFDDD1" w14:textId="1994C58D" w:rsidR="00A57B0E" w:rsidRPr="00A57B0E" w:rsidRDefault="00A57B0E" w:rsidP="00A57B0E">
      <w:pPr>
        <w:pStyle w:val="ListParagraph"/>
        <w:numPr>
          <w:ilvl w:val="0"/>
          <w:numId w:val="17"/>
        </w:numPr>
        <w:rPr>
          <w:sz w:val="24"/>
          <w:szCs w:val="24"/>
        </w:rPr>
      </w:pPr>
      <w:r w:rsidRPr="00A57B0E">
        <w:rPr>
          <w:sz w:val="24"/>
          <w:szCs w:val="24"/>
        </w:rPr>
        <w:t xml:space="preserve">Harvesters and threshers ($493m) and machinery to prepare soil ($200m) </w:t>
      </w:r>
      <w:r w:rsidR="00186AEE">
        <w:rPr>
          <w:sz w:val="24"/>
          <w:szCs w:val="24"/>
        </w:rPr>
        <w:t>we</w:t>
      </w:r>
      <w:r w:rsidRPr="00A57B0E">
        <w:rPr>
          <w:sz w:val="24"/>
          <w:szCs w:val="24"/>
        </w:rPr>
        <w:t xml:space="preserve">re the largest import categories. </w:t>
      </w:r>
    </w:p>
    <w:p w14:paraId="6CAD7F1A" w14:textId="77777777" w:rsidR="00A57B0E" w:rsidRPr="00A57B0E" w:rsidRDefault="00A57B0E" w:rsidP="00A57B0E">
      <w:pPr>
        <w:pStyle w:val="ListParagraph"/>
        <w:numPr>
          <w:ilvl w:val="0"/>
          <w:numId w:val="17"/>
        </w:numPr>
        <w:rPr>
          <w:sz w:val="24"/>
          <w:szCs w:val="24"/>
        </w:rPr>
      </w:pPr>
      <w:r w:rsidRPr="00A57B0E">
        <w:rPr>
          <w:sz w:val="24"/>
          <w:szCs w:val="24"/>
        </w:rPr>
        <w:t xml:space="preserve">Approximately 60% of Australia’s agricultural machinery demand is met by imports (IBISWorld 2021). </w:t>
      </w:r>
    </w:p>
    <w:p w14:paraId="75AEE99E" w14:textId="0D3889FD" w:rsidR="00E14423" w:rsidRPr="00E14423" w:rsidRDefault="00A57B0E" w:rsidP="00A57B0E">
      <w:pPr>
        <w:pStyle w:val="ListParagraph"/>
        <w:numPr>
          <w:ilvl w:val="1"/>
          <w:numId w:val="17"/>
        </w:numPr>
        <w:rPr>
          <w:sz w:val="24"/>
          <w:szCs w:val="24"/>
        </w:rPr>
      </w:pPr>
      <w:r w:rsidRPr="00A57B0E">
        <w:rPr>
          <w:sz w:val="24"/>
          <w:szCs w:val="24"/>
        </w:rPr>
        <w:t>This includes imports of whole products, such as tractors, and components that are used in Australia’s domestic machinery manufacturing industry.</w:t>
      </w:r>
    </w:p>
    <w:p w14:paraId="46574D4C" w14:textId="1CCFF88B" w:rsidR="00E14423" w:rsidRDefault="00E14423" w:rsidP="00E14423">
      <w:pPr>
        <w:pStyle w:val="Caption"/>
      </w:pPr>
      <w:r>
        <w:t xml:space="preserve">Figure </w:t>
      </w:r>
      <w:fldSimple w:instr=" SEQ Figure \* ARABIC ">
        <w:r>
          <w:rPr>
            <w:noProof/>
          </w:rPr>
          <w:t>1</w:t>
        </w:r>
      </w:fldSimple>
      <w:r w:rsidRPr="00494053">
        <w:t>: Australian agricultural machinery imports</w:t>
      </w:r>
    </w:p>
    <w:p w14:paraId="46344A13" w14:textId="15CC969C" w:rsidR="00E14423" w:rsidRDefault="00E14423" w:rsidP="00E14423">
      <w:pPr>
        <w:jc w:val="right"/>
        <w:rPr>
          <w:sz w:val="24"/>
          <w:szCs w:val="24"/>
        </w:rPr>
      </w:pPr>
      <w:r>
        <w:rPr>
          <w:noProof/>
          <w:sz w:val="24"/>
          <w:szCs w:val="24"/>
        </w:rPr>
        <w:drawing>
          <wp:inline distT="0" distB="0" distL="0" distR="0" wp14:anchorId="5A37CDDC" wp14:editId="25FA7E50">
            <wp:extent cx="4956175" cy="282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175" cy="2822575"/>
                    </a:xfrm>
                    <a:prstGeom prst="rect">
                      <a:avLst/>
                    </a:prstGeom>
                    <a:noFill/>
                  </pic:spPr>
                </pic:pic>
              </a:graphicData>
            </a:graphic>
          </wp:inline>
        </w:drawing>
      </w:r>
    </w:p>
    <w:p w14:paraId="7946A7C6" w14:textId="5D392040" w:rsidR="00E14423" w:rsidRDefault="00E14423" w:rsidP="00E14423">
      <w:pPr>
        <w:pStyle w:val="Caption"/>
      </w:pPr>
      <w:r>
        <w:lastRenderedPageBreak/>
        <w:t xml:space="preserve">Figure </w:t>
      </w:r>
      <w:fldSimple w:instr=" SEQ Figure \* ARABIC ">
        <w:r>
          <w:rPr>
            <w:noProof/>
          </w:rPr>
          <w:t>2</w:t>
        </w:r>
      </w:fldSimple>
      <w:r w:rsidRPr="00A2425A">
        <w:t xml:space="preserve">: Share of Australian </w:t>
      </w:r>
      <w:r w:rsidR="00186AEE">
        <w:t xml:space="preserve">agricultural </w:t>
      </w:r>
      <w:r w:rsidRPr="00A2425A">
        <w:t>machinery imports by country</w:t>
      </w:r>
    </w:p>
    <w:p w14:paraId="3474A923" w14:textId="68278960" w:rsidR="00E14423" w:rsidRDefault="00E14423" w:rsidP="00E14423">
      <w:pPr>
        <w:jc w:val="center"/>
        <w:rPr>
          <w:sz w:val="24"/>
          <w:szCs w:val="24"/>
        </w:rPr>
      </w:pPr>
      <w:r>
        <w:rPr>
          <w:noProof/>
          <w:sz w:val="24"/>
          <w:szCs w:val="24"/>
        </w:rPr>
        <w:drawing>
          <wp:inline distT="0" distB="0" distL="0" distR="0" wp14:anchorId="67908A6D" wp14:editId="18329915">
            <wp:extent cx="5401310" cy="2573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2573020"/>
                    </a:xfrm>
                    <a:prstGeom prst="rect">
                      <a:avLst/>
                    </a:prstGeom>
                    <a:noFill/>
                  </pic:spPr>
                </pic:pic>
              </a:graphicData>
            </a:graphic>
          </wp:inline>
        </w:drawing>
      </w:r>
    </w:p>
    <w:p w14:paraId="37F89334" w14:textId="77777777" w:rsidR="00E14423" w:rsidRDefault="00E14423" w:rsidP="00E14423">
      <w:pPr>
        <w:rPr>
          <w:rFonts w:ascii="Calibri" w:eastAsiaTheme="minorEastAsia" w:hAnsi="Calibri"/>
          <w:bCs/>
          <w:color w:val="000000"/>
          <w:sz w:val="36"/>
          <w:szCs w:val="28"/>
          <w:lang w:eastAsia="ja-JP"/>
        </w:rPr>
      </w:pPr>
      <w:r w:rsidRPr="00E14423">
        <w:rPr>
          <w:rFonts w:ascii="Calibri" w:eastAsiaTheme="minorEastAsia" w:hAnsi="Calibri"/>
          <w:bCs/>
          <w:color w:val="000000"/>
          <w:sz w:val="36"/>
          <w:szCs w:val="28"/>
          <w:lang w:eastAsia="ja-JP"/>
        </w:rPr>
        <w:t>Demand for agricultural machinery is at record levels</w:t>
      </w:r>
    </w:p>
    <w:p w14:paraId="573EF518" w14:textId="7C4F060A" w:rsidR="00E14423" w:rsidRPr="00E14423" w:rsidRDefault="00E14423" w:rsidP="00E14423">
      <w:pPr>
        <w:pStyle w:val="Heading2"/>
        <w:numPr>
          <w:ilvl w:val="0"/>
          <w:numId w:val="18"/>
        </w:numPr>
        <w:rPr>
          <w:rFonts w:ascii="Cambria" w:eastAsiaTheme="minorHAnsi" w:hAnsi="Cambria"/>
          <w:bCs w:val="0"/>
          <w:color w:val="auto"/>
          <w:sz w:val="24"/>
          <w:szCs w:val="24"/>
          <w:lang w:eastAsia="en-US"/>
        </w:rPr>
      </w:pPr>
      <w:r w:rsidRPr="00E14423">
        <w:rPr>
          <w:rFonts w:ascii="Cambria" w:eastAsiaTheme="minorHAnsi" w:hAnsi="Cambria"/>
          <w:bCs w:val="0"/>
          <w:color w:val="auto"/>
          <w:sz w:val="24"/>
          <w:szCs w:val="24"/>
          <w:lang w:eastAsia="en-US"/>
        </w:rPr>
        <w:t xml:space="preserve">Australia imported a record $2.1 billion of agricultural machinery in 2021-22. This was a 46% increase on the previous three-year average. July and August 2022 </w:t>
      </w:r>
      <w:r w:rsidR="00186AEE">
        <w:rPr>
          <w:rFonts w:ascii="Cambria" w:eastAsiaTheme="minorHAnsi" w:hAnsi="Cambria"/>
          <w:bCs w:val="0"/>
          <w:color w:val="auto"/>
          <w:sz w:val="24"/>
          <w:szCs w:val="24"/>
          <w:lang w:eastAsia="en-US"/>
        </w:rPr>
        <w:t xml:space="preserve">also </w:t>
      </w:r>
      <w:r w:rsidRPr="00E14423">
        <w:rPr>
          <w:rFonts w:ascii="Cambria" w:eastAsiaTheme="minorHAnsi" w:hAnsi="Cambria"/>
          <w:bCs w:val="0"/>
          <w:color w:val="auto"/>
          <w:sz w:val="24"/>
          <w:szCs w:val="24"/>
          <w:lang w:eastAsia="en-US"/>
        </w:rPr>
        <w:t>saw record import values.</w:t>
      </w:r>
    </w:p>
    <w:p w14:paraId="254D8278" w14:textId="63B211D0" w:rsidR="00E14423" w:rsidRPr="00E14423" w:rsidRDefault="00E14423" w:rsidP="00E14423">
      <w:pPr>
        <w:pStyle w:val="Heading2"/>
        <w:numPr>
          <w:ilvl w:val="0"/>
          <w:numId w:val="18"/>
        </w:numPr>
        <w:rPr>
          <w:rFonts w:ascii="Cambria" w:eastAsiaTheme="minorHAnsi" w:hAnsi="Cambria"/>
          <w:bCs w:val="0"/>
          <w:color w:val="auto"/>
          <w:sz w:val="24"/>
          <w:szCs w:val="24"/>
          <w:lang w:eastAsia="en-US"/>
        </w:rPr>
      </w:pPr>
      <w:r w:rsidRPr="00E14423">
        <w:rPr>
          <w:rFonts w:ascii="Cambria" w:eastAsiaTheme="minorHAnsi" w:hAnsi="Cambria"/>
          <w:bCs w:val="0"/>
          <w:color w:val="auto"/>
          <w:sz w:val="24"/>
          <w:szCs w:val="24"/>
          <w:lang w:eastAsia="en-US"/>
        </w:rPr>
        <w:t xml:space="preserve">According to the </w:t>
      </w:r>
      <w:hyperlink r:id="rId12" w:history="1">
        <w:r w:rsidRPr="00E14423">
          <w:rPr>
            <w:rStyle w:val="Hyperlink"/>
            <w:rFonts w:ascii="Cambria" w:eastAsiaTheme="minorHAnsi" w:hAnsi="Cambria"/>
            <w:bCs w:val="0"/>
            <w:sz w:val="24"/>
            <w:szCs w:val="24"/>
            <w:lang w:eastAsia="en-US"/>
          </w:rPr>
          <w:t>Tractor Machinery Association of Australia</w:t>
        </w:r>
      </w:hyperlink>
      <w:r w:rsidRPr="00E14423">
        <w:rPr>
          <w:rFonts w:ascii="Cambria" w:eastAsiaTheme="minorHAnsi" w:hAnsi="Cambria"/>
          <w:bCs w:val="0"/>
          <w:color w:val="auto"/>
          <w:sz w:val="24"/>
          <w:szCs w:val="24"/>
          <w:lang w:eastAsia="en-US"/>
        </w:rPr>
        <w:t>, machinery demand has been at levels not seen since the late 1970s/early 1980s.</w:t>
      </w:r>
    </w:p>
    <w:p w14:paraId="57A334D5" w14:textId="74F747C8" w:rsidR="00E14423" w:rsidRDefault="00E14423" w:rsidP="00E14423">
      <w:pPr>
        <w:pStyle w:val="Heading2"/>
        <w:numPr>
          <w:ilvl w:val="0"/>
          <w:numId w:val="18"/>
        </w:numPr>
        <w:rPr>
          <w:rFonts w:ascii="Cambria" w:eastAsiaTheme="minorHAnsi" w:hAnsi="Cambria"/>
          <w:bCs w:val="0"/>
          <w:color w:val="auto"/>
          <w:sz w:val="24"/>
          <w:szCs w:val="24"/>
          <w:lang w:eastAsia="en-US"/>
        </w:rPr>
      </w:pPr>
      <w:r w:rsidRPr="00E14423">
        <w:rPr>
          <w:rFonts w:ascii="Cambria" w:eastAsiaTheme="minorHAnsi" w:hAnsi="Cambria"/>
          <w:bCs w:val="0"/>
          <w:color w:val="auto"/>
          <w:sz w:val="24"/>
          <w:szCs w:val="24"/>
          <w:lang w:eastAsia="en-US"/>
        </w:rPr>
        <w:t xml:space="preserve">High demand is being driven by strong agricultural production and prices, and the Australian Government’s </w:t>
      </w:r>
      <w:hyperlink r:id="rId13" w:history="1">
        <w:r w:rsidRPr="00E14423">
          <w:rPr>
            <w:rStyle w:val="Hyperlink"/>
            <w:rFonts w:ascii="Cambria" w:eastAsiaTheme="minorHAnsi" w:hAnsi="Cambria"/>
            <w:bCs w:val="0"/>
            <w:sz w:val="24"/>
            <w:szCs w:val="24"/>
            <w:lang w:eastAsia="en-US"/>
          </w:rPr>
          <w:t>Temporary Full Expensing</w:t>
        </w:r>
      </w:hyperlink>
      <w:r w:rsidRPr="00E14423">
        <w:rPr>
          <w:rFonts w:ascii="Cambria" w:eastAsiaTheme="minorHAnsi" w:hAnsi="Cambria"/>
          <w:bCs w:val="0"/>
          <w:color w:val="auto"/>
          <w:sz w:val="24"/>
          <w:szCs w:val="24"/>
          <w:lang w:eastAsia="en-US"/>
        </w:rPr>
        <w:t xml:space="preserve"> (TFE) program, which includes tax incentives for eligible capital expenses.</w:t>
      </w:r>
    </w:p>
    <w:p w14:paraId="31143C7F" w14:textId="2B26DC92" w:rsidR="00E14423" w:rsidRDefault="00E14423" w:rsidP="00E14423">
      <w:pPr>
        <w:spacing w:after="0"/>
      </w:pPr>
      <w:r>
        <w:rPr>
          <w:noProof/>
        </w:rPr>
        <w:drawing>
          <wp:anchor distT="0" distB="0" distL="114300" distR="114300" simplePos="0" relativeHeight="251658240" behindDoc="0" locked="0" layoutInCell="1" allowOverlap="1" wp14:anchorId="0F7732ED" wp14:editId="4430642F">
            <wp:simplePos x="0" y="0"/>
            <wp:positionH relativeFrom="margin">
              <wp:posOffset>-239698</wp:posOffset>
            </wp:positionH>
            <wp:positionV relativeFrom="paragraph">
              <wp:posOffset>188871</wp:posOffset>
            </wp:positionV>
            <wp:extent cx="6283325" cy="755650"/>
            <wp:effectExtent l="0" t="0" r="3175"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3325" cy="755650"/>
                    </a:xfrm>
                    <a:prstGeom prst="rect">
                      <a:avLst/>
                    </a:prstGeom>
                    <a:noFill/>
                  </pic:spPr>
                </pic:pic>
              </a:graphicData>
            </a:graphic>
          </wp:anchor>
        </w:drawing>
      </w:r>
    </w:p>
    <w:p w14:paraId="26B069D6" w14:textId="16ED7C58" w:rsidR="00E14423" w:rsidRDefault="00E14423" w:rsidP="00E14423">
      <w:pPr>
        <w:pStyle w:val="Caption"/>
      </w:pPr>
      <w:r>
        <w:lastRenderedPageBreak/>
        <w:t xml:space="preserve">Figure </w:t>
      </w:r>
      <w:fldSimple w:instr=" SEQ Figure \* ARABIC ">
        <w:r>
          <w:rPr>
            <w:noProof/>
          </w:rPr>
          <w:t>3</w:t>
        </w:r>
      </w:fldSimple>
      <w:r>
        <w:t xml:space="preserve">: </w:t>
      </w:r>
      <w:r w:rsidRPr="00BF6B85">
        <w:t xml:space="preserve">Shipping container price index for US and Europe routes </w:t>
      </w:r>
      <w:r w:rsidR="00186AEE">
        <w:t xml:space="preserve">to Australia </w:t>
      </w:r>
      <w:r w:rsidRPr="00BF6B85">
        <w:t>and global shipping schedule reliability</w:t>
      </w:r>
    </w:p>
    <w:p w14:paraId="6E732074" w14:textId="48D2863B" w:rsidR="00E14423" w:rsidRPr="00E14423" w:rsidRDefault="00E14423" w:rsidP="00E14423">
      <w:pPr>
        <w:jc w:val="center"/>
      </w:pPr>
      <w:r>
        <w:rPr>
          <w:noProof/>
        </w:rPr>
        <w:drawing>
          <wp:inline distT="0" distB="0" distL="0" distR="0" wp14:anchorId="1BB5F3BF" wp14:editId="0B4DF592">
            <wp:extent cx="4810125" cy="2597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2597150"/>
                    </a:xfrm>
                    <a:prstGeom prst="rect">
                      <a:avLst/>
                    </a:prstGeom>
                    <a:noFill/>
                  </pic:spPr>
                </pic:pic>
              </a:graphicData>
            </a:graphic>
          </wp:inline>
        </w:drawing>
      </w:r>
    </w:p>
    <w:p w14:paraId="67C37F89" w14:textId="77777777" w:rsidR="00186AEE" w:rsidRDefault="00186AEE" w:rsidP="00186AEE">
      <w:pPr>
        <w:rPr>
          <w:rFonts w:ascii="Calibri" w:eastAsiaTheme="minorEastAsia" w:hAnsi="Calibri"/>
          <w:bCs/>
          <w:color w:val="000000"/>
          <w:sz w:val="36"/>
          <w:szCs w:val="28"/>
          <w:lang w:eastAsia="ja-JP"/>
        </w:rPr>
      </w:pPr>
      <w:r w:rsidRPr="00186AEE">
        <w:rPr>
          <w:rFonts w:ascii="Calibri" w:eastAsiaTheme="minorEastAsia" w:hAnsi="Calibri"/>
          <w:bCs/>
          <w:color w:val="000000"/>
          <w:sz w:val="36"/>
          <w:szCs w:val="28"/>
          <w:lang w:eastAsia="ja-JP"/>
        </w:rPr>
        <w:t>Machinery imports are seasonal and cyclical</w:t>
      </w:r>
    </w:p>
    <w:p w14:paraId="5BF998C4" w14:textId="77777777" w:rsidR="00186AEE" w:rsidRPr="00186AEE" w:rsidRDefault="00186AEE" w:rsidP="00186AEE">
      <w:pPr>
        <w:pStyle w:val="ListParagraph"/>
        <w:numPr>
          <w:ilvl w:val="0"/>
          <w:numId w:val="15"/>
        </w:numPr>
        <w:rPr>
          <w:sz w:val="24"/>
          <w:szCs w:val="24"/>
        </w:rPr>
      </w:pPr>
      <w:r w:rsidRPr="00186AEE">
        <w:rPr>
          <w:sz w:val="24"/>
          <w:szCs w:val="24"/>
        </w:rPr>
        <w:t>Agricultural machinery imports spike in winter each year. This is when famers use revenue from the previous year’s crop to invest in machinery for the upcoming harvest season.</w:t>
      </w:r>
    </w:p>
    <w:p w14:paraId="69DF3EF0" w14:textId="7AA786F2" w:rsidR="002234FB" w:rsidRPr="00186AEE" w:rsidRDefault="00186AEE" w:rsidP="00186AEE">
      <w:pPr>
        <w:pStyle w:val="ListParagraph"/>
        <w:numPr>
          <w:ilvl w:val="0"/>
          <w:numId w:val="15"/>
        </w:numPr>
        <w:rPr>
          <w:sz w:val="24"/>
          <w:szCs w:val="24"/>
        </w:rPr>
      </w:pPr>
      <w:r w:rsidRPr="00186AEE">
        <w:rPr>
          <w:sz w:val="24"/>
          <w:szCs w:val="24"/>
        </w:rPr>
        <w:t xml:space="preserve">Good seasonal conditions are closely correlated with increased machinery purchases. The return of the La Niña weather </w:t>
      </w:r>
      <w:r>
        <w:rPr>
          <w:sz w:val="24"/>
          <w:szCs w:val="24"/>
        </w:rPr>
        <w:t>cycle</w:t>
      </w:r>
      <w:r w:rsidRPr="00186AEE">
        <w:rPr>
          <w:sz w:val="24"/>
          <w:szCs w:val="24"/>
        </w:rPr>
        <w:t xml:space="preserve"> has led to increased demand for agricultural machinery.</w:t>
      </w:r>
    </w:p>
    <w:p w14:paraId="770ED5CE" w14:textId="77777777" w:rsidR="00186AEE" w:rsidRDefault="00186AEE" w:rsidP="00186AEE">
      <w:pPr>
        <w:rPr>
          <w:rFonts w:ascii="Calibri" w:eastAsiaTheme="minorEastAsia" w:hAnsi="Calibri"/>
          <w:bCs/>
          <w:color w:val="000000"/>
          <w:sz w:val="36"/>
          <w:szCs w:val="28"/>
          <w:lang w:eastAsia="ja-JP"/>
        </w:rPr>
      </w:pPr>
      <w:r w:rsidRPr="00186AEE">
        <w:rPr>
          <w:rFonts w:ascii="Calibri" w:eastAsiaTheme="minorEastAsia" w:hAnsi="Calibri"/>
          <w:bCs/>
          <w:color w:val="000000"/>
          <w:sz w:val="36"/>
          <w:szCs w:val="28"/>
          <w:lang w:eastAsia="ja-JP"/>
        </w:rPr>
        <w:t>Machinery imports have been affected by supply chain disruptions</w:t>
      </w:r>
    </w:p>
    <w:p w14:paraId="2063BAA9" w14:textId="77777777" w:rsidR="00186AEE" w:rsidRPr="00186AEE" w:rsidRDefault="00186AEE" w:rsidP="00186AEE">
      <w:pPr>
        <w:pStyle w:val="ListParagraph"/>
        <w:numPr>
          <w:ilvl w:val="0"/>
          <w:numId w:val="15"/>
        </w:numPr>
        <w:rPr>
          <w:sz w:val="24"/>
          <w:szCs w:val="24"/>
        </w:rPr>
      </w:pPr>
      <w:r w:rsidRPr="00186AEE">
        <w:rPr>
          <w:sz w:val="24"/>
          <w:szCs w:val="24"/>
        </w:rPr>
        <w:t>Between July 2020 and January 2022, global shipping reliability fell. Reliability has begun to improve in recent months.</w:t>
      </w:r>
    </w:p>
    <w:p w14:paraId="2CFC9CEB" w14:textId="77777777" w:rsidR="00186AEE" w:rsidRPr="00186AEE" w:rsidRDefault="00186AEE" w:rsidP="00186AEE">
      <w:pPr>
        <w:pStyle w:val="ListParagraph"/>
        <w:numPr>
          <w:ilvl w:val="0"/>
          <w:numId w:val="15"/>
        </w:numPr>
        <w:rPr>
          <w:sz w:val="24"/>
          <w:szCs w:val="24"/>
        </w:rPr>
      </w:pPr>
      <w:r w:rsidRPr="00186AEE">
        <w:rPr>
          <w:sz w:val="24"/>
          <w:szCs w:val="24"/>
        </w:rPr>
        <w:t>Shipping container prices from the US and Europe to Australia have risen sharply since early 2021 and are continuing to rise.</w:t>
      </w:r>
    </w:p>
    <w:p w14:paraId="21D46599" w14:textId="49A9A55B" w:rsidR="002234FB" w:rsidRPr="007154A9" w:rsidRDefault="00186AEE" w:rsidP="007154A9">
      <w:pPr>
        <w:pStyle w:val="ListParagraph"/>
        <w:numPr>
          <w:ilvl w:val="0"/>
          <w:numId w:val="15"/>
        </w:numPr>
        <w:rPr>
          <w:sz w:val="24"/>
          <w:szCs w:val="24"/>
        </w:rPr>
      </w:pPr>
      <w:r w:rsidRPr="00186AEE">
        <w:rPr>
          <w:sz w:val="24"/>
          <w:szCs w:val="24"/>
        </w:rPr>
        <w:t>Turnaround times at ports in Australia and overseas have been affected by staff shortages and industrial action.</w:t>
      </w:r>
    </w:p>
    <w:p w14:paraId="0F7D6A0F" w14:textId="2C6E94FB" w:rsidR="002234FB" w:rsidRPr="009D224D" w:rsidRDefault="00C817E9" w:rsidP="009D224D">
      <w:pPr>
        <w:pStyle w:val="Heading2"/>
        <w:numPr>
          <w:ilvl w:val="0"/>
          <w:numId w:val="0"/>
        </w:numPr>
        <w:ind w:left="720" w:hanging="720"/>
      </w:pPr>
      <w:r w:rsidRPr="009D224D">
        <w:t>Outlook for machinery imports</w:t>
      </w:r>
    </w:p>
    <w:p w14:paraId="5CD733FA" w14:textId="66E15E74" w:rsidR="00186AEE" w:rsidRPr="00186AEE" w:rsidRDefault="00186AEE" w:rsidP="00AA037D">
      <w:pPr>
        <w:rPr>
          <w:sz w:val="24"/>
          <w:szCs w:val="24"/>
        </w:rPr>
      </w:pPr>
      <w:r w:rsidRPr="00186AEE">
        <w:rPr>
          <w:sz w:val="24"/>
          <w:szCs w:val="24"/>
        </w:rPr>
        <w:t>Import statistics for July and August 2022 and market conditions indicate that both machinery demand and prices will remain high in 2022-23.</w:t>
      </w:r>
    </w:p>
    <w:p w14:paraId="5E00B6CA" w14:textId="0C396FA0" w:rsidR="00C84F1D" w:rsidRPr="00C84F1D" w:rsidRDefault="00C84F1D" w:rsidP="00AA037D">
      <w:pPr>
        <w:rPr>
          <w:sz w:val="24"/>
          <w:szCs w:val="24"/>
        </w:rPr>
      </w:pPr>
      <w:r w:rsidRPr="009D224D">
        <w:rPr>
          <w:b/>
          <w:bCs/>
          <w:sz w:val="24"/>
          <w:szCs w:val="24"/>
        </w:rPr>
        <w:t>Supply</w:t>
      </w:r>
      <w:r w:rsidR="00186AEE">
        <w:rPr>
          <w:b/>
          <w:bCs/>
          <w:sz w:val="24"/>
          <w:szCs w:val="24"/>
        </w:rPr>
        <w:t xml:space="preserve"> </w:t>
      </w:r>
      <w:r w:rsidR="00186AEE" w:rsidRPr="00186AEE">
        <w:rPr>
          <w:sz w:val="24"/>
          <w:szCs w:val="24"/>
        </w:rPr>
        <w:t>–</w:t>
      </w:r>
      <w:r>
        <w:rPr>
          <w:sz w:val="24"/>
          <w:szCs w:val="24"/>
        </w:rPr>
        <w:t xml:space="preserve"> </w:t>
      </w:r>
      <w:r w:rsidR="00186AEE" w:rsidRPr="00186AEE">
        <w:rPr>
          <w:sz w:val="24"/>
          <w:szCs w:val="24"/>
        </w:rPr>
        <w:t xml:space="preserve">Shipping reliability is </w:t>
      </w:r>
      <w:proofErr w:type="gramStart"/>
      <w:r w:rsidR="00186AEE" w:rsidRPr="00186AEE">
        <w:rPr>
          <w:sz w:val="24"/>
          <w:szCs w:val="24"/>
        </w:rPr>
        <w:t>improving, but</w:t>
      </w:r>
      <w:proofErr w:type="gramEnd"/>
      <w:r w:rsidR="00186AEE" w:rsidRPr="00186AEE">
        <w:rPr>
          <w:sz w:val="24"/>
          <w:szCs w:val="24"/>
        </w:rPr>
        <w:t xml:space="preserve"> remains well below pre-COVID levels. The impact of COVID-19 lockdowns on factories in the US and EU has reduced, however lockdowns in China remain an issue</w:t>
      </w:r>
      <w:r>
        <w:rPr>
          <w:sz w:val="24"/>
          <w:szCs w:val="24"/>
        </w:rPr>
        <w:t>.</w:t>
      </w:r>
    </w:p>
    <w:p w14:paraId="483B6A26" w14:textId="0797C78B" w:rsidR="003D6294" w:rsidRDefault="00961A37" w:rsidP="00AA037D">
      <w:pPr>
        <w:rPr>
          <w:sz w:val="24"/>
          <w:szCs w:val="24"/>
        </w:rPr>
      </w:pPr>
      <w:r w:rsidRPr="009D224D">
        <w:rPr>
          <w:b/>
          <w:bCs/>
          <w:sz w:val="24"/>
          <w:szCs w:val="24"/>
        </w:rPr>
        <w:lastRenderedPageBreak/>
        <w:t>Prices</w:t>
      </w:r>
      <w:r w:rsidR="00186AEE">
        <w:rPr>
          <w:b/>
          <w:bCs/>
          <w:sz w:val="24"/>
          <w:szCs w:val="24"/>
        </w:rPr>
        <w:t xml:space="preserve"> </w:t>
      </w:r>
      <w:r w:rsidR="00186AEE" w:rsidRPr="00186AEE">
        <w:rPr>
          <w:sz w:val="24"/>
          <w:szCs w:val="24"/>
        </w:rPr>
        <w:t>–</w:t>
      </w:r>
      <w:r>
        <w:rPr>
          <w:sz w:val="24"/>
          <w:szCs w:val="24"/>
        </w:rPr>
        <w:t xml:space="preserve"> </w:t>
      </w:r>
      <w:r w:rsidR="00186AEE" w:rsidRPr="00186AEE">
        <w:rPr>
          <w:sz w:val="24"/>
          <w:szCs w:val="24"/>
        </w:rPr>
        <w:t xml:space="preserve">A high US dollar and ongoing </w:t>
      </w:r>
      <w:r w:rsidR="00D55A17">
        <w:rPr>
          <w:sz w:val="24"/>
          <w:szCs w:val="24"/>
        </w:rPr>
        <w:t>increases to s</w:t>
      </w:r>
      <w:r w:rsidR="00186AEE" w:rsidRPr="00186AEE">
        <w:rPr>
          <w:sz w:val="24"/>
          <w:szCs w:val="24"/>
        </w:rPr>
        <w:t>hipping cost</w:t>
      </w:r>
      <w:r w:rsidR="00D55A17">
        <w:rPr>
          <w:sz w:val="24"/>
          <w:szCs w:val="24"/>
        </w:rPr>
        <w:t>s</w:t>
      </w:r>
      <w:r w:rsidR="00186AEE" w:rsidRPr="00186AEE">
        <w:rPr>
          <w:sz w:val="24"/>
          <w:szCs w:val="24"/>
        </w:rPr>
        <w:t xml:space="preserve"> will put upward pressure on machinery import prices.</w:t>
      </w:r>
    </w:p>
    <w:p w14:paraId="30CDE11B" w14:textId="7C1DF06F" w:rsidR="001370E0" w:rsidRPr="00186AEE" w:rsidRDefault="00961A37" w:rsidP="00186AEE">
      <w:pPr>
        <w:rPr>
          <w:sz w:val="24"/>
          <w:szCs w:val="24"/>
        </w:rPr>
      </w:pPr>
      <w:r w:rsidRPr="009D224D">
        <w:rPr>
          <w:b/>
          <w:bCs/>
          <w:sz w:val="24"/>
          <w:szCs w:val="24"/>
        </w:rPr>
        <w:t>Demand</w:t>
      </w:r>
      <w:r w:rsidR="00186AEE">
        <w:rPr>
          <w:b/>
          <w:bCs/>
          <w:sz w:val="24"/>
          <w:szCs w:val="24"/>
        </w:rPr>
        <w:t xml:space="preserve"> </w:t>
      </w:r>
      <w:r w:rsidR="00186AEE" w:rsidRPr="00186AEE">
        <w:rPr>
          <w:sz w:val="24"/>
          <w:szCs w:val="24"/>
        </w:rPr>
        <w:t>–</w:t>
      </w:r>
      <w:r>
        <w:rPr>
          <w:sz w:val="24"/>
          <w:szCs w:val="24"/>
        </w:rPr>
        <w:t xml:space="preserve"> </w:t>
      </w:r>
      <w:r w:rsidR="00186AEE" w:rsidRPr="00186AEE">
        <w:rPr>
          <w:sz w:val="24"/>
          <w:szCs w:val="24"/>
        </w:rPr>
        <w:t>Despite recent floods, overall strong agricultural production will continue to drive demand. Farmers may also seek to make purchases prior to the scheduled end of the TFE program in June 2023.</w:t>
      </w:r>
    </w:p>
    <w:sectPr w:rsidR="001370E0" w:rsidRPr="00186AEE" w:rsidSect="00EE0797">
      <w:headerReference w:type="default" r:id="rId16"/>
      <w:footerReference w:type="default" r:id="rId17"/>
      <w:headerReference w:type="first" r:id="rId18"/>
      <w:footerReference w:type="first" r:id="rId19"/>
      <w:pgSz w:w="11906" w:h="16838"/>
      <w:pgMar w:top="1259"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9392" w14:textId="77777777" w:rsidR="0079349F" w:rsidRDefault="0079349F" w:rsidP="00EE0797">
      <w:pPr>
        <w:spacing w:after="0" w:line="240" w:lineRule="auto"/>
      </w:pPr>
      <w:r>
        <w:separator/>
      </w:r>
    </w:p>
  </w:endnote>
  <w:endnote w:type="continuationSeparator" w:id="0">
    <w:p w14:paraId="30216971" w14:textId="77777777" w:rsidR="0079349F" w:rsidRDefault="0079349F" w:rsidP="00EE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E3D7" w14:textId="77777777" w:rsidR="002A193C" w:rsidRDefault="00EE0797">
    <w:pPr>
      <w:pStyle w:val="Footer"/>
    </w:pPr>
    <w:r>
      <w:t>Department of Agriculture, Fisheries and Forestry</w:t>
    </w:r>
  </w:p>
  <w:p w14:paraId="6DF05491" w14:textId="77777777" w:rsidR="002A193C" w:rsidRDefault="00EE0797">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53B" w14:textId="35EBE029" w:rsidR="002A193C" w:rsidRDefault="00EE0797">
    <w:pPr>
      <w:pStyle w:val="Footer"/>
    </w:pPr>
    <w:r>
      <w:t>Department of Agriculture, Fisheries and Forestry</w:t>
    </w:r>
  </w:p>
  <w:p w14:paraId="242C15A5" w14:textId="77777777" w:rsidR="002A193C" w:rsidRDefault="00EE079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E40A" w14:textId="77777777" w:rsidR="0079349F" w:rsidRDefault="0079349F" w:rsidP="00EE0797">
      <w:pPr>
        <w:spacing w:after="0" w:line="240" w:lineRule="auto"/>
      </w:pPr>
      <w:r>
        <w:separator/>
      </w:r>
    </w:p>
  </w:footnote>
  <w:footnote w:type="continuationSeparator" w:id="0">
    <w:p w14:paraId="47BCB02D" w14:textId="77777777" w:rsidR="0079349F" w:rsidRDefault="0079349F" w:rsidP="00EE0797">
      <w:pPr>
        <w:spacing w:after="0" w:line="240" w:lineRule="auto"/>
      </w:pPr>
      <w:r>
        <w:continuationSeparator/>
      </w:r>
    </w:p>
  </w:footnote>
  <w:footnote w:id="1">
    <w:p w14:paraId="60180874" w14:textId="7B6B8025" w:rsidR="00A57B0E" w:rsidRDefault="00A57B0E">
      <w:pPr>
        <w:pStyle w:val="FootnoteText"/>
      </w:pPr>
      <w:r>
        <w:rPr>
          <w:rStyle w:val="FootnoteReference"/>
        </w:rPr>
        <w:footnoteRef/>
      </w:r>
      <w:r>
        <w:t xml:space="preserve"> </w:t>
      </w:r>
      <w:proofErr w:type="gramStart"/>
      <w:r w:rsidR="00E14423" w:rsidRPr="00E14423">
        <w:t>”Agricultural</w:t>
      </w:r>
      <w:proofErr w:type="gramEnd"/>
      <w:r w:rsidR="00E14423" w:rsidRPr="00E14423">
        <w:t xml:space="preserve"> machinery” is defined as selected items from H</w:t>
      </w:r>
      <w:r w:rsidR="00186AEE">
        <w:t xml:space="preserve">armonized </w:t>
      </w:r>
      <w:r w:rsidR="00E14423" w:rsidRPr="00E14423">
        <w:t>S</w:t>
      </w:r>
      <w:r w:rsidR="00186AEE">
        <w:t>ystem</w:t>
      </w:r>
      <w:r w:rsidR="00E14423" w:rsidRPr="00E14423">
        <w:t xml:space="preserve"> chapter 84</w:t>
      </w:r>
      <w:r w:rsidR="00186A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37F" w14:textId="1BCA2BD0" w:rsidR="00AB53EE" w:rsidRDefault="00A223BF">
    <w:pPr>
      <w:pStyle w:val="Header"/>
    </w:pPr>
    <w:r>
      <w:t>Snapshot of</w:t>
    </w:r>
    <w:r w:rsidR="001370E0">
      <w:t xml:space="preserve"> </w:t>
    </w:r>
    <w:r w:rsidR="00186AEE">
      <w:t xml:space="preserve">Australian agricultural machinery imports </w:t>
    </w:r>
    <w:r>
      <w:t xml:space="preserve">– </w:t>
    </w:r>
    <w:r w:rsidR="00186AEE">
      <w:t>November</w:t>
    </w:r>
    <w: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B63" w14:textId="2CF64CE1" w:rsidR="002A193C" w:rsidRDefault="00EE0797" w:rsidP="00EE0797">
    <w:pPr>
      <w:pStyle w:val="Header"/>
      <w:tabs>
        <w:tab w:val="clear" w:pos="4820"/>
        <w:tab w:val="left" w:pos="3048"/>
      </w:tabs>
      <w:jc w:val="left"/>
    </w:pPr>
    <w:r>
      <w:rPr>
        <w:noProof/>
      </w:rPr>
      <w:drawing>
        <wp:inline distT="0" distB="0" distL="0" distR="0" wp14:anchorId="2C587C98" wp14:editId="45396328">
          <wp:extent cx="2231045" cy="856013"/>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507" cy="8569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44"/>
    <w:multiLevelType w:val="hybridMultilevel"/>
    <w:tmpl w:val="3806B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E12EB"/>
    <w:multiLevelType w:val="hybridMultilevel"/>
    <w:tmpl w:val="E4FEA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FB620A"/>
    <w:multiLevelType w:val="hybridMultilevel"/>
    <w:tmpl w:val="5A30698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gt;"/>
      <w:lvlJc w:val="left"/>
      <w:pPr>
        <w:tabs>
          <w:tab w:val="num" w:pos="1440"/>
        </w:tabs>
        <w:ind w:left="1440" w:hanging="360"/>
      </w:pPr>
      <w:rPr>
        <w:rFonts w:ascii="Calibri" w:hAnsi="Calibri" w:hint="default"/>
      </w:rPr>
    </w:lvl>
    <w:lvl w:ilvl="2" w:tplc="FFFFFFFF" w:tentative="1">
      <w:start w:val="1"/>
      <w:numFmt w:val="bullet"/>
      <w:lvlText w:val="&gt;"/>
      <w:lvlJc w:val="left"/>
      <w:pPr>
        <w:tabs>
          <w:tab w:val="num" w:pos="2160"/>
        </w:tabs>
        <w:ind w:left="2160" w:hanging="360"/>
      </w:pPr>
      <w:rPr>
        <w:rFonts w:ascii="Calibri" w:hAnsi="Calibri" w:hint="default"/>
      </w:rPr>
    </w:lvl>
    <w:lvl w:ilvl="3" w:tplc="FFFFFFFF" w:tentative="1">
      <w:start w:val="1"/>
      <w:numFmt w:val="bullet"/>
      <w:lvlText w:val="&gt;"/>
      <w:lvlJc w:val="left"/>
      <w:pPr>
        <w:tabs>
          <w:tab w:val="num" w:pos="2880"/>
        </w:tabs>
        <w:ind w:left="2880" w:hanging="360"/>
      </w:pPr>
      <w:rPr>
        <w:rFonts w:ascii="Calibri" w:hAnsi="Calibri" w:hint="default"/>
      </w:rPr>
    </w:lvl>
    <w:lvl w:ilvl="4" w:tplc="FFFFFFFF" w:tentative="1">
      <w:start w:val="1"/>
      <w:numFmt w:val="bullet"/>
      <w:lvlText w:val="&gt;"/>
      <w:lvlJc w:val="left"/>
      <w:pPr>
        <w:tabs>
          <w:tab w:val="num" w:pos="3600"/>
        </w:tabs>
        <w:ind w:left="3600" w:hanging="360"/>
      </w:pPr>
      <w:rPr>
        <w:rFonts w:ascii="Calibri" w:hAnsi="Calibri" w:hint="default"/>
      </w:rPr>
    </w:lvl>
    <w:lvl w:ilvl="5" w:tplc="FFFFFFFF" w:tentative="1">
      <w:start w:val="1"/>
      <w:numFmt w:val="bullet"/>
      <w:lvlText w:val="&gt;"/>
      <w:lvlJc w:val="left"/>
      <w:pPr>
        <w:tabs>
          <w:tab w:val="num" w:pos="4320"/>
        </w:tabs>
        <w:ind w:left="4320" w:hanging="360"/>
      </w:pPr>
      <w:rPr>
        <w:rFonts w:ascii="Calibri" w:hAnsi="Calibri" w:hint="default"/>
      </w:rPr>
    </w:lvl>
    <w:lvl w:ilvl="6" w:tplc="FFFFFFFF" w:tentative="1">
      <w:start w:val="1"/>
      <w:numFmt w:val="bullet"/>
      <w:lvlText w:val="&gt;"/>
      <w:lvlJc w:val="left"/>
      <w:pPr>
        <w:tabs>
          <w:tab w:val="num" w:pos="5040"/>
        </w:tabs>
        <w:ind w:left="5040" w:hanging="360"/>
      </w:pPr>
      <w:rPr>
        <w:rFonts w:ascii="Calibri" w:hAnsi="Calibri" w:hint="default"/>
      </w:rPr>
    </w:lvl>
    <w:lvl w:ilvl="7" w:tplc="FFFFFFFF" w:tentative="1">
      <w:start w:val="1"/>
      <w:numFmt w:val="bullet"/>
      <w:lvlText w:val="&gt;"/>
      <w:lvlJc w:val="left"/>
      <w:pPr>
        <w:tabs>
          <w:tab w:val="num" w:pos="5760"/>
        </w:tabs>
        <w:ind w:left="5760" w:hanging="360"/>
      </w:pPr>
      <w:rPr>
        <w:rFonts w:ascii="Calibri" w:hAnsi="Calibri" w:hint="default"/>
      </w:rPr>
    </w:lvl>
    <w:lvl w:ilvl="8" w:tplc="FFFFFFFF" w:tentative="1">
      <w:start w:val="1"/>
      <w:numFmt w:val="bullet"/>
      <w:lvlText w:val="&gt;"/>
      <w:lvlJc w:val="left"/>
      <w:pPr>
        <w:tabs>
          <w:tab w:val="num" w:pos="6480"/>
        </w:tabs>
        <w:ind w:left="6480" w:hanging="360"/>
      </w:pPr>
      <w:rPr>
        <w:rFonts w:ascii="Calibri" w:hAnsi="Calibri" w:hint="default"/>
      </w:rPr>
    </w:lvl>
  </w:abstractNum>
  <w:abstractNum w:abstractNumId="4" w15:restartNumberingAfterBreak="0">
    <w:nsid w:val="2503122F"/>
    <w:multiLevelType w:val="hybridMultilevel"/>
    <w:tmpl w:val="A30CAB14"/>
    <w:lvl w:ilvl="0" w:tplc="621A00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2BD1D52"/>
    <w:multiLevelType w:val="hybridMultilevel"/>
    <w:tmpl w:val="1E00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16642A"/>
    <w:multiLevelType w:val="hybridMultilevel"/>
    <w:tmpl w:val="E5D4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C4857"/>
    <w:multiLevelType w:val="hybridMultilevel"/>
    <w:tmpl w:val="E0CC8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B61B3F"/>
    <w:multiLevelType w:val="hybridMultilevel"/>
    <w:tmpl w:val="03F4E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2A51F5"/>
    <w:multiLevelType w:val="hybridMultilevel"/>
    <w:tmpl w:val="D93C5444"/>
    <w:lvl w:ilvl="0" w:tplc="0A1C25B0">
      <w:start w:val="1"/>
      <w:numFmt w:val="bullet"/>
      <w:lvlText w:val="&gt;"/>
      <w:lvlJc w:val="left"/>
      <w:pPr>
        <w:tabs>
          <w:tab w:val="num" w:pos="720"/>
        </w:tabs>
        <w:ind w:left="720" w:hanging="360"/>
      </w:pPr>
      <w:rPr>
        <w:rFonts w:ascii="Calibri" w:hAnsi="Calibri" w:hint="default"/>
      </w:rPr>
    </w:lvl>
    <w:lvl w:ilvl="1" w:tplc="4E9AF53A" w:tentative="1">
      <w:start w:val="1"/>
      <w:numFmt w:val="bullet"/>
      <w:lvlText w:val="&gt;"/>
      <w:lvlJc w:val="left"/>
      <w:pPr>
        <w:tabs>
          <w:tab w:val="num" w:pos="1440"/>
        </w:tabs>
        <w:ind w:left="1440" w:hanging="360"/>
      </w:pPr>
      <w:rPr>
        <w:rFonts w:ascii="Calibri" w:hAnsi="Calibri" w:hint="default"/>
      </w:rPr>
    </w:lvl>
    <w:lvl w:ilvl="2" w:tplc="4E2A30DA" w:tentative="1">
      <w:start w:val="1"/>
      <w:numFmt w:val="bullet"/>
      <w:lvlText w:val="&gt;"/>
      <w:lvlJc w:val="left"/>
      <w:pPr>
        <w:tabs>
          <w:tab w:val="num" w:pos="2160"/>
        </w:tabs>
        <w:ind w:left="2160" w:hanging="360"/>
      </w:pPr>
      <w:rPr>
        <w:rFonts w:ascii="Calibri" w:hAnsi="Calibri" w:hint="default"/>
      </w:rPr>
    </w:lvl>
    <w:lvl w:ilvl="3" w:tplc="63065B36" w:tentative="1">
      <w:start w:val="1"/>
      <w:numFmt w:val="bullet"/>
      <w:lvlText w:val="&gt;"/>
      <w:lvlJc w:val="left"/>
      <w:pPr>
        <w:tabs>
          <w:tab w:val="num" w:pos="2880"/>
        </w:tabs>
        <w:ind w:left="2880" w:hanging="360"/>
      </w:pPr>
      <w:rPr>
        <w:rFonts w:ascii="Calibri" w:hAnsi="Calibri" w:hint="default"/>
      </w:rPr>
    </w:lvl>
    <w:lvl w:ilvl="4" w:tplc="C33C49A2" w:tentative="1">
      <w:start w:val="1"/>
      <w:numFmt w:val="bullet"/>
      <w:lvlText w:val="&gt;"/>
      <w:lvlJc w:val="left"/>
      <w:pPr>
        <w:tabs>
          <w:tab w:val="num" w:pos="3600"/>
        </w:tabs>
        <w:ind w:left="3600" w:hanging="360"/>
      </w:pPr>
      <w:rPr>
        <w:rFonts w:ascii="Calibri" w:hAnsi="Calibri" w:hint="default"/>
      </w:rPr>
    </w:lvl>
    <w:lvl w:ilvl="5" w:tplc="53BCB21C" w:tentative="1">
      <w:start w:val="1"/>
      <w:numFmt w:val="bullet"/>
      <w:lvlText w:val="&gt;"/>
      <w:lvlJc w:val="left"/>
      <w:pPr>
        <w:tabs>
          <w:tab w:val="num" w:pos="4320"/>
        </w:tabs>
        <w:ind w:left="4320" w:hanging="360"/>
      </w:pPr>
      <w:rPr>
        <w:rFonts w:ascii="Calibri" w:hAnsi="Calibri" w:hint="default"/>
      </w:rPr>
    </w:lvl>
    <w:lvl w:ilvl="6" w:tplc="66E4AC20" w:tentative="1">
      <w:start w:val="1"/>
      <w:numFmt w:val="bullet"/>
      <w:lvlText w:val="&gt;"/>
      <w:lvlJc w:val="left"/>
      <w:pPr>
        <w:tabs>
          <w:tab w:val="num" w:pos="5040"/>
        </w:tabs>
        <w:ind w:left="5040" w:hanging="360"/>
      </w:pPr>
      <w:rPr>
        <w:rFonts w:ascii="Calibri" w:hAnsi="Calibri" w:hint="default"/>
      </w:rPr>
    </w:lvl>
    <w:lvl w:ilvl="7" w:tplc="BF62B536" w:tentative="1">
      <w:start w:val="1"/>
      <w:numFmt w:val="bullet"/>
      <w:lvlText w:val="&gt;"/>
      <w:lvlJc w:val="left"/>
      <w:pPr>
        <w:tabs>
          <w:tab w:val="num" w:pos="5760"/>
        </w:tabs>
        <w:ind w:left="5760" w:hanging="360"/>
      </w:pPr>
      <w:rPr>
        <w:rFonts w:ascii="Calibri" w:hAnsi="Calibri" w:hint="default"/>
      </w:rPr>
    </w:lvl>
    <w:lvl w:ilvl="8" w:tplc="84427728" w:tentative="1">
      <w:start w:val="1"/>
      <w:numFmt w:val="bullet"/>
      <w:lvlText w:val="&gt;"/>
      <w:lvlJc w:val="left"/>
      <w:pPr>
        <w:tabs>
          <w:tab w:val="num" w:pos="6480"/>
        </w:tabs>
        <w:ind w:left="6480" w:hanging="360"/>
      </w:pPr>
      <w:rPr>
        <w:rFonts w:ascii="Calibri" w:hAnsi="Calibri" w:hint="default"/>
      </w:rPr>
    </w:lvl>
  </w:abstractNum>
  <w:num w:numId="1" w16cid:durableId="162472737">
    <w:abstractNumId w:val="2"/>
  </w:num>
  <w:num w:numId="2" w16cid:durableId="1811707377">
    <w:abstractNumId w:val="5"/>
  </w:num>
  <w:num w:numId="3" w16cid:durableId="2044093347">
    <w:abstractNumId w:val="1"/>
  </w:num>
  <w:num w:numId="4" w16cid:durableId="1039014724">
    <w:abstractNumId w:val="3"/>
  </w:num>
  <w:num w:numId="5" w16cid:durableId="727149189">
    <w:abstractNumId w:val="0"/>
  </w:num>
  <w:num w:numId="6" w16cid:durableId="351732287">
    <w:abstractNumId w:val="9"/>
  </w:num>
  <w:num w:numId="7" w16cid:durableId="42365914">
    <w:abstractNumId w:val="5"/>
  </w:num>
  <w:num w:numId="8" w16cid:durableId="335503195">
    <w:abstractNumId w:val="5"/>
  </w:num>
  <w:num w:numId="9" w16cid:durableId="1930649091">
    <w:abstractNumId w:val="4"/>
  </w:num>
  <w:num w:numId="10" w16cid:durableId="1058430442">
    <w:abstractNumId w:val="5"/>
  </w:num>
  <w:num w:numId="11" w16cid:durableId="410658917">
    <w:abstractNumId w:val="5"/>
  </w:num>
  <w:num w:numId="12" w16cid:durableId="1175463192">
    <w:abstractNumId w:val="5"/>
  </w:num>
  <w:num w:numId="13" w16cid:durableId="61222341">
    <w:abstractNumId w:val="10"/>
  </w:num>
  <w:num w:numId="14" w16cid:durableId="1896968988">
    <w:abstractNumId w:val="5"/>
  </w:num>
  <w:num w:numId="15" w16cid:durableId="1396395388">
    <w:abstractNumId w:val="7"/>
  </w:num>
  <w:num w:numId="16" w16cid:durableId="1491671139">
    <w:abstractNumId w:val="5"/>
  </w:num>
  <w:num w:numId="17" w16cid:durableId="1687903983">
    <w:abstractNumId w:val="8"/>
  </w:num>
  <w:num w:numId="18" w16cid:durableId="167426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97"/>
    <w:rsid w:val="000E6135"/>
    <w:rsid w:val="00105DBB"/>
    <w:rsid w:val="001370E0"/>
    <w:rsid w:val="00171C5C"/>
    <w:rsid w:val="00186AEE"/>
    <w:rsid w:val="001C0E52"/>
    <w:rsid w:val="001F0B31"/>
    <w:rsid w:val="002234FB"/>
    <w:rsid w:val="00263B21"/>
    <w:rsid w:val="00312E64"/>
    <w:rsid w:val="00315026"/>
    <w:rsid w:val="00392A5E"/>
    <w:rsid w:val="003D6294"/>
    <w:rsid w:val="003F28A0"/>
    <w:rsid w:val="003F7AC9"/>
    <w:rsid w:val="00407A37"/>
    <w:rsid w:val="00483188"/>
    <w:rsid w:val="0051565A"/>
    <w:rsid w:val="00584E53"/>
    <w:rsid w:val="00593786"/>
    <w:rsid w:val="005A5E12"/>
    <w:rsid w:val="00624B96"/>
    <w:rsid w:val="006D6C8F"/>
    <w:rsid w:val="007154A9"/>
    <w:rsid w:val="00745AC9"/>
    <w:rsid w:val="007710DF"/>
    <w:rsid w:val="0079349F"/>
    <w:rsid w:val="0086398E"/>
    <w:rsid w:val="008B066B"/>
    <w:rsid w:val="00961A37"/>
    <w:rsid w:val="00977B9A"/>
    <w:rsid w:val="009D224D"/>
    <w:rsid w:val="00A019BD"/>
    <w:rsid w:val="00A1073E"/>
    <w:rsid w:val="00A10FE9"/>
    <w:rsid w:val="00A223BF"/>
    <w:rsid w:val="00A35F29"/>
    <w:rsid w:val="00A57B0E"/>
    <w:rsid w:val="00AA037D"/>
    <w:rsid w:val="00AB30AB"/>
    <w:rsid w:val="00AB38BF"/>
    <w:rsid w:val="00AD3F01"/>
    <w:rsid w:val="00BE2B08"/>
    <w:rsid w:val="00C15267"/>
    <w:rsid w:val="00C56A63"/>
    <w:rsid w:val="00C650CA"/>
    <w:rsid w:val="00C817E9"/>
    <w:rsid w:val="00C84F1D"/>
    <w:rsid w:val="00D0501B"/>
    <w:rsid w:val="00D12233"/>
    <w:rsid w:val="00D53703"/>
    <w:rsid w:val="00D55A17"/>
    <w:rsid w:val="00DB7B40"/>
    <w:rsid w:val="00DE39F6"/>
    <w:rsid w:val="00E14423"/>
    <w:rsid w:val="00E332F4"/>
    <w:rsid w:val="00E3583E"/>
    <w:rsid w:val="00E83BA6"/>
    <w:rsid w:val="00EA418E"/>
    <w:rsid w:val="00EC72F1"/>
    <w:rsid w:val="00ED0574"/>
    <w:rsid w:val="00EE0797"/>
    <w:rsid w:val="00F41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74C3"/>
  <w15:chartTrackingRefBased/>
  <w15:docId w15:val="{0E0272E2-8694-4BE6-B987-AAF54F9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97"/>
    <w:pPr>
      <w:spacing w:after="200" w:line="276" w:lineRule="auto"/>
    </w:pPr>
    <w:rPr>
      <w:rFonts w:ascii="Cambria" w:hAnsi="Cambria"/>
    </w:rPr>
  </w:style>
  <w:style w:type="paragraph" w:styleId="Heading1">
    <w:name w:val="heading 1"/>
    <w:next w:val="Normal"/>
    <w:link w:val="Heading1Char"/>
    <w:uiPriority w:val="1"/>
    <w:qFormat/>
    <w:rsid w:val="00EE0797"/>
    <w:pPr>
      <w:widowControl w:val="0"/>
      <w:spacing w:before="360" w:after="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EE0797"/>
    <w:pPr>
      <w:keepNext/>
      <w:numPr>
        <w:numId w:val="2"/>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E0797"/>
    <w:pPr>
      <w:keepNext/>
      <w:keepLines/>
      <w:numPr>
        <w:ilvl w:val="1"/>
        <w:numId w:val="2"/>
      </w:numPr>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EE0797"/>
    <w:pPr>
      <w:keepNext/>
      <w:numPr>
        <w:ilvl w:val="2"/>
        <w:numId w:val="2"/>
      </w:numPr>
      <w:spacing w:after="0" w:line="240" w:lineRule="auto"/>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0797"/>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EE0797"/>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EE0797"/>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EE0797"/>
    <w:rPr>
      <w:rFonts w:ascii="Calibri" w:eastAsia="Times New Roman" w:hAnsi="Calibri" w:cs="Times New Roman"/>
      <w:b/>
      <w:bCs/>
      <w:sz w:val="24"/>
      <w:szCs w:val="24"/>
    </w:rPr>
  </w:style>
  <w:style w:type="paragraph" w:styleId="Header">
    <w:name w:val="header"/>
    <w:basedOn w:val="Normal"/>
    <w:link w:val="HeaderChar"/>
    <w:uiPriority w:val="26"/>
    <w:rsid w:val="00EE079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EE0797"/>
    <w:rPr>
      <w:rFonts w:ascii="Calibri" w:hAnsi="Calibri"/>
      <w:sz w:val="20"/>
    </w:rPr>
  </w:style>
  <w:style w:type="paragraph" w:styleId="Footer">
    <w:name w:val="footer"/>
    <w:basedOn w:val="Normal"/>
    <w:link w:val="FooterChar"/>
    <w:uiPriority w:val="27"/>
    <w:rsid w:val="00EE079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EE0797"/>
    <w:rPr>
      <w:rFonts w:ascii="Calibri" w:hAnsi="Calibri"/>
      <w:sz w:val="20"/>
    </w:rPr>
  </w:style>
  <w:style w:type="paragraph" w:styleId="Caption">
    <w:name w:val="caption"/>
    <w:basedOn w:val="Normal"/>
    <w:next w:val="Normal"/>
    <w:uiPriority w:val="12"/>
    <w:qFormat/>
    <w:rsid w:val="00EE0797"/>
    <w:pPr>
      <w:keepNext/>
      <w:spacing w:after="120" w:line="240" w:lineRule="auto"/>
    </w:pPr>
    <w:rPr>
      <w:rFonts w:ascii="Calibri" w:hAnsi="Calibri"/>
      <w:b/>
      <w:bCs/>
      <w:sz w:val="24"/>
      <w:szCs w:val="18"/>
    </w:rPr>
  </w:style>
  <w:style w:type="character" w:styleId="Hyperlink">
    <w:name w:val="Hyperlink"/>
    <w:basedOn w:val="DefaultParagraphFont"/>
    <w:uiPriority w:val="99"/>
    <w:qFormat/>
    <w:rsid w:val="00EE0797"/>
    <w:rPr>
      <w:color w:val="165788"/>
      <w:u w:val="single"/>
    </w:rPr>
  </w:style>
  <w:style w:type="numbering" w:customStyle="1" w:styleId="Headinglist">
    <w:name w:val="Heading list"/>
    <w:uiPriority w:val="99"/>
    <w:rsid w:val="00EE0797"/>
    <w:pPr>
      <w:numPr>
        <w:numId w:val="1"/>
      </w:numPr>
    </w:pPr>
  </w:style>
  <w:style w:type="paragraph" w:styleId="ListParagraph">
    <w:name w:val="List Paragraph"/>
    <w:basedOn w:val="Normal"/>
    <w:uiPriority w:val="34"/>
    <w:qFormat/>
    <w:rsid w:val="00EE0797"/>
    <w:pPr>
      <w:ind w:left="720"/>
      <w:contextualSpacing/>
    </w:pPr>
  </w:style>
  <w:style w:type="character" w:styleId="UnresolvedMention">
    <w:name w:val="Unresolved Mention"/>
    <w:basedOn w:val="DefaultParagraphFont"/>
    <w:uiPriority w:val="99"/>
    <w:semiHidden/>
    <w:unhideWhenUsed/>
    <w:rsid w:val="00EE0797"/>
    <w:rPr>
      <w:color w:val="605E5C"/>
      <w:shd w:val="clear" w:color="auto" w:fill="E1DFDD"/>
    </w:rPr>
  </w:style>
  <w:style w:type="character" w:styleId="CommentReference">
    <w:name w:val="annotation reference"/>
    <w:basedOn w:val="DefaultParagraphFont"/>
    <w:uiPriority w:val="99"/>
    <w:semiHidden/>
    <w:unhideWhenUsed/>
    <w:rsid w:val="00392A5E"/>
    <w:rPr>
      <w:sz w:val="16"/>
      <w:szCs w:val="16"/>
    </w:rPr>
  </w:style>
  <w:style w:type="paragraph" w:styleId="CommentText">
    <w:name w:val="annotation text"/>
    <w:basedOn w:val="Normal"/>
    <w:link w:val="CommentTextChar"/>
    <w:uiPriority w:val="99"/>
    <w:semiHidden/>
    <w:unhideWhenUsed/>
    <w:rsid w:val="00392A5E"/>
    <w:pPr>
      <w:spacing w:line="240" w:lineRule="auto"/>
    </w:pPr>
    <w:rPr>
      <w:sz w:val="20"/>
      <w:szCs w:val="20"/>
    </w:rPr>
  </w:style>
  <w:style w:type="character" w:customStyle="1" w:styleId="CommentTextChar">
    <w:name w:val="Comment Text Char"/>
    <w:basedOn w:val="DefaultParagraphFont"/>
    <w:link w:val="CommentText"/>
    <w:uiPriority w:val="99"/>
    <w:semiHidden/>
    <w:rsid w:val="00392A5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92A5E"/>
    <w:rPr>
      <w:b/>
      <w:bCs/>
    </w:rPr>
  </w:style>
  <w:style w:type="character" w:customStyle="1" w:styleId="CommentSubjectChar">
    <w:name w:val="Comment Subject Char"/>
    <w:basedOn w:val="CommentTextChar"/>
    <w:link w:val="CommentSubject"/>
    <w:uiPriority w:val="99"/>
    <w:semiHidden/>
    <w:rsid w:val="00392A5E"/>
    <w:rPr>
      <w:rFonts w:ascii="Cambria" w:hAnsi="Cambria"/>
      <w:b/>
      <w:bCs/>
      <w:sz w:val="20"/>
      <w:szCs w:val="20"/>
    </w:rPr>
  </w:style>
  <w:style w:type="paragraph" w:styleId="Revision">
    <w:name w:val="Revision"/>
    <w:hidden/>
    <w:uiPriority w:val="99"/>
    <w:semiHidden/>
    <w:rsid w:val="00A1073E"/>
    <w:pPr>
      <w:spacing w:after="0" w:line="240" w:lineRule="auto"/>
    </w:pPr>
    <w:rPr>
      <w:rFonts w:ascii="Cambria" w:hAnsi="Cambria"/>
    </w:rPr>
  </w:style>
  <w:style w:type="paragraph" w:styleId="FootnoteText">
    <w:name w:val="footnote text"/>
    <w:basedOn w:val="Normal"/>
    <w:link w:val="FootnoteTextChar"/>
    <w:uiPriority w:val="99"/>
    <w:semiHidden/>
    <w:unhideWhenUsed/>
    <w:rsid w:val="00A57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B0E"/>
    <w:rPr>
      <w:rFonts w:ascii="Cambria" w:hAnsi="Cambria"/>
      <w:sz w:val="20"/>
      <w:szCs w:val="20"/>
    </w:rPr>
  </w:style>
  <w:style w:type="character" w:styleId="FootnoteReference">
    <w:name w:val="footnote reference"/>
    <w:basedOn w:val="DefaultParagraphFont"/>
    <w:uiPriority w:val="99"/>
    <w:semiHidden/>
    <w:unhideWhenUsed/>
    <w:rsid w:val="00A57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233">
      <w:bodyDiv w:val="1"/>
      <w:marLeft w:val="0"/>
      <w:marRight w:val="0"/>
      <w:marTop w:val="0"/>
      <w:marBottom w:val="0"/>
      <w:divBdr>
        <w:top w:val="none" w:sz="0" w:space="0" w:color="auto"/>
        <w:left w:val="none" w:sz="0" w:space="0" w:color="auto"/>
        <w:bottom w:val="none" w:sz="0" w:space="0" w:color="auto"/>
        <w:right w:val="none" w:sz="0" w:space="0" w:color="auto"/>
      </w:divBdr>
      <w:divsChild>
        <w:div w:id="320231127">
          <w:marLeft w:val="0"/>
          <w:marRight w:val="0"/>
          <w:marTop w:val="0"/>
          <w:marBottom w:val="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o.gov.au/business/depreciation-and-capital-expenses-and-allowances/temporary-full-expens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ma.asn.au/wp-content/uploads/2022/06/TMA-State-of-the-Industry-Report-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BF27-6F8F-4A21-B14C-8BC625EE201B}">
  <ds:schemaRefs>
    <ds:schemaRef ds:uri="http://schemas.microsoft.com/sharepoint/v3/contenttype/forms"/>
  </ds:schemaRefs>
</ds:datastoreItem>
</file>

<file path=customXml/itemProps2.xml><?xml version="1.0" encoding="utf-8"?>
<ds:datastoreItem xmlns:ds="http://schemas.openxmlformats.org/officeDocument/2006/customXml" ds:itemID="{3FA50BF3-1CD1-40E5-9594-13D2C82F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AD59E-1808-4CF8-B3A9-E9878BF6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Snapshot of Australian agricultural machinery imports - November 2022</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of Australian agricultural machinery imports - November 2022</dc:title>
  <dc:subject/>
  <dc:creator>Department of Agriculture, Fisheries and Forestry</dc:creator>
  <cp:keywords/>
  <dc:description/>
  <cp:lastModifiedBy>Nov, Amanda</cp:lastModifiedBy>
  <cp:revision>10</cp:revision>
  <dcterms:created xsi:type="dcterms:W3CDTF">2022-10-18T06:31:00Z</dcterms:created>
  <dcterms:modified xsi:type="dcterms:W3CDTF">2022-11-03T23:45:00Z</dcterms:modified>
</cp:coreProperties>
</file>