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69FB4" w14:textId="086B876B" w:rsidR="00ED0614" w:rsidRPr="00137594" w:rsidRDefault="00563BD7">
      <w:pPr>
        <w:pStyle w:val="Heading1"/>
      </w:pPr>
      <w:r w:rsidRPr="00563BD7">
        <w:t>Spring viraemia of carp (SVC)</w:t>
      </w:r>
    </w:p>
    <w:p w14:paraId="6B762390" w14:textId="319B6326" w:rsidR="00162F1F" w:rsidRPr="007D5853" w:rsidRDefault="00162F1F" w:rsidP="00162F1F">
      <w:pPr>
        <w:pStyle w:val="Subtitle"/>
        <w:rPr>
          <w:sz w:val="24"/>
          <w:szCs w:val="24"/>
        </w:rPr>
      </w:pPr>
      <w:r w:rsidRPr="007D5853">
        <w:rPr>
          <w:sz w:val="24"/>
          <w:szCs w:val="24"/>
        </w:rPr>
        <w:t xml:space="preserve">Also known as </w:t>
      </w:r>
      <w:r w:rsidR="003A1DEF">
        <w:rPr>
          <w:sz w:val="24"/>
          <w:szCs w:val="24"/>
        </w:rPr>
        <w:t xml:space="preserve">infection with </w:t>
      </w:r>
      <w:r w:rsidR="003A1DEF">
        <w:t>s</w:t>
      </w:r>
      <w:r w:rsidR="003A1DEF" w:rsidRPr="00563BD7">
        <w:t>pring viraemia of carp</w:t>
      </w:r>
      <w:r w:rsidR="003A1DEF">
        <w:t xml:space="preserve"> virus (SVCV)</w:t>
      </w:r>
    </w:p>
    <w:p w14:paraId="16BA856D" w14:textId="77777777" w:rsidR="00ED0614" w:rsidRDefault="00E260DC">
      <w:pPr>
        <w:pStyle w:val="Subtitle"/>
      </w:pPr>
      <w:r>
        <w:t xml:space="preserve">From </w:t>
      </w:r>
      <w:r>
        <w:rPr>
          <w:rStyle w:val="Emphasis"/>
        </w:rPr>
        <w:t>Aquatic animal diseases significant to Australia: identification field guide</w:t>
      </w:r>
      <w:r>
        <w:t>, 5th edition</w:t>
      </w:r>
    </w:p>
    <w:p w14:paraId="0C9D70DB" w14:textId="1999F014" w:rsidR="00ED0614" w:rsidRPr="007F1EDC" w:rsidRDefault="00BF271F">
      <w:pPr>
        <w:pStyle w:val="Caption"/>
      </w:pPr>
      <w:r>
        <w:t xml:space="preserve">Figure </w:t>
      </w:r>
      <w:r w:rsidR="00714D47">
        <w:rPr>
          <w:noProof/>
        </w:rPr>
        <w:fldChar w:fldCharType="begin"/>
      </w:r>
      <w:r w:rsidR="00714D47">
        <w:rPr>
          <w:noProof/>
        </w:rPr>
        <w:instrText xml:space="preserve"> SEQ Figure \* ARABIC </w:instrText>
      </w:r>
      <w:r w:rsidR="00714D47">
        <w:rPr>
          <w:noProof/>
        </w:rPr>
        <w:fldChar w:fldCharType="separate"/>
      </w:r>
      <w:r w:rsidR="00C45E9E">
        <w:rPr>
          <w:noProof/>
        </w:rPr>
        <w:t>1</w:t>
      </w:r>
      <w:r w:rsidR="00714D47">
        <w:rPr>
          <w:noProof/>
        </w:rPr>
        <w:fldChar w:fldCharType="end"/>
      </w:r>
      <w:r>
        <w:t xml:space="preserve"> </w:t>
      </w:r>
      <w:r w:rsidR="00563BD7" w:rsidRPr="00563BD7">
        <w:rPr>
          <w:noProof/>
        </w:rPr>
        <w:t>SVC in common carp (</w:t>
      </w:r>
      <w:r w:rsidR="00563BD7" w:rsidRPr="00563BD7">
        <w:rPr>
          <w:rStyle w:val="Emphasis"/>
        </w:rPr>
        <w:t>Cyprinus carpio</w:t>
      </w:r>
      <w:r w:rsidR="00563BD7" w:rsidRPr="00563BD7">
        <w:rPr>
          <w:noProof/>
        </w:rPr>
        <w:t>)</w:t>
      </w:r>
    </w:p>
    <w:p w14:paraId="0EFF3543" w14:textId="376FE4FB" w:rsidR="00ED0614" w:rsidRPr="007F1EDC" w:rsidRDefault="00563BD7">
      <w:r w:rsidRPr="00393F2D">
        <w:rPr>
          <w:noProof/>
          <w:lang w:eastAsia="en-AU"/>
        </w:rPr>
        <w:drawing>
          <wp:inline distT="0" distB="0" distL="0" distR="0" wp14:anchorId="5AB04FF7" wp14:editId="4FE61AB0">
            <wp:extent cx="3960000" cy="2487600"/>
            <wp:effectExtent l="0" t="0" r="2540" b="825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C.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3960000" cy="2487600"/>
                    </a:xfrm>
                    <a:prstGeom prst="rect">
                      <a:avLst/>
                    </a:prstGeom>
                    <a:ln>
                      <a:noFill/>
                    </a:ln>
                    <a:extLst>
                      <a:ext uri="{53640926-AAD7-44D8-BBD7-CCE9431645EC}">
                        <a14:shadowObscured xmlns:a14="http://schemas.microsoft.com/office/drawing/2010/main"/>
                      </a:ext>
                    </a:extLst>
                  </pic:spPr>
                </pic:pic>
              </a:graphicData>
            </a:graphic>
          </wp:inline>
        </w:drawing>
      </w:r>
    </w:p>
    <w:p w14:paraId="30F68A89" w14:textId="77777777" w:rsidR="00563BD7" w:rsidRDefault="00501982" w:rsidP="00563BD7">
      <w:pPr>
        <w:pStyle w:val="FigureTableNoteSource"/>
        <w:rPr>
          <w:noProof/>
        </w:rPr>
      </w:pPr>
      <w:r w:rsidRPr="003A3C2C">
        <w:rPr>
          <w:noProof/>
        </w:rPr>
        <w:t>Note</w:t>
      </w:r>
      <w:r>
        <w:rPr>
          <w:noProof/>
        </w:rPr>
        <w:t>:</w:t>
      </w:r>
      <w:r w:rsidRPr="003A3C2C">
        <w:rPr>
          <w:noProof/>
        </w:rPr>
        <w:t xml:space="preserve"> </w:t>
      </w:r>
      <w:r w:rsidR="00563BD7">
        <w:rPr>
          <w:noProof/>
        </w:rPr>
        <w:t>Characteristic haemorrhagic skin, swollen stomach and exophthalmos (popeye).</w:t>
      </w:r>
    </w:p>
    <w:p w14:paraId="0FE7139E" w14:textId="7D2D8002" w:rsidR="00ED0614" w:rsidRDefault="00563BD7" w:rsidP="00563BD7">
      <w:pPr>
        <w:pStyle w:val="FigureTableNoteSource"/>
      </w:pPr>
      <w:r>
        <w:rPr>
          <w:noProof/>
        </w:rPr>
        <w:t>Source: H J Schlotfeldt</w:t>
      </w:r>
      <w:r w:rsidR="00372089" w:rsidRPr="00372089">
        <w:t>.</w:t>
      </w:r>
    </w:p>
    <w:p w14:paraId="34D7581A" w14:textId="77777777" w:rsidR="00ED0614" w:rsidRDefault="00E260DC" w:rsidP="00052B5F">
      <w:pPr>
        <w:pStyle w:val="Heading2"/>
      </w:pPr>
      <w:bookmarkStart w:id="0" w:name="_Signs_of_disease"/>
      <w:bookmarkEnd w:id="0"/>
      <w:r>
        <w:t>Signs of disease</w:t>
      </w:r>
    </w:p>
    <w:p w14:paraId="445BBFA4" w14:textId="77777777" w:rsidR="00ED0614" w:rsidRDefault="00E260DC">
      <w:pPr>
        <w:rPr>
          <w:lang w:eastAsia="ja-JP"/>
        </w:rPr>
      </w:pPr>
      <w:r>
        <w:rPr>
          <w:lang w:eastAsia="ja-JP"/>
        </w:rPr>
        <w:t>Important: Animals with this disease may show one or more of these signs, but the pathogen may still be present in the absence of any signs.</w:t>
      </w:r>
    </w:p>
    <w:p w14:paraId="0ED3BEC6" w14:textId="77777777" w:rsidR="00ED0614" w:rsidRDefault="00E260DC">
      <w:pPr>
        <w:rPr>
          <w:lang w:eastAsia="ja-JP"/>
        </w:rPr>
      </w:pPr>
      <w:r>
        <w:rPr>
          <w:lang w:eastAsia="ja-JP"/>
        </w:rPr>
        <w:t>Disease signs at the farm, tank or pond level are:</w:t>
      </w:r>
    </w:p>
    <w:p w14:paraId="2CDAE5C1" w14:textId="7C376230" w:rsidR="00563BD7" w:rsidRDefault="00563BD7" w:rsidP="00563BD7">
      <w:pPr>
        <w:pStyle w:val="ListBullet"/>
        <w:rPr>
          <w:lang w:eastAsia="ja-JP"/>
        </w:rPr>
      </w:pPr>
      <w:r>
        <w:rPr>
          <w:lang w:eastAsia="ja-JP"/>
        </w:rPr>
        <w:t>mortality rates of</w:t>
      </w:r>
      <w:r w:rsidR="003A1DEF">
        <w:rPr>
          <w:lang w:eastAsia="ja-JP"/>
        </w:rPr>
        <w:t> </w:t>
      </w:r>
      <w:r>
        <w:rPr>
          <w:lang w:eastAsia="ja-JP"/>
        </w:rPr>
        <w:t>30</w:t>
      </w:r>
      <w:r w:rsidR="003A1DEF">
        <w:rPr>
          <w:lang w:eastAsia="ja-JP"/>
        </w:rPr>
        <w:t xml:space="preserve"> to </w:t>
      </w:r>
      <w:r>
        <w:rPr>
          <w:lang w:eastAsia="ja-JP"/>
        </w:rPr>
        <w:t>100%</w:t>
      </w:r>
    </w:p>
    <w:p w14:paraId="64ACFB25" w14:textId="77777777" w:rsidR="00563BD7" w:rsidRDefault="00563BD7" w:rsidP="00563BD7">
      <w:pPr>
        <w:pStyle w:val="ListBullet"/>
        <w:rPr>
          <w:lang w:eastAsia="ja-JP"/>
        </w:rPr>
      </w:pPr>
      <w:r>
        <w:rPr>
          <w:lang w:eastAsia="ja-JP"/>
        </w:rPr>
        <w:t>lethargy</w:t>
      </w:r>
    </w:p>
    <w:p w14:paraId="5B2BB912" w14:textId="77777777" w:rsidR="00563BD7" w:rsidRDefault="00563BD7" w:rsidP="00563BD7">
      <w:pPr>
        <w:pStyle w:val="ListBullet"/>
        <w:rPr>
          <w:lang w:eastAsia="ja-JP"/>
        </w:rPr>
      </w:pPr>
      <w:r>
        <w:rPr>
          <w:lang w:eastAsia="ja-JP"/>
        </w:rPr>
        <w:t>separation from shoal</w:t>
      </w:r>
    </w:p>
    <w:p w14:paraId="3767C054" w14:textId="77777777" w:rsidR="00563BD7" w:rsidRDefault="00563BD7" w:rsidP="00563BD7">
      <w:pPr>
        <w:pStyle w:val="ListBullet"/>
        <w:rPr>
          <w:lang w:eastAsia="ja-JP"/>
        </w:rPr>
      </w:pPr>
      <w:r>
        <w:rPr>
          <w:lang w:eastAsia="ja-JP"/>
        </w:rPr>
        <w:t>lethargic swimming</w:t>
      </w:r>
    </w:p>
    <w:p w14:paraId="64631B6C" w14:textId="51F67156" w:rsidR="00ED0614" w:rsidRDefault="00563BD7" w:rsidP="00563BD7">
      <w:pPr>
        <w:pStyle w:val="ListBullet"/>
        <w:rPr>
          <w:lang w:eastAsia="ja-JP"/>
        </w:rPr>
      </w:pPr>
      <w:r>
        <w:rPr>
          <w:lang w:eastAsia="ja-JP"/>
        </w:rPr>
        <w:t>accumulation of fish at the water inlet and sides of the pond</w:t>
      </w:r>
      <w:r w:rsidR="00372089">
        <w:rPr>
          <w:lang w:eastAsia="ja-JP"/>
        </w:rPr>
        <w:t>.</w:t>
      </w:r>
    </w:p>
    <w:p w14:paraId="7418287E" w14:textId="77777777" w:rsidR="00CD0FA5" w:rsidRDefault="00DF2031" w:rsidP="004A5DDC">
      <w:pPr>
        <w:keepNext/>
        <w:keepLines/>
        <w:rPr>
          <w:lang w:eastAsia="ja-JP"/>
        </w:rPr>
      </w:pPr>
      <w:r>
        <w:rPr>
          <w:lang w:eastAsia="ja-JP"/>
        </w:rPr>
        <w:t xml:space="preserve">Gross </w:t>
      </w:r>
      <w:r w:rsidRPr="00DF2031">
        <w:t>pathological</w:t>
      </w:r>
      <w:r>
        <w:rPr>
          <w:lang w:eastAsia="ja-JP"/>
        </w:rPr>
        <w:t xml:space="preserve"> signs </w:t>
      </w:r>
      <w:r w:rsidR="00CD0FA5">
        <w:rPr>
          <w:lang w:eastAsia="ja-JP"/>
        </w:rPr>
        <w:t>are:</w:t>
      </w:r>
    </w:p>
    <w:p w14:paraId="5E9EA206" w14:textId="77777777" w:rsidR="00563BD7" w:rsidRDefault="00563BD7" w:rsidP="00563BD7">
      <w:pPr>
        <w:pStyle w:val="ListBullet"/>
        <w:rPr>
          <w:lang w:eastAsia="ja-JP"/>
        </w:rPr>
      </w:pPr>
      <w:r>
        <w:rPr>
          <w:lang w:eastAsia="ja-JP"/>
        </w:rPr>
        <w:t>exophthalmos (popeye)</w:t>
      </w:r>
    </w:p>
    <w:p w14:paraId="06BAB3F3" w14:textId="77777777" w:rsidR="00563BD7" w:rsidRDefault="00563BD7" w:rsidP="00563BD7">
      <w:pPr>
        <w:pStyle w:val="ListBullet"/>
        <w:rPr>
          <w:lang w:eastAsia="ja-JP"/>
        </w:rPr>
      </w:pPr>
      <w:r>
        <w:rPr>
          <w:lang w:eastAsia="ja-JP"/>
        </w:rPr>
        <w:t>swollen abdomen and a protruding vent</w:t>
      </w:r>
    </w:p>
    <w:p w14:paraId="439616BE" w14:textId="77777777" w:rsidR="00563BD7" w:rsidRDefault="00563BD7" w:rsidP="00563BD7">
      <w:pPr>
        <w:pStyle w:val="ListBullet"/>
        <w:rPr>
          <w:lang w:eastAsia="ja-JP"/>
        </w:rPr>
      </w:pPr>
      <w:r>
        <w:rPr>
          <w:lang w:eastAsia="ja-JP"/>
        </w:rPr>
        <w:t>possibly a trailing white or yellowish faecal cast</w:t>
      </w:r>
    </w:p>
    <w:p w14:paraId="6FF349F7" w14:textId="73BEC7BE" w:rsidR="00563BD7" w:rsidRDefault="00563BD7" w:rsidP="00563BD7">
      <w:pPr>
        <w:pStyle w:val="ListBullet"/>
        <w:rPr>
          <w:lang w:eastAsia="ja-JP"/>
        </w:rPr>
      </w:pPr>
      <w:r>
        <w:rPr>
          <w:lang w:eastAsia="ja-JP"/>
        </w:rPr>
        <w:t>petechial (pinpoint) haemorrhages of skin, gills and eyes</w:t>
      </w:r>
    </w:p>
    <w:p w14:paraId="63698BDA" w14:textId="77777777" w:rsidR="00563BD7" w:rsidRDefault="00563BD7" w:rsidP="00563BD7">
      <w:pPr>
        <w:pStyle w:val="ListBullet"/>
        <w:rPr>
          <w:lang w:eastAsia="ja-JP"/>
        </w:rPr>
      </w:pPr>
      <w:r>
        <w:rPr>
          <w:lang w:eastAsia="ja-JP"/>
        </w:rPr>
        <w:t>haemorrhages on skin and base of fins and around the vent</w:t>
      </w:r>
    </w:p>
    <w:p w14:paraId="6327259A" w14:textId="77777777" w:rsidR="00563BD7" w:rsidRDefault="00563BD7" w:rsidP="00563BD7">
      <w:pPr>
        <w:pStyle w:val="ListBullet"/>
        <w:rPr>
          <w:lang w:eastAsia="ja-JP"/>
        </w:rPr>
      </w:pPr>
      <w:r>
        <w:rPr>
          <w:lang w:eastAsia="ja-JP"/>
        </w:rPr>
        <w:t>darker body colour, with pale gills</w:t>
      </w:r>
    </w:p>
    <w:p w14:paraId="6FDA6500" w14:textId="77777777" w:rsidR="00563BD7" w:rsidRDefault="00563BD7" w:rsidP="00563BD7">
      <w:pPr>
        <w:pStyle w:val="ListBullet"/>
        <w:rPr>
          <w:lang w:eastAsia="ja-JP"/>
        </w:rPr>
      </w:pPr>
      <w:r>
        <w:rPr>
          <w:lang w:eastAsia="ja-JP"/>
        </w:rPr>
        <w:lastRenderedPageBreak/>
        <w:t>diffuse swelling and haemorrhage of internal organs and degeneration of gill lamellae</w:t>
      </w:r>
    </w:p>
    <w:p w14:paraId="2861ABF6" w14:textId="77777777" w:rsidR="00563BD7" w:rsidRDefault="00563BD7" w:rsidP="00563BD7">
      <w:pPr>
        <w:pStyle w:val="ListBullet"/>
        <w:rPr>
          <w:lang w:eastAsia="ja-JP"/>
        </w:rPr>
      </w:pPr>
      <w:r>
        <w:rPr>
          <w:lang w:eastAsia="ja-JP"/>
        </w:rPr>
        <w:t>ascites (fluid in abdominal cavity)</w:t>
      </w:r>
    </w:p>
    <w:p w14:paraId="06EC2B36" w14:textId="460EB2B1" w:rsidR="00ED0614" w:rsidRDefault="00563BD7" w:rsidP="00563BD7">
      <w:pPr>
        <w:pStyle w:val="ListBullet"/>
        <w:rPr>
          <w:lang w:eastAsia="ja-JP"/>
        </w:rPr>
      </w:pPr>
      <w:r>
        <w:rPr>
          <w:lang w:eastAsia="ja-JP"/>
        </w:rPr>
        <w:t>intestines containing mucous instead of food</w:t>
      </w:r>
      <w:r w:rsidR="002521EC">
        <w:rPr>
          <w:lang w:eastAsia="ja-JP"/>
        </w:rPr>
        <w:t>.</w:t>
      </w:r>
    </w:p>
    <w:p w14:paraId="2D426F0A" w14:textId="77777777" w:rsidR="00ED0614" w:rsidRDefault="00E260DC">
      <w:pPr>
        <w:rPr>
          <w:lang w:eastAsia="ja-JP"/>
        </w:rPr>
      </w:pPr>
      <w:r>
        <w:rPr>
          <w:lang w:eastAsia="ja-JP"/>
        </w:rPr>
        <w:t>Microscopic pathological signs are:</w:t>
      </w:r>
    </w:p>
    <w:p w14:paraId="176220AF" w14:textId="77777777" w:rsidR="00563BD7" w:rsidRPr="00563BD7" w:rsidRDefault="00563BD7" w:rsidP="00563BD7">
      <w:pPr>
        <w:pStyle w:val="ListBullet"/>
        <w:rPr>
          <w:lang w:val="en-US"/>
        </w:rPr>
      </w:pPr>
      <w:r w:rsidRPr="00563BD7">
        <w:rPr>
          <w:lang w:val="en-US"/>
        </w:rPr>
        <w:t>liver hyperaemia and oedematous perivasculitis</w:t>
      </w:r>
    </w:p>
    <w:p w14:paraId="2A8C9837" w14:textId="77777777" w:rsidR="00563BD7" w:rsidRPr="00563BD7" w:rsidRDefault="00563BD7" w:rsidP="00563BD7">
      <w:pPr>
        <w:pStyle w:val="ListBullet"/>
        <w:rPr>
          <w:lang w:val="en-US"/>
        </w:rPr>
      </w:pPr>
      <w:r w:rsidRPr="00563BD7">
        <w:rPr>
          <w:lang w:val="en-US"/>
        </w:rPr>
        <w:t>pericarditis and infiltration of the myocardium</w:t>
      </w:r>
    </w:p>
    <w:p w14:paraId="6EB84A1F" w14:textId="77777777" w:rsidR="00563BD7" w:rsidRPr="00563BD7" w:rsidRDefault="00563BD7" w:rsidP="00563BD7">
      <w:pPr>
        <w:pStyle w:val="ListBullet"/>
        <w:rPr>
          <w:lang w:val="en-US"/>
        </w:rPr>
      </w:pPr>
      <w:r w:rsidRPr="00563BD7">
        <w:rPr>
          <w:lang w:val="en-US"/>
        </w:rPr>
        <w:t>hyaline degeneration and vacuolation of the renal tubules, which are clogged with casts</w:t>
      </w:r>
    </w:p>
    <w:p w14:paraId="68AAA3DA" w14:textId="2F0086CB" w:rsidR="00ED0614" w:rsidRDefault="00563BD7" w:rsidP="00563BD7">
      <w:pPr>
        <w:pStyle w:val="ListBullet"/>
        <w:rPr>
          <w:lang w:val="en-US"/>
        </w:rPr>
      </w:pPr>
      <w:r w:rsidRPr="00563BD7">
        <w:rPr>
          <w:lang w:val="en-US"/>
        </w:rPr>
        <w:t>inflammatory and hyperaemic changes in all major organs</w:t>
      </w:r>
      <w:r w:rsidR="00E260DC">
        <w:rPr>
          <w:lang w:val="en-US"/>
        </w:rPr>
        <w:t>.</w:t>
      </w:r>
    </w:p>
    <w:p w14:paraId="755CDE80" w14:textId="77777777" w:rsidR="00ED0614" w:rsidRDefault="00E260DC">
      <w:pPr>
        <w:pStyle w:val="Heading2"/>
      </w:pPr>
      <w:r>
        <w:t>Disease agent</w:t>
      </w:r>
    </w:p>
    <w:p w14:paraId="54C7B5E3" w14:textId="500BE245" w:rsidR="00CB11B9" w:rsidRPr="00CB11B9" w:rsidRDefault="007C673A" w:rsidP="00876983">
      <w:r>
        <w:t>SVC</w:t>
      </w:r>
      <w:r w:rsidR="00563BD7" w:rsidRPr="00563BD7">
        <w:t xml:space="preserve"> is caused by infection with spring viraemia of carp virus (SVCV), a rhabdovirus classified within the genus </w:t>
      </w:r>
      <w:r w:rsidR="00563BD7" w:rsidRPr="00563BD7">
        <w:rPr>
          <w:rStyle w:val="Emphasis"/>
        </w:rPr>
        <w:t>Sprivivirus</w:t>
      </w:r>
      <w:r w:rsidR="003A1DEF">
        <w:rPr>
          <w:rStyle w:val="Emphasis"/>
        </w:rPr>
        <w:t>.</w:t>
      </w:r>
      <w:r w:rsidR="00563BD7" w:rsidRPr="00563BD7">
        <w:t xml:space="preserve"> </w:t>
      </w:r>
      <w:r w:rsidR="003A1DEF">
        <w:t>SVCV</w:t>
      </w:r>
      <w:r w:rsidR="00563BD7" w:rsidRPr="00563BD7">
        <w:t xml:space="preserve"> is closely related to infectious haematopoietic necrosis virus (IHNV) and viral haemorrhagic septicaemia virus (VHSV).</w:t>
      </w:r>
    </w:p>
    <w:p w14:paraId="10B41ACC" w14:textId="77777777" w:rsidR="00ED0614" w:rsidRDefault="00E260DC" w:rsidP="00270423">
      <w:pPr>
        <w:pStyle w:val="Heading2"/>
        <w:keepLines/>
      </w:pPr>
      <w:r>
        <w:t>Host range</w:t>
      </w:r>
    </w:p>
    <w:p w14:paraId="16198421" w14:textId="2271665E" w:rsidR="00045A94" w:rsidRPr="00045A94" w:rsidRDefault="003A1DEF" w:rsidP="00045A94">
      <w:pPr>
        <w:rPr>
          <w:lang w:eastAsia="ja-JP"/>
        </w:rPr>
      </w:pPr>
      <w:r>
        <w:rPr>
          <w:lang w:eastAsia="ja-JP"/>
        </w:rPr>
        <w:t>SVCV</w:t>
      </w:r>
      <w:r w:rsidR="00045A94" w:rsidRPr="00045A94">
        <w:rPr>
          <w:lang w:eastAsia="ja-JP"/>
        </w:rPr>
        <w:t xml:space="preserve"> infects a range of fish species and has been detected infecting amphibians (newts) imported from Asia into the USA, as well as on several non-fish carriers.</w:t>
      </w:r>
    </w:p>
    <w:p w14:paraId="38E29C17" w14:textId="08CC75BD" w:rsidR="007F73EC" w:rsidRDefault="007F73EC" w:rsidP="007F73EC">
      <w:pPr>
        <w:pStyle w:val="Caption"/>
      </w:pPr>
      <w:r>
        <w:t xml:space="preserve">Table </w:t>
      </w:r>
      <w:r>
        <w:rPr>
          <w:noProof/>
        </w:rPr>
        <w:fldChar w:fldCharType="begin"/>
      </w:r>
      <w:r>
        <w:rPr>
          <w:noProof/>
        </w:rPr>
        <w:instrText xml:space="preserve"> SEQ Table \* ARABIC </w:instrText>
      </w:r>
      <w:r>
        <w:rPr>
          <w:noProof/>
        </w:rPr>
        <w:fldChar w:fldCharType="separate"/>
      </w:r>
      <w:r w:rsidR="00C45E9E">
        <w:rPr>
          <w:noProof/>
        </w:rPr>
        <w:t>1</w:t>
      </w:r>
      <w:r>
        <w:rPr>
          <w:noProof/>
        </w:rPr>
        <w:fldChar w:fldCharType="end"/>
      </w:r>
      <w:r>
        <w:t xml:space="preserve"> </w:t>
      </w:r>
      <w:r w:rsidR="003A3C2C" w:rsidRPr="003A3C2C">
        <w:t xml:space="preserve">Species known to be susceptible to </w:t>
      </w:r>
      <w:r w:rsidR="00045A94">
        <w:t>SVC</w:t>
      </w:r>
      <w:r w:rsidR="003A1DEF">
        <w:t>V</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7F73EC" w14:paraId="297654F6" w14:textId="77777777" w:rsidTr="00395270">
        <w:trPr>
          <w:cantSplit/>
          <w:trHeight w:val="300"/>
          <w:tblHeader/>
        </w:trPr>
        <w:tc>
          <w:tcPr>
            <w:tcW w:w="2500" w:type="pct"/>
            <w:tcBorders>
              <w:top w:val="single" w:sz="4" w:space="0" w:color="auto"/>
              <w:bottom w:val="single" w:sz="4" w:space="0" w:color="auto"/>
            </w:tcBorders>
            <w:noWrap/>
          </w:tcPr>
          <w:p w14:paraId="688AFA5E" w14:textId="77777777" w:rsidR="007F73EC" w:rsidRDefault="007F73EC" w:rsidP="00395270">
            <w:pPr>
              <w:pStyle w:val="TableHeading"/>
            </w:pPr>
            <w:r>
              <w:t>Common name</w:t>
            </w:r>
          </w:p>
        </w:tc>
        <w:tc>
          <w:tcPr>
            <w:tcW w:w="2500" w:type="pct"/>
            <w:tcBorders>
              <w:top w:val="single" w:sz="4" w:space="0" w:color="auto"/>
              <w:bottom w:val="single" w:sz="4" w:space="0" w:color="auto"/>
            </w:tcBorders>
            <w:noWrap/>
          </w:tcPr>
          <w:p w14:paraId="36B3C416" w14:textId="77777777" w:rsidR="007F73EC" w:rsidRDefault="007F73EC" w:rsidP="00395270">
            <w:pPr>
              <w:pStyle w:val="TableHeading"/>
            </w:pPr>
            <w:r>
              <w:t>Scientific name</w:t>
            </w:r>
          </w:p>
        </w:tc>
      </w:tr>
      <w:tr w:rsidR="00045A94" w14:paraId="4BDA0795" w14:textId="77777777" w:rsidTr="00395270">
        <w:trPr>
          <w:cantSplit/>
          <w:trHeight w:val="315"/>
        </w:trPr>
        <w:tc>
          <w:tcPr>
            <w:tcW w:w="2500" w:type="pct"/>
            <w:tcBorders>
              <w:top w:val="single" w:sz="4" w:space="0" w:color="auto"/>
            </w:tcBorders>
            <w:noWrap/>
          </w:tcPr>
          <w:p w14:paraId="3BA63A75" w14:textId="472CD71A" w:rsidR="00045A94" w:rsidRDefault="00045A94" w:rsidP="00045A94">
            <w:pPr>
              <w:pStyle w:val="TableText"/>
              <w:tabs>
                <w:tab w:val="left" w:pos="1640"/>
              </w:tabs>
            </w:pPr>
            <w:r w:rsidRPr="00F92DB6">
              <w:t>Bream</w:t>
            </w:r>
            <w:r w:rsidRPr="00045A94">
              <w:rPr>
                <w:vertAlign w:val="superscript"/>
              </w:rPr>
              <w:t>a</w:t>
            </w:r>
          </w:p>
        </w:tc>
        <w:tc>
          <w:tcPr>
            <w:tcW w:w="2500" w:type="pct"/>
            <w:tcBorders>
              <w:top w:val="single" w:sz="4" w:space="0" w:color="auto"/>
            </w:tcBorders>
            <w:noWrap/>
          </w:tcPr>
          <w:p w14:paraId="731D7337" w14:textId="328D5692" w:rsidR="00045A94" w:rsidRPr="00045A94" w:rsidRDefault="00045A94" w:rsidP="00045A94">
            <w:pPr>
              <w:pStyle w:val="TableText"/>
              <w:rPr>
                <w:rStyle w:val="Emphasis"/>
              </w:rPr>
            </w:pPr>
            <w:r w:rsidRPr="00045A94">
              <w:rPr>
                <w:rStyle w:val="Emphasis"/>
              </w:rPr>
              <w:t>Abramis brama</w:t>
            </w:r>
          </w:p>
        </w:tc>
      </w:tr>
      <w:tr w:rsidR="00045A94" w14:paraId="77097DE5" w14:textId="77777777" w:rsidTr="00395270">
        <w:trPr>
          <w:cantSplit/>
          <w:trHeight w:val="315"/>
        </w:trPr>
        <w:tc>
          <w:tcPr>
            <w:tcW w:w="2500" w:type="pct"/>
            <w:noWrap/>
          </w:tcPr>
          <w:p w14:paraId="0661A9B0" w14:textId="54627E13" w:rsidR="00045A94" w:rsidRDefault="00045A94" w:rsidP="00045A94">
            <w:pPr>
              <w:pStyle w:val="TableText"/>
            </w:pPr>
            <w:r w:rsidRPr="00F92DB6">
              <w:t>Bighead carp</w:t>
            </w:r>
            <w:r w:rsidRPr="00045A94">
              <w:rPr>
                <w:vertAlign w:val="superscript"/>
              </w:rPr>
              <w:t>a</w:t>
            </w:r>
          </w:p>
        </w:tc>
        <w:tc>
          <w:tcPr>
            <w:tcW w:w="2500" w:type="pct"/>
            <w:noWrap/>
          </w:tcPr>
          <w:p w14:paraId="6BB76E25" w14:textId="4D404D73" w:rsidR="00045A94" w:rsidRPr="00045A94" w:rsidRDefault="00C62909" w:rsidP="00045A94">
            <w:pPr>
              <w:pStyle w:val="TableText"/>
              <w:rPr>
                <w:rStyle w:val="Emphasis"/>
                <w:rFonts w:eastAsia="SimSun"/>
              </w:rPr>
            </w:pPr>
            <w:r w:rsidRPr="00C62909">
              <w:rPr>
                <w:rStyle w:val="Emphasis"/>
              </w:rPr>
              <w:t xml:space="preserve">Hypophthalmichthys </w:t>
            </w:r>
            <w:r w:rsidR="00045A94" w:rsidRPr="00045A94">
              <w:rPr>
                <w:rStyle w:val="Emphasis"/>
              </w:rPr>
              <w:t>nobilis</w:t>
            </w:r>
          </w:p>
        </w:tc>
      </w:tr>
      <w:tr w:rsidR="00045A94" w14:paraId="77064B71" w14:textId="77777777" w:rsidTr="00395270">
        <w:trPr>
          <w:cantSplit/>
          <w:trHeight w:val="315"/>
        </w:trPr>
        <w:tc>
          <w:tcPr>
            <w:tcW w:w="2500" w:type="pct"/>
            <w:noWrap/>
          </w:tcPr>
          <w:p w14:paraId="422FAF28" w14:textId="423319B3" w:rsidR="00045A94" w:rsidRDefault="00045A94" w:rsidP="00045A94">
            <w:pPr>
              <w:pStyle w:val="TableText"/>
            </w:pPr>
            <w:r w:rsidRPr="00F92DB6">
              <w:t>Common carp and koi carp</w:t>
            </w:r>
            <w:r w:rsidRPr="00045A94">
              <w:rPr>
                <w:vertAlign w:val="superscript"/>
              </w:rPr>
              <w:t>a</w:t>
            </w:r>
          </w:p>
        </w:tc>
        <w:tc>
          <w:tcPr>
            <w:tcW w:w="2500" w:type="pct"/>
            <w:noWrap/>
          </w:tcPr>
          <w:p w14:paraId="3A5F59D6" w14:textId="3129C54A" w:rsidR="00045A94" w:rsidRPr="00045A94" w:rsidRDefault="00045A94" w:rsidP="00045A94">
            <w:pPr>
              <w:pStyle w:val="TableText"/>
              <w:rPr>
                <w:rStyle w:val="Emphasis"/>
                <w:rFonts w:eastAsia="SimSun"/>
                <w:i w:val="0"/>
                <w:iCs w:val="0"/>
              </w:rPr>
            </w:pPr>
            <w:r w:rsidRPr="00045A94">
              <w:rPr>
                <w:rStyle w:val="Emphasis"/>
              </w:rPr>
              <w:t>Cyprinus carpio</w:t>
            </w:r>
            <w:r w:rsidRPr="00F92DB6">
              <w:t xml:space="preserve"> (species most susceptible)</w:t>
            </w:r>
          </w:p>
        </w:tc>
      </w:tr>
      <w:tr w:rsidR="00045A94" w14:paraId="20CC33C9" w14:textId="77777777" w:rsidTr="00395270">
        <w:trPr>
          <w:cantSplit/>
          <w:trHeight w:val="315"/>
        </w:trPr>
        <w:tc>
          <w:tcPr>
            <w:tcW w:w="2500" w:type="pct"/>
            <w:noWrap/>
          </w:tcPr>
          <w:p w14:paraId="4789330C" w14:textId="685ECE6A" w:rsidR="00045A94" w:rsidRDefault="00045A94" w:rsidP="00045A94">
            <w:pPr>
              <w:pStyle w:val="TableText"/>
            </w:pPr>
            <w:r w:rsidRPr="00F92DB6">
              <w:t>Common roach</w:t>
            </w:r>
          </w:p>
        </w:tc>
        <w:tc>
          <w:tcPr>
            <w:tcW w:w="2500" w:type="pct"/>
            <w:noWrap/>
          </w:tcPr>
          <w:p w14:paraId="75783D15" w14:textId="60B7EFCA" w:rsidR="00045A94" w:rsidRPr="00045A94" w:rsidRDefault="00045A94" w:rsidP="00045A94">
            <w:pPr>
              <w:pStyle w:val="TableText"/>
              <w:rPr>
                <w:rStyle w:val="Emphasis"/>
                <w:rFonts w:eastAsia="SimSun"/>
              </w:rPr>
            </w:pPr>
            <w:r w:rsidRPr="00045A94">
              <w:rPr>
                <w:rStyle w:val="Emphasis"/>
              </w:rPr>
              <w:t>Rutilus rutilus</w:t>
            </w:r>
          </w:p>
        </w:tc>
      </w:tr>
      <w:tr w:rsidR="00045A94" w14:paraId="74B9AFFF" w14:textId="77777777" w:rsidTr="00395270">
        <w:trPr>
          <w:cantSplit/>
          <w:trHeight w:val="315"/>
        </w:trPr>
        <w:tc>
          <w:tcPr>
            <w:tcW w:w="2500" w:type="pct"/>
            <w:noWrap/>
          </w:tcPr>
          <w:p w14:paraId="79609FD7" w14:textId="36545797" w:rsidR="00045A94" w:rsidRPr="00505B06" w:rsidRDefault="00045A94" w:rsidP="00045A94">
            <w:pPr>
              <w:pStyle w:val="TableText"/>
            </w:pPr>
            <w:r w:rsidRPr="00F92DB6">
              <w:t>Crucian carp</w:t>
            </w:r>
            <w:r w:rsidRPr="00045A94">
              <w:rPr>
                <w:vertAlign w:val="superscript"/>
              </w:rPr>
              <w:t>a</w:t>
            </w:r>
          </w:p>
        </w:tc>
        <w:tc>
          <w:tcPr>
            <w:tcW w:w="2500" w:type="pct"/>
            <w:noWrap/>
          </w:tcPr>
          <w:p w14:paraId="0AE0FF95" w14:textId="39ED9D93" w:rsidR="00045A94" w:rsidRPr="00045A94" w:rsidRDefault="00045A94" w:rsidP="00045A94">
            <w:pPr>
              <w:pStyle w:val="TableText"/>
              <w:rPr>
                <w:rStyle w:val="Emphasis"/>
              </w:rPr>
            </w:pPr>
            <w:r w:rsidRPr="00045A94">
              <w:rPr>
                <w:rStyle w:val="Emphasis"/>
              </w:rPr>
              <w:t>Carassius carassius</w:t>
            </w:r>
          </w:p>
        </w:tc>
      </w:tr>
      <w:tr w:rsidR="00045A94" w14:paraId="7A3E2C3E" w14:textId="77777777" w:rsidTr="00395270">
        <w:trPr>
          <w:cantSplit/>
          <w:trHeight w:val="315"/>
        </w:trPr>
        <w:tc>
          <w:tcPr>
            <w:tcW w:w="2500" w:type="pct"/>
            <w:noWrap/>
          </w:tcPr>
          <w:p w14:paraId="7A53F6F7" w14:textId="0DEB1E40" w:rsidR="00045A94" w:rsidRPr="00505B06" w:rsidRDefault="00045A94" w:rsidP="00045A94">
            <w:pPr>
              <w:pStyle w:val="TableText"/>
            </w:pPr>
            <w:r w:rsidRPr="00F92DB6">
              <w:t>Goldfish</w:t>
            </w:r>
            <w:r w:rsidRPr="00045A94">
              <w:rPr>
                <w:vertAlign w:val="superscript"/>
              </w:rPr>
              <w:t>a</w:t>
            </w:r>
          </w:p>
        </w:tc>
        <w:tc>
          <w:tcPr>
            <w:tcW w:w="2500" w:type="pct"/>
            <w:noWrap/>
          </w:tcPr>
          <w:p w14:paraId="02365A98" w14:textId="01374CC9" w:rsidR="00045A94" w:rsidRPr="00045A94" w:rsidRDefault="00045A94" w:rsidP="00045A94">
            <w:pPr>
              <w:pStyle w:val="TableText"/>
              <w:rPr>
                <w:rStyle w:val="Emphasis"/>
              </w:rPr>
            </w:pPr>
            <w:r w:rsidRPr="00045A94">
              <w:rPr>
                <w:rStyle w:val="Emphasis"/>
              </w:rPr>
              <w:t>Carassius auratus</w:t>
            </w:r>
          </w:p>
        </w:tc>
      </w:tr>
      <w:tr w:rsidR="00045A94" w14:paraId="4AC251C1" w14:textId="77777777" w:rsidTr="00395270">
        <w:trPr>
          <w:cantSplit/>
          <w:trHeight w:val="315"/>
        </w:trPr>
        <w:tc>
          <w:tcPr>
            <w:tcW w:w="2500" w:type="pct"/>
            <w:noWrap/>
          </w:tcPr>
          <w:p w14:paraId="36BBA368" w14:textId="240CD79E" w:rsidR="00045A94" w:rsidRDefault="00045A94" w:rsidP="00045A94">
            <w:pPr>
              <w:pStyle w:val="TableText"/>
            </w:pPr>
            <w:r w:rsidRPr="00F92DB6">
              <w:t>Grass carp</w:t>
            </w:r>
            <w:r w:rsidRPr="00045A94">
              <w:rPr>
                <w:vertAlign w:val="superscript"/>
              </w:rPr>
              <w:t>a</w:t>
            </w:r>
          </w:p>
        </w:tc>
        <w:tc>
          <w:tcPr>
            <w:tcW w:w="2500" w:type="pct"/>
            <w:noWrap/>
          </w:tcPr>
          <w:p w14:paraId="5778A798" w14:textId="636E0D9A" w:rsidR="00045A94" w:rsidRPr="00045A94" w:rsidRDefault="00045A94" w:rsidP="00045A94">
            <w:pPr>
              <w:pStyle w:val="TableText"/>
              <w:rPr>
                <w:rStyle w:val="Emphasis"/>
              </w:rPr>
            </w:pPr>
            <w:r w:rsidRPr="00045A94">
              <w:rPr>
                <w:rStyle w:val="Emphasis"/>
              </w:rPr>
              <w:t>Ctenopharyngodon idellus</w:t>
            </w:r>
          </w:p>
        </w:tc>
      </w:tr>
      <w:tr w:rsidR="00045A94" w14:paraId="42A53FDB" w14:textId="77777777" w:rsidTr="00395270">
        <w:trPr>
          <w:cantSplit/>
          <w:trHeight w:val="315"/>
        </w:trPr>
        <w:tc>
          <w:tcPr>
            <w:tcW w:w="2500" w:type="pct"/>
            <w:noWrap/>
          </w:tcPr>
          <w:p w14:paraId="76693F4D" w14:textId="522D6A42" w:rsidR="00045A94" w:rsidRDefault="00045A94" w:rsidP="00045A94">
            <w:pPr>
              <w:pStyle w:val="TableText"/>
            </w:pPr>
            <w:r w:rsidRPr="00F92DB6">
              <w:t>Guppy</w:t>
            </w:r>
          </w:p>
        </w:tc>
        <w:tc>
          <w:tcPr>
            <w:tcW w:w="2500" w:type="pct"/>
            <w:noWrap/>
          </w:tcPr>
          <w:p w14:paraId="3EAE5FFD" w14:textId="79E7706D" w:rsidR="00045A94" w:rsidRPr="00045A94" w:rsidRDefault="00045A94" w:rsidP="00C62909">
            <w:pPr>
              <w:pStyle w:val="TableText"/>
              <w:rPr>
                <w:rStyle w:val="Emphasis"/>
                <w:i w:val="0"/>
                <w:iCs w:val="0"/>
              </w:rPr>
            </w:pPr>
            <w:r w:rsidRPr="00045A94">
              <w:rPr>
                <w:rStyle w:val="Emphasis"/>
              </w:rPr>
              <w:t>Poecilia reticulata</w:t>
            </w:r>
            <w:r w:rsidRPr="00F92DB6">
              <w:t xml:space="preserve"> </w:t>
            </w:r>
          </w:p>
        </w:tc>
      </w:tr>
      <w:tr w:rsidR="00045A94" w14:paraId="4213695D" w14:textId="77777777" w:rsidTr="00395270">
        <w:trPr>
          <w:cantSplit/>
          <w:trHeight w:val="315"/>
        </w:trPr>
        <w:tc>
          <w:tcPr>
            <w:tcW w:w="2500" w:type="pct"/>
            <w:noWrap/>
          </w:tcPr>
          <w:p w14:paraId="6380CAB2" w14:textId="12BF4C28" w:rsidR="00045A94" w:rsidRDefault="00045A94" w:rsidP="00045A94">
            <w:pPr>
              <w:pStyle w:val="TableText"/>
            </w:pPr>
            <w:r w:rsidRPr="00F92DB6">
              <w:t>Ide or orfe</w:t>
            </w:r>
            <w:r w:rsidRPr="00045A94">
              <w:rPr>
                <w:vertAlign w:val="superscript"/>
              </w:rPr>
              <w:t>a</w:t>
            </w:r>
          </w:p>
        </w:tc>
        <w:tc>
          <w:tcPr>
            <w:tcW w:w="2500" w:type="pct"/>
            <w:noWrap/>
          </w:tcPr>
          <w:p w14:paraId="5EECEB80" w14:textId="69E7E681" w:rsidR="00045A94" w:rsidRPr="00045A94" w:rsidRDefault="00045A94" w:rsidP="00045A94">
            <w:pPr>
              <w:pStyle w:val="TableText"/>
              <w:rPr>
                <w:rStyle w:val="Emphasis"/>
              </w:rPr>
            </w:pPr>
            <w:r w:rsidRPr="00045A94">
              <w:rPr>
                <w:rStyle w:val="Emphasis"/>
              </w:rPr>
              <w:t>Leuciscus idus</w:t>
            </w:r>
          </w:p>
        </w:tc>
      </w:tr>
      <w:tr w:rsidR="00045A94" w14:paraId="36D0F90C" w14:textId="77777777" w:rsidTr="00395270">
        <w:trPr>
          <w:cantSplit/>
          <w:trHeight w:val="315"/>
        </w:trPr>
        <w:tc>
          <w:tcPr>
            <w:tcW w:w="2500" w:type="pct"/>
            <w:noWrap/>
          </w:tcPr>
          <w:p w14:paraId="0D0D0BAA" w14:textId="354B7782" w:rsidR="00045A94" w:rsidRPr="00B870BA" w:rsidRDefault="00045A94" w:rsidP="00045A94">
            <w:pPr>
              <w:pStyle w:val="TableText"/>
            </w:pPr>
            <w:r w:rsidRPr="00F92DB6">
              <w:t>Largemouth bass</w:t>
            </w:r>
          </w:p>
        </w:tc>
        <w:tc>
          <w:tcPr>
            <w:tcW w:w="2500" w:type="pct"/>
            <w:noWrap/>
          </w:tcPr>
          <w:p w14:paraId="4885245E" w14:textId="19400818" w:rsidR="00045A94" w:rsidRPr="00045A94" w:rsidRDefault="00045A94" w:rsidP="00045A94">
            <w:pPr>
              <w:pStyle w:val="TableText"/>
              <w:rPr>
                <w:rStyle w:val="Emphasis"/>
              </w:rPr>
            </w:pPr>
            <w:r w:rsidRPr="00045A94">
              <w:rPr>
                <w:rStyle w:val="Emphasis"/>
              </w:rPr>
              <w:t>Micropterus salmoides</w:t>
            </w:r>
          </w:p>
        </w:tc>
      </w:tr>
      <w:tr w:rsidR="00045A94" w14:paraId="446E49F6" w14:textId="77777777" w:rsidTr="00395270">
        <w:trPr>
          <w:cantSplit/>
          <w:trHeight w:val="315"/>
        </w:trPr>
        <w:tc>
          <w:tcPr>
            <w:tcW w:w="2500" w:type="pct"/>
            <w:noWrap/>
          </w:tcPr>
          <w:p w14:paraId="776139EF" w14:textId="61867262" w:rsidR="00045A94" w:rsidRPr="00B870BA" w:rsidRDefault="00045A94" w:rsidP="00045A94">
            <w:pPr>
              <w:pStyle w:val="TableText"/>
            </w:pPr>
            <w:r w:rsidRPr="00F92DB6">
              <w:t>Pike</w:t>
            </w:r>
            <w:r w:rsidRPr="00045A94">
              <w:rPr>
                <w:vertAlign w:val="superscript"/>
              </w:rPr>
              <w:t>a</w:t>
            </w:r>
          </w:p>
        </w:tc>
        <w:tc>
          <w:tcPr>
            <w:tcW w:w="2500" w:type="pct"/>
            <w:noWrap/>
          </w:tcPr>
          <w:p w14:paraId="67F88760" w14:textId="6F45B89D" w:rsidR="00045A94" w:rsidRPr="00045A94" w:rsidRDefault="00045A94" w:rsidP="00045A94">
            <w:pPr>
              <w:pStyle w:val="TableText"/>
              <w:rPr>
                <w:rStyle w:val="Emphasis"/>
              </w:rPr>
            </w:pPr>
            <w:r w:rsidRPr="00045A94">
              <w:rPr>
                <w:rStyle w:val="Emphasis"/>
              </w:rPr>
              <w:t>Esox lucius</w:t>
            </w:r>
          </w:p>
        </w:tc>
      </w:tr>
      <w:tr w:rsidR="00045A94" w14:paraId="056177E3" w14:textId="77777777" w:rsidTr="00395270">
        <w:trPr>
          <w:cantSplit/>
          <w:trHeight w:val="315"/>
        </w:trPr>
        <w:tc>
          <w:tcPr>
            <w:tcW w:w="2500" w:type="pct"/>
            <w:noWrap/>
          </w:tcPr>
          <w:p w14:paraId="253B7E01" w14:textId="7D882C1E" w:rsidR="00045A94" w:rsidRPr="005C55A2" w:rsidRDefault="00045A94" w:rsidP="00045A94">
            <w:pPr>
              <w:pStyle w:val="TableText"/>
            </w:pPr>
            <w:r w:rsidRPr="00F92DB6">
              <w:t>Pumpkinseed</w:t>
            </w:r>
          </w:p>
        </w:tc>
        <w:tc>
          <w:tcPr>
            <w:tcW w:w="2500" w:type="pct"/>
            <w:noWrap/>
          </w:tcPr>
          <w:p w14:paraId="765DBE7B" w14:textId="74001989" w:rsidR="00045A94" w:rsidRPr="00045A94" w:rsidRDefault="00045A94" w:rsidP="00045A94">
            <w:pPr>
              <w:pStyle w:val="TableText"/>
              <w:rPr>
                <w:rStyle w:val="Emphasis"/>
              </w:rPr>
            </w:pPr>
            <w:r w:rsidRPr="00045A94">
              <w:rPr>
                <w:rStyle w:val="Emphasis"/>
              </w:rPr>
              <w:t>Lepomis gibbosus</w:t>
            </w:r>
          </w:p>
        </w:tc>
      </w:tr>
      <w:tr w:rsidR="00045A94" w14:paraId="01B1CE0A" w14:textId="77777777" w:rsidTr="00395270">
        <w:trPr>
          <w:cantSplit/>
          <w:trHeight w:val="315"/>
        </w:trPr>
        <w:tc>
          <w:tcPr>
            <w:tcW w:w="2500" w:type="pct"/>
            <w:noWrap/>
          </w:tcPr>
          <w:p w14:paraId="0740F50B" w14:textId="7169B6F7" w:rsidR="00045A94" w:rsidRPr="005C55A2" w:rsidRDefault="00045A94" w:rsidP="00045A94">
            <w:pPr>
              <w:pStyle w:val="TableText"/>
            </w:pPr>
            <w:r w:rsidRPr="00F92DB6">
              <w:t>Rainbow trout</w:t>
            </w:r>
            <w:r w:rsidRPr="00045A94">
              <w:rPr>
                <w:vertAlign w:val="superscript"/>
              </w:rPr>
              <w:t>a</w:t>
            </w:r>
          </w:p>
        </w:tc>
        <w:tc>
          <w:tcPr>
            <w:tcW w:w="2500" w:type="pct"/>
            <w:noWrap/>
          </w:tcPr>
          <w:p w14:paraId="6205559A" w14:textId="60ED7BD8" w:rsidR="00045A94" w:rsidRPr="00045A94" w:rsidRDefault="00045A94" w:rsidP="00045A94">
            <w:pPr>
              <w:pStyle w:val="TableText"/>
              <w:rPr>
                <w:rStyle w:val="Emphasis"/>
              </w:rPr>
            </w:pPr>
            <w:r w:rsidRPr="00045A94">
              <w:rPr>
                <w:rStyle w:val="Emphasis"/>
              </w:rPr>
              <w:t>Oncorhynchus mykiss</w:t>
            </w:r>
          </w:p>
        </w:tc>
      </w:tr>
      <w:tr w:rsidR="00045A94" w14:paraId="02E34281" w14:textId="77777777" w:rsidTr="00395270">
        <w:trPr>
          <w:cantSplit/>
          <w:trHeight w:val="315"/>
        </w:trPr>
        <w:tc>
          <w:tcPr>
            <w:tcW w:w="2500" w:type="pct"/>
            <w:noWrap/>
          </w:tcPr>
          <w:p w14:paraId="1D3A07FD" w14:textId="47404132" w:rsidR="00045A94" w:rsidRPr="005C55A2" w:rsidRDefault="00045A94" w:rsidP="00045A94">
            <w:pPr>
              <w:pStyle w:val="TableText"/>
            </w:pPr>
            <w:r w:rsidRPr="00F92DB6">
              <w:t>Silver carp</w:t>
            </w:r>
            <w:r w:rsidRPr="00045A94">
              <w:rPr>
                <w:vertAlign w:val="superscript"/>
              </w:rPr>
              <w:t>a</w:t>
            </w:r>
          </w:p>
        </w:tc>
        <w:tc>
          <w:tcPr>
            <w:tcW w:w="2500" w:type="pct"/>
            <w:noWrap/>
          </w:tcPr>
          <w:p w14:paraId="56512AC9" w14:textId="534D1635" w:rsidR="00045A94" w:rsidRPr="00045A94" w:rsidRDefault="00045A94" w:rsidP="00045A94">
            <w:pPr>
              <w:pStyle w:val="TableText"/>
              <w:rPr>
                <w:rStyle w:val="Emphasis"/>
              </w:rPr>
            </w:pPr>
            <w:r w:rsidRPr="00045A94">
              <w:rPr>
                <w:rStyle w:val="Emphasis"/>
              </w:rPr>
              <w:t>Hypophthalmichthys molitrix</w:t>
            </w:r>
          </w:p>
        </w:tc>
      </w:tr>
      <w:tr w:rsidR="00045A94" w14:paraId="0E554D96" w14:textId="77777777" w:rsidTr="00395270">
        <w:trPr>
          <w:cantSplit/>
          <w:trHeight w:val="315"/>
        </w:trPr>
        <w:tc>
          <w:tcPr>
            <w:tcW w:w="2500" w:type="pct"/>
            <w:noWrap/>
          </w:tcPr>
          <w:p w14:paraId="637B0E67" w14:textId="5786724F" w:rsidR="00045A94" w:rsidRPr="005C55A2" w:rsidRDefault="00045A94" w:rsidP="00045A94">
            <w:pPr>
              <w:pStyle w:val="TableText"/>
            </w:pPr>
            <w:r w:rsidRPr="00F92DB6">
              <w:t>Tench</w:t>
            </w:r>
            <w:r w:rsidRPr="00045A94">
              <w:rPr>
                <w:vertAlign w:val="superscript"/>
              </w:rPr>
              <w:t>a</w:t>
            </w:r>
          </w:p>
        </w:tc>
        <w:tc>
          <w:tcPr>
            <w:tcW w:w="2500" w:type="pct"/>
            <w:noWrap/>
          </w:tcPr>
          <w:p w14:paraId="02E46076" w14:textId="523B9748" w:rsidR="00045A94" w:rsidRPr="00045A94" w:rsidRDefault="00045A94" w:rsidP="00045A94">
            <w:pPr>
              <w:pStyle w:val="TableText"/>
              <w:rPr>
                <w:rStyle w:val="Emphasis"/>
              </w:rPr>
            </w:pPr>
            <w:r w:rsidRPr="00045A94">
              <w:rPr>
                <w:rStyle w:val="Emphasis"/>
              </w:rPr>
              <w:t>Tinca tinca</w:t>
            </w:r>
          </w:p>
        </w:tc>
      </w:tr>
      <w:tr w:rsidR="00045A94" w14:paraId="7A5DBE2D" w14:textId="77777777" w:rsidTr="00395270">
        <w:trPr>
          <w:cantSplit/>
          <w:trHeight w:val="315"/>
        </w:trPr>
        <w:tc>
          <w:tcPr>
            <w:tcW w:w="2500" w:type="pct"/>
            <w:noWrap/>
          </w:tcPr>
          <w:p w14:paraId="798E283E" w14:textId="2843172A" w:rsidR="00045A94" w:rsidRPr="005C55A2" w:rsidRDefault="00045A94" w:rsidP="00045A94">
            <w:pPr>
              <w:pStyle w:val="TableText"/>
            </w:pPr>
            <w:r w:rsidRPr="00F92DB6">
              <w:t>Wels catfish or sheatfish</w:t>
            </w:r>
            <w:r w:rsidRPr="00045A94">
              <w:rPr>
                <w:vertAlign w:val="superscript"/>
              </w:rPr>
              <w:t>a</w:t>
            </w:r>
          </w:p>
        </w:tc>
        <w:tc>
          <w:tcPr>
            <w:tcW w:w="2500" w:type="pct"/>
            <w:noWrap/>
          </w:tcPr>
          <w:p w14:paraId="5DAABE92" w14:textId="257BB9EB" w:rsidR="00045A94" w:rsidRPr="00045A94" w:rsidRDefault="00045A94" w:rsidP="00045A94">
            <w:pPr>
              <w:pStyle w:val="TableText"/>
              <w:rPr>
                <w:rStyle w:val="Emphasis"/>
              </w:rPr>
            </w:pPr>
            <w:r w:rsidRPr="00045A94">
              <w:rPr>
                <w:rStyle w:val="Emphasis"/>
              </w:rPr>
              <w:t>Silurus glanis</w:t>
            </w:r>
          </w:p>
        </w:tc>
      </w:tr>
      <w:tr w:rsidR="00045A94" w14:paraId="076F4084" w14:textId="77777777" w:rsidTr="00395270">
        <w:trPr>
          <w:cantSplit/>
          <w:trHeight w:val="315"/>
        </w:trPr>
        <w:tc>
          <w:tcPr>
            <w:tcW w:w="2500" w:type="pct"/>
            <w:noWrap/>
          </w:tcPr>
          <w:p w14:paraId="7955CE10" w14:textId="3ED0EE46" w:rsidR="00045A94" w:rsidRPr="005C55A2" w:rsidRDefault="00045A94" w:rsidP="00045A94">
            <w:pPr>
              <w:pStyle w:val="TableText"/>
            </w:pPr>
            <w:r w:rsidRPr="00B05F4B">
              <w:t>Zebrafish</w:t>
            </w:r>
          </w:p>
        </w:tc>
        <w:tc>
          <w:tcPr>
            <w:tcW w:w="2500" w:type="pct"/>
            <w:noWrap/>
          </w:tcPr>
          <w:p w14:paraId="6BCF369E" w14:textId="04C7931A" w:rsidR="00045A94" w:rsidRPr="00045A94" w:rsidRDefault="00045A94" w:rsidP="00045A94">
            <w:pPr>
              <w:pStyle w:val="TableText"/>
              <w:rPr>
                <w:rStyle w:val="Emphasis"/>
              </w:rPr>
            </w:pPr>
            <w:r w:rsidRPr="00045A94">
              <w:rPr>
                <w:rStyle w:val="Emphasis"/>
              </w:rPr>
              <w:t>Danio rerio</w:t>
            </w:r>
          </w:p>
        </w:tc>
      </w:tr>
    </w:tbl>
    <w:p w14:paraId="1A84055B" w14:textId="0BD27209" w:rsidR="00045A94" w:rsidRDefault="00045A94" w:rsidP="00045A94">
      <w:pPr>
        <w:pStyle w:val="FigureTableNoteSource"/>
      </w:pPr>
      <w:r w:rsidRPr="00045A94">
        <w:rPr>
          <w:rStyle w:val="Strong"/>
        </w:rPr>
        <w:t>a</w:t>
      </w:r>
      <w:r>
        <w:t xml:space="preserve"> </w:t>
      </w:r>
      <w:r w:rsidRPr="00045A94">
        <w:t>Naturally susceptible</w:t>
      </w:r>
      <w:r>
        <w:t>.</w:t>
      </w:r>
      <w:r w:rsidRPr="00045A94">
        <w:t xml:space="preserve"> </w:t>
      </w:r>
      <w:r>
        <w:t>Note: O</w:t>
      </w:r>
      <w:r w:rsidRPr="00045A94">
        <w:t>ther species have been shown to be experimentally susceptible</w:t>
      </w:r>
      <w:r>
        <w:t>.</w:t>
      </w:r>
    </w:p>
    <w:p w14:paraId="735EAD9D" w14:textId="03F1B415" w:rsidR="00045A94" w:rsidRDefault="00045A94" w:rsidP="00045A94">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C45E9E">
        <w:rPr>
          <w:noProof/>
        </w:rPr>
        <w:t>2</w:t>
      </w:r>
      <w:r>
        <w:rPr>
          <w:noProof/>
        </w:rPr>
        <w:fldChar w:fldCharType="end"/>
      </w:r>
      <w:r>
        <w:t xml:space="preserve"> Non-fish carriers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045A94" w14:paraId="587311F9" w14:textId="77777777" w:rsidTr="00826775">
        <w:trPr>
          <w:cantSplit/>
          <w:trHeight w:val="300"/>
          <w:tblHeader/>
        </w:trPr>
        <w:tc>
          <w:tcPr>
            <w:tcW w:w="2500" w:type="pct"/>
            <w:tcBorders>
              <w:top w:val="single" w:sz="4" w:space="0" w:color="auto"/>
              <w:bottom w:val="single" w:sz="4" w:space="0" w:color="auto"/>
            </w:tcBorders>
            <w:noWrap/>
          </w:tcPr>
          <w:p w14:paraId="12376436" w14:textId="77777777" w:rsidR="00045A94" w:rsidRDefault="00045A94" w:rsidP="00826775">
            <w:pPr>
              <w:pStyle w:val="TableHeading"/>
            </w:pPr>
            <w:r>
              <w:t>Common name</w:t>
            </w:r>
          </w:p>
        </w:tc>
        <w:tc>
          <w:tcPr>
            <w:tcW w:w="2500" w:type="pct"/>
            <w:tcBorders>
              <w:top w:val="single" w:sz="4" w:space="0" w:color="auto"/>
              <w:bottom w:val="single" w:sz="4" w:space="0" w:color="auto"/>
            </w:tcBorders>
            <w:noWrap/>
          </w:tcPr>
          <w:p w14:paraId="720C2EFA" w14:textId="77777777" w:rsidR="00045A94" w:rsidRDefault="00045A94" w:rsidP="00826775">
            <w:pPr>
              <w:pStyle w:val="TableHeading"/>
            </w:pPr>
            <w:r>
              <w:t>Scientific name</w:t>
            </w:r>
          </w:p>
        </w:tc>
      </w:tr>
      <w:tr w:rsidR="00045A94" w14:paraId="257B874D" w14:textId="77777777" w:rsidTr="00826775">
        <w:trPr>
          <w:cantSplit/>
          <w:trHeight w:val="315"/>
        </w:trPr>
        <w:tc>
          <w:tcPr>
            <w:tcW w:w="2500" w:type="pct"/>
            <w:tcBorders>
              <w:top w:val="single" w:sz="4" w:space="0" w:color="auto"/>
            </w:tcBorders>
            <w:noWrap/>
          </w:tcPr>
          <w:p w14:paraId="51855FB0" w14:textId="411EFB05" w:rsidR="00045A94" w:rsidRDefault="00045A94" w:rsidP="00045A94">
            <w:pPr>
              <w:pStyle w:val="TableText"/>
              <w:tabs>
                <w:tab w:val="left" w:pos="1640"/>
              </w:tabs>
            </w:pPr>
            <w:r w:rsidRPr="004262BF">
              <w:t>Chinese fire</w:t>
            </w:r>
            <w:r w:rsidR="00C76C59">
              <w:t xml:space="preserve"> </w:t>
            </w:r>
            <w:r w:rsidRPr="004262BF">
              <w:t>belly newt</w:t>
            </w:r>
          </w:p>
        </w:tc>
        <w:tc>
          <w:tcPr>
            <w:tcW w:w="2500" w:type="pct"/>
            <w:tcBorders>
              <w:top w:val="single" w:sz="4" w:space="0" w:color="auto"/>
            </w:tcBorders>
            <w:noWrap/>
          </w:tcPr>
          <w:p w14:paraId="04B4C1CD" w14:textId="4F153C5F" w:rsidR="00045A94" w:rsidRPr="00045A94" w:rsidRDefault="00045A94" w:rsidP="00045A94">
            <w:pPr>
              <w:pStyle w:val="TableText"/>
              <w:rPr>
                <w:rStyle w:val="Emphasis"/>
              </w:rPr>
            </w:pPr>
            <w:r w:rsidRPr="00045A94">
              <w:rPr>
                <w:rStyle w:val="Emphasis"/>
              </w:rPr>
              <w:t>Cynops orientalis</w:t>
            </w:r>
          </w:p>
        </w:tc>
      </w:tr>
      <w:tr w:rsidR="00045A94" w14:paraId="104EDBE3" w14:textId="77777777" w:rsidTr="00826775">
        <w:trPr>
          <w:cantSplit/>
          <w:trHeight w:val="315"/>
        </w:trPr>
        <w:tc>
          <w:tcPr>
            <w:tcW w:w="2500" w:type="pct"/>
            <w:noWrap/>
          </w:tcPr>
          <w:p w14:paraId="0F0266CC" w14:textId="0501C7C8" w:rsidR="00045A94" w:rsidRDefault="00045A94" w:rsidP="00045A94">
            <w:pPr>
              <w:pStyle w:val="TableText"/>
            </w:pPr>
            <w:r w:rsidRPr="004262BF">
              <w:t>Salamanders, newts and sirens</w:t>
            </w:r>
          </w:p>
        </w:tc>
        <w:tc>
          <w:tcPr>
            <w:tcW w:w="2500" w:type="pct"/>
            <w:noWrap/>
          </w:tcPr>
          <w:p w14:paraId="6A2E6112" w14:textId="05F7AA33" w:rsidR="00045A94" w:rsidRPr="00045A94" w:rsidRDefault="00045A94" w:rsidP="00045A94">
            <w:pPr>
              <w:pStyle w:val="TableText"/>
              <w:rPr>
                <w:rStyle w:val="Emphasis"/>
                <w:rFonts w:eastAsia="SimSun"/>
              </w:rPr>
            </w:pPr>
            <w:r w:rsidRPr="00C76C59">
              <w:t>Order</w:t>
            </w:r>
            <w:r w:rsidRPr="00045A94">
              <w:rPr>
                <w:rStyle w:val="Emphasis"/>
              </w:rPr>
              <w:t xml:space="preserve"> Caudata</w:t>
            </w:r>
          </w:p>
        </w:tc>
      </w:tr>
      <w:tr w:rsidR="00045A94" w14:paraId="6A9F5493" w14:textId="77777777" w:rsidTr="00826775">
        <w:trPr>
          <w:cantSplit/>
          <w:trHeight w:val="315"/>
        </w:trPr>
        <w:tc>
          <w:tcPr>
            <w:tcW w:w="2500" w:type="pct"/>
            <w:noWrap/>
          </w:tcPr>
          <w:p w14:paraId="3C565FF8" w14:textId="561B1727" w:rsidR="00045A94" w:rsidRDefault="00045A94" w:rsidP="00045A94">
            <w:pPr>
              <w:pStyle w:val="TableText"/>
            </w:pPr>
            <w:r w:rsidRPr="004262BF">
              <w:t>Fish louse</w:t>
            </w:r>
          </w:p>
        </w:tc>
        <w:tc>
          <w:tcPr>
            <w:tcW w:w="2500" w:type="pct"/>
            <w:noWrap/>
          </w:tcPr>
          <w:p w14:paraId="58AC7207" w14:textId="7D444338" w:rsidR="00045A94" w:rsidRPr="00045A94" w:rsidRDefault="00045A94" w:rsidP="00045A94">
            <w:pPr>
              <w:pStyle w:val="TableText"/>
              <w:rPr>
                <w:rStyle w:val="Emphasis"/>
                <w:rFonts w:eastAsia="SimSun"/>
              </w:rPr>
            </w:pPr>
            <w:r w:rsidRPr="00045A94">
              <w:rPr>
                <w:rStyle w:val="Emphasis"/>
              </w:rPr>
              <w:t>Argulus foliaceus</w:t>
            </w:r>
          </w:p>
        </w:tc>
      </w:tr>
      <w:tr w:rsidR="00045A94" w14:paraId="738DE8F1" w14:textId="77777777" w:rsidTr="00826775">
        <w:trPr>
          <w:cantSplit/>
          <w:trHeight w:val="315"/>
        </w:trPr>
        <w:tc>
          <w:tcPr>
            <w:tcW w:w="2500" w:type="pct"/>
            <w:noWrap/>
          </w:tcPr>
          <w:p w14:paraId="7D7C8A07" w14:textId="5D21EC58" w:rsidR="00045A94" w:rsidRDefault="00045A94" w:rsidP="00045A94">
            <w:pPr>
              <w:pStyle w:val="TableText"/>
            </w:pPr>
            <w:r w:rsidRPr="004262BF">
              <w:t>Grey heron</w:t>
            </w:r>
          </w:p>
        </w:tc>
        <w:tc>
          <w:tcPr>
            <w:tcW w:w="2500" w:type="pct"/>
            <w:noWrap/>
          </w:tcPr>
          <w:p w14:paraId="2DC82DB3" w14:textId="12ACA728" w:rsidR="00045A94" w:rsidRPr="00045A94" w:rsidRDefault="00045A94" w:rsidP="00045A94">
            <w:pPr>
              <w:pStyle w:val="TableText"/>
              <w:rPr>
                <w:rStyle w:val="Emphasis"/>
                <w:rFonts w:eastAsia="SimSun"/>
              </w:rPr>
            </w:pPr>
            <w:r w:rsidRPr="00045A94">
              <w:rPr>
                <w:rStyle w:val="Emphasis"/>
              </w:rPr>
              <w:t>Ardea cinerea</w:t>
            </w:r>
          </w:p>
        </w:tc>
      </w:tr>
      <w:tr w:rsidR="00045A94" w14:paraId="5171DAAB" w14:textId="77777777" w:rsidTr="00826775">
        <w:trPr>
          <w:cantSplit/>
          <w:trHeight w:val="315"/>
        </w:trPr>
        <w:tc>
          <w:tcPr>
            <w:tcW w:w="2500" w:type="pct"/>
            <w:noWrap/>
          </w:tcPr>
          <w:p w14:paraId="262E593E" w14:textId="7009F3D0" w:rsidR="00045A94" w:rsidRPr="00505B06" w:rsidRDefault="00045A94" w:rsidP="00045A94">
            <w:pPr>
              <w:pStyle w:val="TableText"/>
            </w:pPr>
            <w:r w:rsidRPr="004262BF">
              <w:t>Leeches</w:t>
            </w:r>
          </w:p>
        </w:tc>
        <w:tc>
          <w:tcPr>
            <w:tcW w:w="2500" w:type="pct"/>
            <w:noWrap/>
          </w:tcPr>
          <w:p w14:paraId="5B226462" w14:textId="21C98940" w:rsidR="00045A94" w:rsidRPr="00045A94" w:rsidRDefault="00045A94" w:rsidP="00045A94">
            <w:pPr>
              <w:pStyle w:val="TableText"/>
              <w:rPr>
                <w:rStyle w:val="Emphasis"/>
                <w:i w:val="0"/>
                <w:iCs w:val="0"/>
              </w:rPr>
            </w:pPr>
            <w:r w:rsidRPr="00045A94">
              <w:rPr>
                <w:rStyle w:val="Emphasis"/>
              </w:rPr>
              <w:t>Piscicola</w:t>
            </w:r>
            <w:r w:rsidRPr="004262BF">
              <w:t xml:space="preserve"> spp.</w:t>
            </w:r>
          </w:p>
        </w:tc>
      </w:tr>
      <w:tr w:rsidR="00045A94" w14:paraId="38823F4E" w14:textId="77777777" w:rsidTr="00826775">
        <w:trPr>
          <w:cantSplit/>
          <w:trHeight w:val="315"/>
        </w:trPr>
        <w:tc>
          <w:tcPr>
            <w:tcW w:w="2500" w:type="pct"/>
            <w:noWrap/>
          </w:tcPr>
          <w:p w14:paraId="17DEAE83" w14:textId="4D39DABA" w:rsidR="00045A94" w:rsidRPr="00505B06" w:rsidRDefault="00045A94" w:rsidP="00045A94">
            <w:pPr>
              <w:pStyle w:val="TableText"/>
            </w:pPr>
            <w:r w:rsidRPr="004262BF">
              <w:t>Piscivorous birds</w:t>
            </w:r>
          </w:p>
        </w:tc>
        <w:tc>
          <w:tcPr>
            <w:tcW w:w="2500" w:type="pct"/>
            <w:noWrap/>
          </w:tcPr>
          <w:p w14:paraId="54D989A4" w14:textId="05A46B53" w:rsidR="00045A94" w:rsidRPr="00045A94" w:rsidRDefault="00045A94" w:rsidP="00045A94">
            <w:pPr>
              <w:pStyle w:val="TableText"/>
              <w:rPr>
                <w:rStyle w:val="Emphasis"/>
                <w:i w:val="0"/>
                <w:iCs w:val="0"/>
              </w:rPr>
            </w:pPr>
            <w:r w:rsidRPr="004262BF">
              <w:t>Various genera and species</w:t>
            </w:r>
          </w:p>
        </w:tc>
      </w:tr>
    </w:tbl>
    <w:p w14:paraId="07189146" w14:textId="77777777" w:rsidR="00ED0614" w:rsidRDefault="00E260DC">
      <w:pPr>
        <w:pStyle w:val="Heading2"/>
      </w:pPr>
      <w:r>
        <w:t>Presence in Australia</w:t>
      </w:r>
    </w:p>
    <w:p w14:paraId="12DFE40E" w14:textId="277F361A" w:rsidR="00FD7D78" w:rsidRDefault="004B703A">
      <w:pPr>
        <w:keepNext/>
        <w:keepLines/>
      </w:pPr>
      <w:r w:rsidRPr="004B703A">
        <w:t>Exotic disease—not recorded in Australia.</w:t>
      </w:r>
    </w:p>
    <w:p w14:paraId="55B0F228" w14:textId="44B1FB5C" w:rsidR="00ED0614" w:rsidRDefault="00E260DC">
      <w:pPr>
        <w:pStyle w:val="Caption"/>
      </w:pPr>
      <w:r>
        <w:t xml:space="preserve">Map </w:t>
      </w:r>
      <w:r>
        <w:rPr>
          <w:noProof/>
        </w:rPr>
        <w:fldChar w:fldCharType="begin"/>
      </w:r>
      <w:r>
        <w:rPr>
          <w:noProof/>
        </w:rPr>
        <w:instrText xml:space="preserve"> SEQ Map \* ARABIC </w:instrText>
      </w:r>
      <w:r>
        <w:rPr>
          <w:noProof/>
        </w:rPr>
        <w:fldChar w:fldCharType="separate"/>
      </w:r>
      <w:r w:rsidR="00C45E9E">
        <w:rPr>
          <w:noProof/>
        </w:rPr>
        <w:t>1</w:t>
      </w:r>
      <w:r>
        <w:rPr>
          <w:noProof/>
        </w:rPr>
        <w:fldChar w:fldCharType="end"/>
      </w:r>
      <w:r>
        <w:t xml:space="preserve"> Presence </w:t>
      </w:r>
      <w:r w:rsidR="004B703A" w:rsidRPr="004B703A">
        <w:t xml:space="preserve">of </w:t>
      </w:r>
      <w:r w:rsidR="002D669A">
        <w:t>SVCV</w:t>
      </w:r>
      <w:r>
        <w:t>, by jurisdiction</w:t>
      </w:r>
    </w:p>
    <w:p w14:paraId="0046BA22" w14:textId="77777777" w:rsidR="00ED0614" w:rsidRDefault="00E260DC">
      <w:r>
        <w:rPr>
          <w:noProof/>
          <w:lang w:eastAsia="en-AU"/>
        </w:rPr>
        <w:drawing>
          <wp:inline distT="0" distB="0" distL="0" distR="0" wp14:anchorId="1C3B5809" wp14:editId="7EAC54EB">
            <wp:extent cx="4137772" cy="2946411"/>
            <wp:effectExtent l="0" t="0" r="0" b="635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ie and Vic AVG.png"/>
                    <pic:cNvPicPr/>
                  </pic:nvPicPr>
                  <pic:blipFill>
                    <a:blip r:embed="rId12" cstate="print">
                      <a:extLst>
                        <a:ext uri="{28A0092B-C50C-407E-A947-70E740481C1C}">
                          <a14:useLocalDpi xmlns:a14="http://schemas.microsoft.com/office/drawing/2010/main"/>
                        </a:ext>
                      </a:extLst>
                    </a:blip>
                    <a:stretch>
                      <a:fillRect/>
                    </a:stretch>
                  </pic:blipFill>
                  <pic:spPr>
                    <a:xfrm>
                      <a:off x="0" y="0"/>
                      <a:ext cx="4137772" cy="2946411"/>
                    </a:xfrm>
                    <a:prstGeom prst="rect">
                      <a:avLst/>
                    </a:prstGeom>
                  </pic:spPr>
                </pic:pic>
              </a:graphicData>
            </a:graphic>
          </wp:inline>
        </w:drawing>
      </w:r>
    </w:p>
    <w:p w14:paraId="345F5669" w14:textId="77777777" w:rsidR="00ED0614" w:rsidRDefault="00E260DC" w:rsidP="006E4C18">
      <w:pPr>
        <w:pStyle w:val="Heading2"/>
        <w:keepLines/>
      </w:pPr>
      <w:r>
        <w:t>Epidemiology</w:t>
      </w:r>
    </w:p>
    <w:p w14:paraId="7B9FC33E" w14:textId="77777777" w:rsidR="00045A94" w:rsidRDefault="00045A94" w:rsidP="00045A94">
      <w:pPr>
        <w:pStyle w:val="ListBullet"/>
      </w:pPr>
      <w:r>
        <w:t>SVC is very contagious among common carp.</w:t>
      </w:r>
    </w:p>
    <w:p w14:paraId="3B12118B" w14:textId="77777777" w:rsidR="00045A94" w:rsidRDefault="00045A94" w:rsidP="00045A94">
      <w:pPr>
        <w:pStyle w:val="ListBullet"/>
      </w:pPr>
      <w:r>
        <w:t>Clinical disease is linked closely to environmental disturbances.</w:t>
      </w:r>
    </w:p>
    <w:p w14:paraId="3F37CA40" w14:textId="6C53EDE5" w:rsidR="00045A94" w:rsidRDefault="00045A94" w:rsidP="00045A94">
      <w:pPr>
        <w:pStyle w:val="ListBullet"/>
      </w:pPr>
      <w:r>
        <w:t>Mortality rate is usually less than</w:t>
      </w:r>
      <w:r w:rsidR="002D669A">
        <w:t> </w:t>
      </w:r>
      <w:r>
        <w:t>40% but can range from</w:t>
      </w:r>
      <w:r w:rsidR="002D669A">
        <w:t> </w:t>
      </w:r>
      <w:r>
        <w:t>5% to</w:t>
      </w:r>
      <w:r w:rsidR="002D669A">
        <w:t> </w:t>
      </w:r>
      <w:r>
        <w:t xml:space="preserve">100%, with younger fish </w:t>
      </w:r>
      <w:r w:rsidR="002D669A">
        <w:t>less than</w:t>
      </w:r>
      <w:r w:rsidR="003874E5">
        <w:t xml:space="preserve"> </w:t>
      </w:r>
      <w:r>
        <w:t>1</w:t>
      </w:r>
      <w:r w:rsidR="002D669A">
        <w:t> </w:t>
      </w:r>
      <w:r>
        <w:t>year old more susceptible.</w:t>
      </w:r>
    </w:p>
    <w:p w14:paraId="5A56E166" w14:textId="606979F8" w:rsidR="00045A94" w:rsidRDefault="00045A94" w:rsidP="00045A94">
      <w:pPr>
        <w:pStyle w:val="ListBullet"/>
      </w:pPr>
      <w:r>
        <w:t>Fry are susceptible to disease at temperatures up to</w:t>
      </w:r>
      <w:r w:rsidR="002D669A">
        <w:t> </w:t>
      </w:r>
      <w:r>
        <w:t>23°C</w:t>
      </w:r>
      <w:r w:rsidR="002D669A">
        <w:t>.</w:t>
      </w:r>
      <w:r>
        <w:t xml:space="preserve"> </w:t>
      </w:r>
      <w:r w:rsidR="002D669A">
        <w:t>H</w:t>
      </w:r>
      <w:r>
        <w:t>owever some SVCV strains from Asia replicate in-vitro at up to</w:t>
      </w:r>
      <w:r w:rsidR="002D669A">
        <w:t> </w:t>
      </w:r>
      <w:r>
        <w:t>28°C and can cause disease at water temperatures up to</w:t>
      </w:r>
      <w:r w:rsidR="002D669A">
        <w:t> </w:t>
      </w:r>
      <w:r>
        <w:t>26°C.</w:t>
      </w:r>
    </w:p>
    <w:p w14:paraId="5211F253" w14:textId="78731BB6" w:rsidR="00045A94" w:rsidRDefault="00045A94" w:rsidP="00045A94">
      <w:pPr>
        <w:pStyle w:val="ListBullet"/>
      </w:pPr>
      <w:r>
        <w:t>Disease may also occur in older fish (</w:t>
      </w:r>
      <w:r w:rsidR="002D669A">
        <w:t xml:space="preserve">greater than </w:t>
      </w:r>
      <w:r>
        <w:t>1</w:t>
      </w:r>
      <w:r w:rsidR="002D669A">
        <w:t> </w:t>
      </w:r>
      <w:r>
        <w:t>year), usually when water temperatures are between</w:t>
      </w:r>
      <w:r w:rsidR="002D669A">
        <w:t> </w:t>
      </w:r>
      <w:r>
        <w:t>11°C and</w:t>
      </w:r>
      <w:r w:rsidR="002D669A">
        <w:t> </w:t>
      </w:r>
      <w:r>
        <w:t>17°C (associated with the stress of an abnormally cold spring in Europe, and possibly due to cold temperatures weakening the fish's immune system during the spring).</w:t>
      </w:r>
    </w:p>
    <w:p w14:paraId="158A460D" w14:textId="77777777" w:rsidR="00045A94" w:rsidRDefault="00045A94" w:rsidP="00045A94">
      <w:pPr>
        <w:pStyle w:val="ListBullet"/>
      </w:pPr>
      <w:r>
        <w:t>Fish that survive SVC are presumed to carry the virus.</w:t>
      </w:r>
    </w:p>
    <w:p w14:paraId="74AE29C6" w14:textId="77777777" w:rsidR="00045A94" w:rsidRDefault="00045A94" w:rsidP="00045A94">
      <w:pPr>
        <w:pStyle w:val="ListBullet"/>
      </w:pPr>
      <w:r>
        <w:lastRenderedPageBreak/>
        <w:t>Outbreaks are most likely to occur with increased stress levels, such as around the time of spawning, and coincide with increased levels of virus excreted with spawning fluids.</w:t>
      </w:r>
    </w:p>
    <w:p w14:paraId="588594F4" w14:textId="77777777" w:rsidR="00045A94" w:rsidRDefault="00045A94" w:rsidP="00045A94">
      <w:pPr>
        <w:pStyle w:val="ListBullet"/>
      </w:pPr>
      <w:r>
        <w:t>Transmission of the virus to uninfected fish is horizontal, and the virus enters fish through the gills and skin.</w:t>
      </w:r>
    </w:p>
    <w:p w14:paraId="17B03095" w14:textId="77777777" w:rsidR="00045A94" w:rsidRDefault="00045A94" w:rsidP="00045A94">
      <w:pPr>
        <w:pStyle w:val="ListBullet"/>
      </w:pPr>
      <w:r>
        <w:t>The virus enters the water in faeces, urine and spawning fluids. Transport of live infected fish, contaminated water and contaminated eggs of infected fish (suggestive of vertical transmission) contributes to disease spread.</w:t>
      </w:r>
    </w:p>
    <w:p w14:paraId="71919FA5" w14:textId="26C3D89D" w:rsidR="007C673A" w:rsidRDefault="00045A94" w:rsidP="00045A94">
      <w:pPr>
        <w:pStyle w:val="ListBullet"/>
      </w:pPr>
      <w:r>
        <w:t>The virus also infects and causes disease in some salamanders</w:t>
      </w:r>
      <w:r w:rsidR="002D669A">
        <w:t>.</w:t>
      </w:r>
      <w:r>
        <w:t xml:space="preserve"> </w:t>
      </w:r>
    </w:p>
    <w:p w14:paraId="5D4472BC" w14:textId="59C42B36" w:rsidR="00045A94" w:rsidRDefault="002D669A" w:rsidP="00045A94">
      <w:pPr>
        <w:pStyle w:val="ListBullet"/>
      </w:pPr>
      <w:r>
        <w:t>B</w:t>
      </w:r>
      <w:r w:rsidR="00045A94">
        <w:t>lood-sucking parasites such as fish louse and leeches can transmit the virus from fish to fish. Piscivorous birds can also spread the disease.</w:t>
      </w:r>
    </w:p>
    <w:p w14:paraId="25F26F63" w14:textId="4259B968" w:rsidR="00045A94" w:rsidRDefault="00045A94" w:rsidP="00045A94">
      <w:pPr>
        <w:pStyle w:val="ListBullet"/>
      </w:pPr>
      <w:r>
        <w:t>Stressors (</w:t>
      </w:r>
      <w:r w:rsidR="002D669A">
        <w:t>such as</w:t>
      </w:r>
      <w:r>
        <w:t xml:space="preserve"> overcrowding) can trigger an outbreak in apparently healthy populations.</w:t>
      </w:r>
    </w:p>
    <w:p w14:paraId="45CF7725" w14:textId="1E0F2699" w:rsidR="00ED0614" w:rsidRDefault="00045A94" w:rsidP="00045A94">
      <w:pPr>
        <w:pStyle w:val="ListBullet"/>
      </w:pPr>
      <w:r>
        <w:t>The virus can remain viable outside the host for 5</w:t>
      </w:r>
      <w:r w:rsidR="002D669A">
        <w:t> </w:t>
      </w:r>
      <w:r>
        <w:t>weeks in river water at</w:t>
      </w:r>
      <w:r w:rsidR="002D669A">
        <w:t> </w:t>
      </w:r>
      <w:r>
        <w:t>10°C or more than 6</w:t>
      </w:r>
      <w:r w:rsidR="002D669A">
        <w:t> </w:t>
      </w:r>
      <w:r>
        <w:t>weeks in pond mud at</w:t>
      </w:r>
      <w:r w:rsidR="002D669A">
        <w:t> </w:t>
      </w:r>
      <w:r>
        <w:t>4°C</w:t>
      </w:r>
      <w:r w:rsidR="00162F1F">
        <w:t>.</w:t>
      </w:r>
    </w:p>
    <w:p w14:paraId="431A90C5" w14:textId="77777777" w:rsidR="00ED0614" w:rsidRDefault="00E260DC">
      <w:pPr>
        <w:pStyle w:val="Heading2"/>
      </w:pPr>
      <w:r>
        <w:t>Differential diagnosis</w:t>
      </w:r>
    </w:p>
    <w:p w14:paraId="00D9EE0B" w14:textId="19BE95C1" w:rsidR="00ED0614" w:rsidRDefault="00E260DC">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0D38F7" w:rsidRPr="000D38F7">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38DC32F" w14:textId="77777777" w:rsidR="00ED0614" w:rsidRDefault="00E260DC">
      <w:pPr>
        <w:pStyle w:val="Heading2"/>
      </w:pPr>
      <w:bookmarkStart w:id="1" w:name="_Similar_diseases"/>
      <w:bookmarkEnd w:id="1"/>
      <w:r>
        <w:t>Similar diseases</w:t>
      </w:r>
    </w:p>
    <w:p w14:paraId="3085BBD7" w14:textId="543F628C" w:rsidR="00ED0614" w:rsidRDefault="00045A94">
      <w:r w:rsidRPr="00045A94">
        <w:t xml:space="preserve">Enteric redmouth disease (ERMD), </w:t>
      </w:r>
      <w:r w:rsidR="002D669A">
        <w:t>e</w:t>
      </w:r>
      <w:r w:rsidRPr="00045A94">
        <w:t xml:space="preserve">nteric septicaemia of catfish, </w:t>
      </w:r>
      <w:r w:rsidR="002D669A">
        <w:t>i</w:t>
      </w:r>
      <w:r w:rsidRPr="00045A94">
        <w:t xml:space="preserve">nfection with </w:t>
      </w:r>
      <w:r w:rsidRPr="002D669A">
        <w:rPr>
          <w:rStyle w:val="Emphasis"/>
        </w:rPr>
        <w:t>Aeromonas</w:t>
      </w:r>
      <w:r w:rsidRPr="00045A94">
        <w:t xml:space="preserve"> </w:t>
      </w:r>
      <w:r w:rsidRPr="002D669A">
        <w:rPr>
          <w:rStyle w:val="Emphasis"/>
        </w:rPr>
        <w:t>salmonicida</w:t>
      </w:r>
      <w:r w:rsidR="002D669A">
        <w:t>—</w:t>
      </w:r>
      <w:r w:rsidRPr="00045A94">
        <w:t>atypical strains</w:t>
      </w:r>
      <w:r w:rsidR="002D669A">
        <w:t xml:space="preserve"> and</w:t>
      </w:r>
      <w:r w:rsidRPr="00045A94">
        <w:t xml:space="preserve"> </w:t>
      </w:r>
      <w:r w:rsidR="002D669A">
        <w:t>k</w:t>
      </w:r>
      <w:r w:rsidRPr="00045A94">
        <w:t>oi herpesvirus disease (KHV)</w:t>
      </w:r>
      <w:r w:rsidR="00E66616">
        <w:t>.</w:t>
      </w:r>
    </w:p>
    <w:p w14:paraId="1583FD47" w14:textId="77777777" w:rsidR="00ED0614" w:rsidRDefault="00E260DC">
      <w:pPr>
        <w:pStyle w:val="Heading2"/>
      </w:pPr>
      <w:r>
        <w:t>Sample collection</w:t>
      </w:r>
    </w:p>
    <w:p w14:paraId="023FB03E" w14:textId="73624794" w:rsidR="00ED0614" w:rsidRDefault="00742002">
      <w:r w:rsidRPr="00742002">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6058F664" w14:textId="77777777" w:rsidR="00ED0614" w:rsidRDefault="00E260DC">
      <w:pPr>
        <w:pStyle w:val="Heading2"/>
      </w:pPr>
      <w:r>
        <w:t>Emergency disease hotline</w:t>
      </w:r>
    </w:p>
    <w:p w14:paraId="4FF13930" w14:textId="77777777" w:rsidR="00ED0614" w:rsidRDefault="00E260DC" w:rsidP="00270423">
      <w:pPr>
        <w:keepNext/>
      </w:pPr>
      <w:r>
        <w:t>See something you think is this disease? Report it. Even if you’re not sure.</w:t>
      </w:r>
    </w:p>
    <w:p w14:paraId="57CF72E2" w14:textId="3DD8C984" w:rsidR="002521EC" w:rsidRPr="002521EC" w:rsidRDefault="00E260DC" w:rsidP="004A5DDC">
      <w:pPr>
        <w:rPr>
          <w:lang w:eastAsia="ja-JP"/>
        </w:rPr>
      </w:pPr>
      <w:r>
        <w:t xml:space="preserve">Call the Emergency Animal Disease Watch Hotline on </w:t>
      </w:r>
      <w:r w:rsidR="007B72EC">
        <w:rPr>
          <w:rStyle w:val="Strong"/>
        </w:rPr>
        <w:t>1800 675 888</w:t>
      </w:r>
      <w:r>
        <w:t>. They will refer you to the right state or territory agency.</w:t>
      </w:r>
    </w:p>
    <w:p w14:paraId="6B39C243" w14:textId="2A731696" w:rsidR="00ED0614" w:rsidRDefault="00E260DC" w:rsidP="003C1061">
      <w:pPr>
        <w:pStyle w:val="Heading2"/>
        <w:keepLines/>
        <w:rPr>
          <w:rFonts w:ascii="Cambria" w:eastAsiaTheme="minorHAnsi" w:hAnsi="Cambria"/>
          <w:b w:val="0"/>
          <w:bCs w:val="0"/>
          <w:color w:val="auto"/>
          <w:sz w:val="22"/>
          <w:szCs w:val="22"/>
          <w:lang w:eastAsia="en-US"/>
        </w:rPr>
      </w:pPr>
      <w:r>
        <w:t>Further reading</w:t>
      </w:r>
    </w:p>
    <w:p w14:paraId="7FF84179" w14:textId="35CBB035" w:rsidR="003A3C2C" w:rsidRDefault="00D75D59" w:rsidP="00BF271F">
      <w:r>
        <w:t>CEFAS International Database on Aquatic Animal Diseases</w:t>
      </w:r>
      <w:r w:rsidR="00045A94">
        <w:t xml:space="preserve"> </w:t>
      </w:r>
      <w:hyperlink r:id="rId13" w:history="1">
        <w:r w:rsidR="00045A94" w:rsidRPr="00045A94">
          <w:rPr>
            <w:rStyle w:val="Hyperlink"/>
          </w:rPr>
          <w:t xml:space="preserve">Spring Viraemia of </w:t>
        </w:r>
        <w:r w:rsidR="00045A94">
          <w:rPr>
            <w:rStyle w:val="Hyperlink"/>
          </w:rPr>
          <w:t>C</w:t>
        </w:r>
        <w:r w:rsidR="00045A94" w:rsidRPr="00045A94">
          <w:rPr>
            <w:rStyle w:val="Hyperlink"/>
          </w:rPr>
          <w:t>arp</w:t>
        </w:r>
      </w:hyperlink>
    </w:p>
    <w:p w14:paraId="428956D2" w14:textId="275EFD55" w:rsidR="00C8500D" w:rsidRPr="00C8500D" w:rsidRDefault="00C8500D" w:rsidP="00BF271F">
      <w:pPr>
        <w:rPr>
          <w:rStyle w:val="Hyperlink"/>
          <w:color w:val="auto"/>
          <w:u w:val="none"/>
        </w:rPr>
      </w:pPr>
      <w:r w:rsidRPr="004A5DDC">
        <w:t xml:space="preserve">World Organisation for Animal Health </w:t>
      </w:r>
      <w:hyperlink r:id="rId14" w:history="1">
        <w:r w:rsidRPr="004A5DDC">
          <w:rPr>
            <w:rStyle w:val="Hyperlink"/>
          </w:rPr>
          <w:t>Manual of</w:t>
        </w:r>
        <w:r w:rsidR="00233C7B" w:rsidRPr="004A5DDC">
          <w:rPr>
            <w:rStyle w:val="Hyperlink"/>
          </w:rPr>
          <w:t xml:space="preserve"> diagnostic tests for aquatic a</w:t>
        </w:r>
        <w:r w:rsidRPr="004A5DDC">
          <w:rPr>
            <w:rStyle w:val="Hyperlink"/>
          </w:rPr>
          <w:t>nimals</w:t>
        </w:r>
      </w:hyperlink>
    </w:p>
    <w:p w14:paraId="651B3923" w14:textId="6233A330" w:rsidR="004B703A" w:rsidRDefault="004B703A" w:rsidP="00BF271F">
      <w:r>
        <w:t>Th</w:t>
      </w:r>
      <w:r w:rsidR="00EA1465">
        <w:t>ese</w:t>
      </w:r>
      <w:r>
        <w:t xml:space="preserve"> hyperlink</w:t>
      </w:r>
      <w:r w:rsidR="00EA1465">
        <w:t>s</w:t>
      </w:r>
      <w:r>
        <w:t xml:space="preserve"> w</w:t>
      </w:r>
      <w:r w:rsidR="00EA1465">
        <w:t>ere</w:t>
      </w:r>
      <w:r>
        <w:t xml:space="preserve"> correct at the time of publication.</w:t>
      </w:r>
    </w:p>
    <w:p w14:paraId="1AF792C8" w14:textId="77777777" w:rsidR="00ED0614" w:rsidRDefault="00E260DC">
      <w:pPr>
        <w:pStyle w:val="Heading2"/>
        <w:ind w:left="0" w:firstLine="0"/>
      </w:pPr>
      <w:r>
        <w:lastRenderedPageBreak/>
        <w:t>Contact details</w:t>
      </w:r>
    </w:p>
    <w:p w14:paraId="26C6D2C2" w14:textId="77777777" w:rsidR="00ED0614" w:rsidRDefault="00E260DC">
      <w:pPr>
        <w:spacing w:after="0"/>
      </w:pPr>
      <w:r>
        <w:t>Emergency Animal Disease Watch Hotline 1800 675 888</w:t>
      </w:r>
    </w:p>
    <w:p w14:paraId="3490169F" w14:textId="77777777" w:rsidR="00ED0614" w:rsidRDefault="00E260DC">
      <w:r>
        <w:t xml:space="preserve">Email </w:t>
      </w:r>
      <w:hyperlink r:id="rId15" w:history="1">
        <w:r>
          <w:rPr>
            <w:rStyle w:val="Hyperlink"/>
          </w:rPr>
          <w:t>AAH@agriculture.gov.au</w:t>
        </w:r>
      </w:hyperlink>
      <w:r>
        <w:cr/>
        <w:t xml:space="preserve">Website </w:t>
      </w:r>
      <w:hyperlink r:id="rId16" w:history="1">
        <w:r>
          <w:rPr>
            <w:rStyle w:val="Hyperlink"/>
          </w:rPr>
          <w:t>agriculture.gov.au/pests-diseases-weeds/aquatic</w:t>
        </w:r>
      </w:hyperlink>
    </w:p>
    <w:p w14:paraId="16C0A9CE" w14:textId="20945702" w:rsidR="00ED0614" w:rsidRDefault="00E260DC">
      <w:pPr>
        <w:pStyle w:val="Normalsmall"/>
      </w:pPr>
      <w:r>
        <w:t>© Commonwealth of Australia 20</w:t>
      </w:r>
      <w:r w:rsidR="00C45E9E">
        <w:t>20</w:t>
      </w:r>
      <w:bookmarkStart w:id="2" w:name="_GoBack"/>
      <w:bookmarkEnd w:id="2"/>
    </w:p>
    <w:p w14:paraId="783F07B8" w14:textId="77777777" w:rsidR="00ED0614" w:rsidRDefault="00E260DC">
      <w:pPr>
        <w:pStyle w:val="Normalsmall"/>
      </w:pPr>
      <w:r>
        <w:t>This work is copyright. It may be reproduced in whole or in part subject to the inclusion of an acknowledgement of the source and no commercial usage or sale.</w:t>
      </w:r>
    </w:p>
    <w:sectPr w:rsidR="00ED0614">
      <w:headerReference w:type="default" r:id="rId17"/>
      <w:footerReference w:type="default" r:id="rId18"/>
      <w:headerReference w:type="first" r:id="rId19"/>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C78D9" w14:textId="77777777" w:rsidR="00ED0614" w:rsidRDefault="00E260DC">
      <w:r>
        <w:separator/>
      </w:r>
    </w:p>
    <w:p w14:paraId="0AA4D9C1" w14:textId="77777777" w:rsidR="00ED0614" w:rsidRDefault="00ED0614"/>
    <w:p w14:paraId="71426813" w14:textId="77777777" w:rsidR="00ED0614" w:rsidRDefault="00ED0614"/>
  </w:endnote>
  <w:endnote w:type="continuationSeparator" w:id="0">
    <w:p w14:paraId="52CF7EC4" w14:textId="77777777" w:rsidR="00ED0614" w:rsidRDefault="00E260DC">
      <w:r>
        <w:continuationSeparator/>
      </w:r>
    </w:p>
    <w:p w14:paraId="7D3F088E" w14:textId="77777777" w:rsidR="00ED0614" w:rsidRDefault="00ED0614"/>
    <w:p w14:paraId="76382A3E" w14:textId="77777777" w:rsidR="00ED0614" w:rsidRDefault="00ED0614"/>
  </w:endnote>
  <w:endnote w:type="continuationNotice" w:id="1">
    <w:p w14:paraId="5C987883" w14:textId="77777777" w:rsidR="00ED0614" w:rsidRDefault="00ED0614">
      <w:pPr>
        <w:pStyle w:val="Footer"/>
      </w:pPr>
    </w:p>
    <w:p w14:paraId="6054154D" w14:textId="77777777" w:rsidR="00ED0614" w:rsidRDefault="00ED0614"/>
    <w:p w14:paraId="14C21167" w14:textId="77777777" w:rsidR="00ED0614" w:rsidRDefault="00ED0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25E" w14:textId="617161A0" w:rsidR="00ED0614" w:rsidRDefault="00C45E9E">
    <w:pPr>
      <w:pStyle w:val="Footer"/>
    </w:pPr>
    <w:r>
      <w:t>Department of Agriculture, Water and the Environment</w:t>
    </w:r>
  </w:p>
  <w:p w14:paraId="17457BBE" w14:textId="77777777" w:rsidR="00ED0614" w:rsidRDefault="00E260DC">
    <w:pPr>
      <w:pStyle w:val="Footer"/>
    </w:pPr>
    <w:r>
      <w:fldChar w:fldCharType="begin"/>
    </w:r>
    <w:r>
      <w:instrText xml:space="preserve"> PAGE   \* MERGEFORMAT </w:instrText>
    </w:r>
    <w:r>
      <w:fldChar w:fldCharType="separate"/>
    </w:r>
    <w:r w:rsidR="003874E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F4587" w14:textId="77777777" w:rsidR="00ED0614" w:rsidRDefault="00E260DC">
      <w:r>
        <w:separator/>
      </w:r>
    </w:p>
    <w:p w14:paraId="653B3757" w14:textId="77777777" w:rsidR="00ED0614" w:rsidRDefault="00ED0614"/>
    <w:p w14:paraId="2BC6E2A4" w14:textId="77777777" w:rsidR="00ED0614" w:rsidRDefault="00ED0614"/>
  </w:footnote>
  <w:footnote w:type="continuationSeparator" w:id="0">
    <w:p w14:paraId="57A88842" w14:textId="77777777" w:rsidR="00ED0614" w:rsidRDefault="00E260DC">
      <w:r>
        <w:continuationSeparator/>
      </w:r>
    </w:p>
    <w:p w14:paraId="77802F2E" w14:textId="77777777" w:rsidR="00ED0614" w:rsidRDefault="00ED0614"/>
    <w:p w14:paraId="0B9EE46F" w14:textId="77777777" w:rsidR="00ED0614" w:rsidRDefault="00ED0614"/>
  </w:footnote>
  <w:footnote w:type="continuationNotice" w:id="1">
    <w:p w14:paraId="5CC249E6" w14:textId="77777777" w:rsidR="00ED0614" w:rsidRDefault="00ED0614">
      <w:pPr>
        <w:pStyle w:val="Footer"/>
      </w:pPr>
    </w:p>
    <w:p w14:paraId="2499D858" w14:textId="77777777" w:rsidR="00ED0614" w:rsidRDefault="00ED0614"/>
    <w:p w14:paraId="3D0D6F00" w14:textId="77777777" w:rsidR="00ED0614" w:rsidRDefault="00ED06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61D1" w14:textId="54DFA680" w:rsidR="00ED0614" w:rsidRPr="00CB11B9" w:rsidRDefault="00563BD7" w:rsidP="00CB11B9">
    <w:pPr>
      <w:pStyle w:val="Header"/>
    </w:pPr>
    <w:r w:rsidRPr="00563BD7">
      <w:t>Spring viraemia of carp (SVC)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F4C9" w14:textId="77777777" w:rsidR="00ED0614" w:rsidRDefault="00E260DC">
    <w:pPr>
      <w:pStyle w:val="Header"/>
      <w:jc w:val="left"/>
    </w:pPr>
    <w:r>
      <w:rPr>
        <w:noProof/>
        <w:lang w:eastAsia="en-AU"/>
      </w:rPr>
      <w:drawing>
        <wp:anchor distT="0" distB="0" distL="114300" distR="114300" simplePos="0" relativeHeight="251658240" behindDoc="1" locked="0" layoutInCell="1" allowOverlap="1" wp14:anchorId="21AE8159" wp14:editId="064F571C">
          <wp:simplePos x="0" y="0"/>
          <wp:positionH relativeFrom="column">
            <wp:posOffset>-900429</wp:posOffset>
          </wp:positionH>
          <wp:positionV relativeFrom="paragraph">
            <wp:posOffset>-360045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614"/>
    <w:rsid w:val="00025DF0"/>
    <w:rsid w:val="00030111"/>
    <w:rsid w:val="00045A94"/>
    <w:rsid w:val="00050C3A"/>
    <w:rsid w:val="00052B5F"/>
    <w:rsid w:val="00073506"/>
    <w:rsid w:val="000B2163"/>
    <w:rsid w:val="000C051E"/>
    <w:rsid w:val="000D05F1"/>
    <w:rsid w:val="000D38F7"/>
    <w:rsid w:val="000E0DC0"/>
    <w:rsid w:val="00137594"/>
    <w:rsid w:val="001413A7"/>
    <w:rsid w:val="001474D1"/>
    <w:rsid w:val="00150862"/>
    <w:rsid w:val="00162F1F"/>
    <w:rsid w:val="00164E54"/>
    <w:rsid w:val="001726AA"/>
    <w:rsid w:val="00193434"/>
    <w:rsid w:val="001A7824"/>
    <w:rsid w:val="001E366B"/>
    <w:rsid w:val="001E6330"/>
    <w:rsid w:val="001F30EF"/>
    <w:rsid w:val="00222B74"/>
    <w:rsid w:val="00233C7B"/>
    <w:rsid w:val="002521EC"/>
    <w:rsid w:val="00266BD4"/>
    <w:rsid w:val="00270423"/>
    <w:rsid w:val="00274A52"/>
    <w:rsid w:val="002D669A"/>
    <w:rsid w:val="00372089"/>
    <w:rsid w:val="003874E5"/>
    <w:rsid w:val="003A1DEF"/>
    <w:rsid w:val="003A3C2C"/>
    <w:rsid w:val="003C1061"/>
    <w:rsid w:val="003F4E8E"/>
    <w:rsid w:val="00404F64"/>
    <w:rsid w:val="00422C3A"/>
    <w:rsid w:val="0045639F"/>
    <w:rsid w:val="0045792C"/>
    <w:rsid w:val="004631DF"/>
    <w:rsid w:val="004A104B"/>
    <w:rsid w:val="004A5DDC"/>
    <w:rsid w:val="004B703A"/>
    <w:rsid w:val="004E3720"/>
    <w:rsid w:val="00501982"/>
    <w:rsid w:val="005312B5"/>
    <w:rsid w:val="00532F5A"/>
    <w:rsid w:val="00563BD7"/>
    <w:rsid w:val="00583281"/>
    <w:rsid w:val="00583B3C"/>
    <w:rsid w:val="005A359A"/>
    <w:rsid w:val="005B0B25"/>
    <w:rsid w:val="005B5670"/>
    <w:rsid w:val="005C17C2"/>
    <w:rsid w:val="005E5930"/>
    <w:rsid w:val="005E698C"/>
    <w:rsid w:val="006649F0"/>
    <w:rsid w:val="00690BAD"/>
    <w:rsid w:val="006D51D3"/>
    <w:rsid w:val="006E3E02"/>
    <w:rsid w:val="006E4C18"/>
    <w:rsid w:val="00714D47"/>
    <w:rsid w:val="00742002"/>
    <w:rsid w:val="00756677"/>
    <w:rsid w:val="007757E1"/>
    <w:rsid w:val="00786618"/>
    <w:rsid w:val="00792847"/>
    <w:rsid w:val="00793DD5"/>
    <w:rsid w:val="007A0952"/>
    <w:rsid w:val="007B72EC"/>
    <w:rsid w:val="007C673A"/>
    <w:rsid w:val="007D5853"/>
    <w:rsid w:val="007E3043"/>
    <w:rsid w:val="007F1EDC"/>
    <w:rsid w:val="007F73EC"/>
    <w:rsid w:val="00844BA3"/>
    <w:rsid w:val="0085325A"/>
    <w:rsid w:val="00853ED4"/>
    <w:rsid w:val="00876983"/>
    <w:rsid w:val="00880A10"/>
    <w:rsid w:val="008B4009"/>
    <w:rsid w:val="0095639C"/>
    <w:rsid w:val="009A09FC"/>
    <w:rsid w:val="009B5DE8"/>
    <w:rsid w:val="009C7070"/>
    <w:rsid w:val="009E53A8"/>
    <w:rsid w:val="00A10F62"/>
    <w:rsid w:val="00A83382"/>
    <w:rsid w:val="00A93B2B"/>
    <w:rsid w:val="00A94C32"/>
    <w:rsid w:val="00A97966"/>
    <w:rsid w:val="00B76BBE"/>
    <w:rsid w:val="00B9189B"/>
    <w:rsid w:val="00B93085"/>
    <w:rsid w:val="00BE5CB5"/>
    <w:rsid w:val="00BF271F"/>
    <w:rsid w:val="00BF6EC8"/>
    <w:rsid w:val="00C10318"/>
    <w:rsid w:val="00C36630"/>
    <w:rsid w:val="00C45E9E"/>
    <w:rsid w:val="00C605BC"/>
    <w:rsid w:val="00C62909"/>
    <w:rsid w:val="00C76C59"/>
    <w:rsid w:val="00C8500D"/>
    <w:rsid w:val="00C87D4C"/>
    <w:rsid w:val="00CB11B9"/>
    <w:rsid w:val="00CC02C5"/>
    <w:rsid w:val="00CD0FA5"/>
    <w:rsid w:val="00D1126F"/>
    <w:rsid w:val="00D12B64"/>
    <w:rsid w:val="00D467E7"/>
    <w:rsid w:val="00D67E6B"/>
    <w:rsid w:val="00D75D59"/>
    <w:rsid w:val="00DD769F"/>
    <w:rsid w:val="00DD7F2B"/>
    <w:rsid w:val="00DF2031"/>
    <w:rsid w:val="00E260DC"/>
    <w:rsid w:val="00E263C9"/>
    <w:rsid w:val="00E66616"/>
    <w:rsid w:val="00E84766"/>
    <w:rsid w:val="00EA1465"/>
    <w:rsid w:val="00ED0614"/>
    <w:rsid w:val="00EE72EE"/>
    <w:rsid w:val="00F03FC2"/>
    <w:rsid w:val="00F06A73"/>
    <w:rsid w:val="00F2215F"/>
    <w:rsid w:val="00F3232E"/>
    <w:rsid w:val="00F507D9"/>
    <w:rsid w:val="00F72EFE"/>
    <w:rsid w:val="00F80772"/>
    <w:rsid w:val="00FA58FC"/>
    <w:rsid w:val="00FD7D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DA6F63D"/>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94"/>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fas.co.uk/international-database-on-aquatic-animal-diseases/disease-data/?id=5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griculture.gov.au/pests-diseases-weeds/aquati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AH@agriculture.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en/international-standard-setting/aquatic-manual/access-onlin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EEB283E-DAFE-489C-B9F8-0033B7AA7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7</TotalTime>
  <Pages>5</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Spring viraemia of carp (SVC)</vt:lpstr>
    </vt:vector>
  </TitlesOfParts>
  <Company>Department of Agriculture Fisheries &amp; Forestry</Company>
  <LinksUpToDate>false</LinksUpToDate>
  <CharactersWithSpaces>7039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viraemia of carp (SVC)</dc:title>
  <dc:creator>Department of Agriculture</dc:creator>
  <cp:lastModifiedBy>Caldwell, Louise</cp:lastModifiedBy>
  <cp:revision>11</cp:revision>
  <cp:lastPrinted>2020-03-11T06:12:00Z</cp:lastPrinted>
  <dcterms:created xsi:type="dcterms:W3CDTF">2019-09-03T06:38:00Z</dcterms:created>
  <dcterms:modified xsi:type="dcterms:W3CDTF">2020-03-11T06:12:00Z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